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Modeling Stroke in Mice: Transient Middle Cerebral Artery Occlusion Via the External Carotid Artery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Gemma Llovera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Alba Simats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Arthur Liesz</w:t>
      </w:r>
      <w:r>
        <w:rPr>
          <w:rFonts w:ascii="Calibri" w:hAnsi="Calibri" w:cs="Calibri" w:eastAsia="Calibri"/>
          <w:color w:val="auto"/>
          <w:spacing w:val="0"/>
          <w:position w:val="0"/>
          <w:sz w:val="24"/>
          <w:shd w:fill="auto" w:val="clear"/>
          <w:vertAlign w:val="superscript"/>
        </w:rPr>
        <w:t xml:space="preserve">1,2</w:t>
        <w:tab/>
        <w:tab/>
        <w:tab/>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for Stroke and Dementia Research, LMU Munich, Feodor-Lynen-Strasse 17, 81377 Munich, Germany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Munich Cluster for Systems Neurology (SyNergy), Munich, Germany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Alba Simats</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alba.simats@med.uni-muenchen.de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Arthur Liesz</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arthur.liesz@med.uni-muenchen.de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Gemma Llovera</w:t>
        <w:tab/>
        <w:tab/>
        <w:t xml:space="preserve">Gemma.Llovera-Garcia@med.uni-muenchen.de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stroke, brain ischemia, animal model, middle cerebral artery, transient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 models of middle cerebral artery occlusion (MCAo) are used in experimental stroke research. Here, an experimental stroke model of transient MCAo via the external carotid artery (ECA) is described, which aims to mimic human stroke, in which the cerebrovascular thrombus is removed due to spontaneous clot lysis or therapy.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Stroke is the third most common cause of mortality and the leading cause of acquired adult disability in developed countries. To date, therapeutic options are limited to a small proportion of stroke patients within the first hours after stroke. Novel therapeutic strategies are extensively being investigated, especially to prolong the therapeutic time window. These current investigations include the study of important pathophysiological pathways after stroke, such as post-stroke inflammation, angiogenesis, neuronal plasticity, and regeneration. Over the last decade, there is a growing concern about the low reproducibility of experimental results and scientific findings among independent research groups. To overcome the so-called “replication crisis”, detailed standardized models for all procedures are urgently needed. As an effort within the “ImmunoStroke” research consortium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https://immunostroke.de/</w:t>
        </w:r>
      </w:hyperlink>
      <w:r>
        <w:rPr>
          <w:rFonts w:ascii="Calibri" w:hAnsi="Calibri" w:cs="Calibri" w:eastAsia="Calibri"/>
          <w:color w:val="auto"/>
          <w:spacing w:val="0"/>
          <w:position w:val="0"/>
          <w:sz w:val="24"/>
          <w:shd w:fill="auto" w:val="clear"/>
        </w:rPr>
        <w:t xml:space="preserve">), a standardized transient middle cerebral artery occlusion (MCAo) mouse model is proposed. This model allows the complete restoration of the blood flow when removing the filament, simulating the therapeutic or spontaneous clot lysis that occurs in a large proportion of human strokes. The surgical method of this “filament” stroke model and functional analysis tools are demonstrated in the accompanying video.</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Stroke is one of the most common causes of death and disability worldwide. Although there are mainly two distinct forms of stroke, ischemic and hemorrhagic,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of all stroke cases are ischemic</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Only two treatments are currently available for ischemic stroke patients: pharmacological treatment with recombinant tissue plasminogen activator (rtPA) or mechanical thrombectomy. However, due to the narrow therapeutic time window and multiple exclusion criteria, only a select number of patients can benefit from these specific treatment options. Over the last two decades, preclinical and translational stroke research has been centered on the study of neuroprotective approaches. However, all compounds that reached clinical trials have so far shown no improvements for the patient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an in vitro model cannot accurately model brain interactions and pathophysiological mechanisms before and after stroke, animal models are crucial for preclinical stroke research. Mimicking all aspects of human ischemic stroke in a single animal model is not feasible as ischemic stroke is a complex and heterogeneous disease. For this reason, different ischemic stroke models have been developed in different species. Brain ischemia due to photothrombosis of cerebral arterioles or by permanent distal occlusion of the middle cerebral artery (MCA) are commonly used models that induce small and locally defined lesions in the neocortex</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However, the probably most commonly used stroke model is the so-called “filament model,” in which a transient MCA occlusion is achieved. This model consists of a transient introduction of a suture filament until the origin of the MCA, through the internal carotid artery, resulting in a sharp reduction of the cerebral blood flow and the subsequent large infarction of subcortical and cortical brain regions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most stroke models mimic occlusions of the MCA</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"filament model" enables precise delimitation of the ischemic interval depending on the reperfusion time point. Reperfusion by filament removal mimics the human clinical scenario of restored cerebral blood flow after spontaneous or therapeutic (rtPA or mechanical thrombectomy) clot lysis. Different modifications of this “filament model” have been described to date. In the most common approach, first described by Longa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 1989</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 silicon-coated filament is introduced via the common carotid artery (CCA) and advanced through the internal carotid artery (ICA) into the Circle of Willis, where it blocks the origin of the MCA</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Although a very commonly used approach, this model does not allow the complete restoration of the blood flow during the reperfusion as the CCA is permanently ligated after removing the filament.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 the past decade, an increasing number of research groups have been interested in modeling stroke in mice using the “filament model.” However, the considerable variability of this model and the lack of standardization of the procedures are some of the reasons for the high variability and poor reproducibility of the experimental results and scientific findings reported so far</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 potential cause of the current “replication crisis,” referring to the low reproducibility among research laboratories, is the non-comparable stroke infarct volumes between research groups using the same experimental methodology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Indeed, after conducting the first preclinical randomized controlled multicenter trial study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we could confirm that the lack of sufficient standardization of this experimental stroke model and the subsequent outcome parameters were the main reasons for failing reproducibility in preclinical studies between independent laboratories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Such drastic differences in the resulting infarct sizes, despite the use of the same stroke model, justifiably pose not only a threat to confirmatory research, but also for scientific collaborations due to the lack of robust and reproducible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light of these challenges, we aimed to develop and describe in detail the procedure for a standardized transient MCAo model as it is used for the collaborative research efforts within the “ImmunoStroke” research consortium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https://immunostroke.de/</w:t>
        </w:r>
      </w:hyperlink>
      <w:r>
        <w:rPr>
          <w:rFonts w:ascii="Calibri" w:hAnsi="Calibri" w:cs="Calibri" w:eastAsia="Calibri"/>
          <w:color w:val="auto"/>
          <w:spacing w:val="0"/>
          <w:position w:val="0"/>
          <w:sz w:val="24"/>
          <w:shd w:fill="auto" w:val="clear"/>
        </w:rPr>
        <w:t xml:space="preserve">). This consortium aims to understand the brain-immune interactions underlying the mechanistic principles of stroke recovery. Additionally, histological and related functional methods for the analysis of stroke outcome are presented. All methods are based on standard operating procedures established and used in all research laboratories within the ImmunoStroke consortium.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experiments reported in this video were conducted following the national guidelines for the use of experimental animals, and the protocols were approved by the German governmental committees (Regierung von Oberbayern, Munich, Germany). Ten-week-old male C57Bl/6J mice were used. The animals were housed under controlled temperature (22 &amp;plusmn; 2 &amp;#176;C), with a 12 h light-dark cycle period and access to pelleted food and water </w:t>
      </w:r>
      <w:r>
        <w:rPr>
          <w:rFonts w:ascii="Calibri" w:hAnsi="Calibri" w:cs="Calibri" w:eastAsia="Calibri"/>
          <w:i/>
          <w:color w:val="auto"/>
          <w:spacing w:val="0"/>
          <w:position w:val="0"/>
          <w:sz w:val="24"/>
          <w:shd w:fill="auto" w:val="clear"/>
        </w:rPr>
        <w:t xml:space="preserve">ad libitum.</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the material and instruments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Connect the heat blanket to maintain the temperature of the operation area and the mouse body temperature during anesthesia at 37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Autoclave scissors and forceps, prepare 70% ethanol solution and dexpanthenol eye ointment, and keep several pieces of cotton and 5-0 coated braided polyester suture ready for use. Prepare a 1 mL syringe with 0.9% saline solution (without needle) to keep the </w:t>
      </w:r>
      <w:r>
        <w:rPr>
          <w:rFonts w:ascii="Calibri" w:hAnsi="Calibri" w:cs="Calibri" w:eastAsia="Calibri"/>
          <w:color w:val="auto"/>
          <w:spacing w:val="0"/>
          <w:position w:val="0"/>
          <w:sz w:val="24"/>
          <w:shd w:fill="FFFFFF" w:val="clear"/>
        </w:rPr>
        <w:t xml:space="preserve">animal's incision site</w:t>
      </w:r>
      <w:r>
        <w:rPr>
          <w:rFonts w:ascii="Calibri" w:hAnsi="Calibri" w:cs="Calibri" w:eastAsia="Calibri"/>
          <w:color w:val="auto"/>
          <w:spacing w:val="0"/>
          <w:position w:val="0"/>
          <w:sz w:val="24"/>
          <w:shd w:fill="FFFF00" w:val="clear"/>
        </w:rPr>
        <w:t xml:space="preserve"> hydrated. </w:t>
      </w:r>
      <w:r>
        <w:rPr>
          <w:rFonts w:ascii="Calibri" w:hAnsi="Calibri" w:cs="Calibri" w:eastAsia="Calibri"/>
          <w:color w:val="auto"/>
          <w:spacing w:val="0"/>
          <w:position w:val="0"/>
          <w:sz w:val="24"/>
          <w:shd w:fill="auto" w:val="clear"/>
        </w:rPr>
        <w:t xml:space="preserve">Prepare the anesthesia gas (100% 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 isoflurane).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Prepare a holder for the laser Doppler probe by cutting the tip of a 10 &amp;#181;L pipet tip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mm length)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of the laser Doppler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Inject analgesia to the mouse 30 min before the surgery (4 mg/kg Carprofen und 0,1 mg/kg Buprenorphine, intraperitoneally).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Anesthetize the mouse by placing it in the induction chamber with an isoflurane flow rate of 4% until the cessation of spontaneous body movement and vibrissae.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auto"/>
          <w:spacing w:val="0"/>
          <w:position w:val="0"/>
          <w:sz w:val="24"/>
          <w:shd w:fill="FFFF00" w:val="clear"/>
        </w:rPr>
        <w:t xml:space="preserve">Place the mouse in a prone position in the operation area </w:t>
      </w:r>
      <w:r>
        <w:rPr>
          <w:rFonts w:ascii="Calibri" w:hAnsi="Calibri" w:cs="Calibri" w:eastAsia="Calibri"/>
          <w:color w:val="auto"/>
          <w:spacing w:val="0"/>
          <w:position w:val="0"/>
          <w:sz w:val="24"/>
          <w:shd w:fill="auto" w:val="clear"/>
        </w:rPr>
        <w:t xml:space="preserve">with its nose in the anesthesia mask. Maintain isoflurane concentration at 4% for another minute, then reduce it and keep it at 2%.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Set the associated feedback-controlled heating pad for maintaining the mouse body temperature at 37 &amp;#176;C, and gently insert the rectal probe to monitor the temperature throughout the surgical procedures..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Apply dexpanthenol eye ointment on both eyes.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Disinfect the skin and hair surrounding the left eye and ear with a disinfectant.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Cut the scalp between the left ear and the eye (1 cm long) to expose the skull bone.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Cut and retire the temporal muscle to visualize the MCA beneath the skull.</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r>
      <w:r>
        <w:rPr>
          <w:rFonts w:ascii="Calibri" w:hAnsi="Calibri" w:cs="Calibri" w:eastAsia="Calibri"/>
          <w:color w:val="auto"/>
          <w:spacing w:val="0"/>
          <w:position w:val="0"/>
          <w:sz w:val="24"/>
          <w:shd w:fill="FFFF00" w:val="clear"/>
        </w:rPr>
        <w:t xml:space="preserve">Fix the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outer part of the tip holding the laser Doppler probe/fiber on top of the left MCA with glue and close the skin so that the skin is glued as well. Apply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drops of hardener glue to speed up the process. Make sure that the laser Doppler fiber is not glued and can be easily removed from the tip holder at any time.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Transient MCAo model (occlusion)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Turn the mouse into the supine position. Put the snout into the anesthesia cone and fix the paws with tape.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Disinfect the skin and hair surrounding the chest and make a 2-cm-long midline incision in the neck.</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Use forceps to pull the skin, submandibular gland, and sternomastoid muscle apart. Use retractors to expose the surgical field and find the left common carotid artery (CCA). Dissect the CCA free from connective tissue and surrounding nerves (without harming the vagal nerve) and perform a transient ligation before the bifurcation.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Dissect the external carotid artery (ECA) and tie a permanent knot at the most distal visible part. Place another suture under the ECA, close to the bifurcation, and prepare a loose knot to be used later.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Dissect the internal carotid artery (ICA) and place a microvascular clip on it, 5 mm over the bifurcation. Make sure not to damage the vagal nerve.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Cut a small hole into the ECA between the tight and the loose ligations; be careful not to cut the entire ECA.</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Introduce the filament and advance it towards the CCA. Tighten the loose ligation in the ECA around the lumen to momentarily secure the filament in that position and avoid bleeding when removing the microvascular clip.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Remove the microvascular clip and insert the filament through the ICA until the origin of the MCA is reached by detecting a sharp reduction (&amp;gt;80%) in the cerebral blood flow as measured by the laser Doppler. Fix the filament in this position by further tightening the knot around the ECA.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the filament goes toward the appropriate direction, it advances smoothly, and no resistance should be observed.</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Record laser Doppler values before and after filament insertion.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Remove the retractor and relocate the sternomastoid muscle and the submandibular gland before suturing the wound. Remove the laser Doppler probe, and place the animal in a recovery chamber at 37 &amp;#176;C for 1 h (until filament removal).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Transient MCAo model (Reperfusion)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Anesthetize the mouse by placing it in the induction chamber with an isoflurane flow rate of 4% until the cessation of spontaneous body movement and vibrissae.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Apply dexpanthenol eye ointment on both eyes.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Place the mouse in a prone position in the operation area with its snout in the anesthesia mask. </w:t>
      </w:r>
      <w:r>
        <w:rPr>
          <w:rFonts w:ascii="Calibri" w:hAnsi="Calibri" w:cs="Calibri" w:eastAsia="Calibri"/>
          <w:color w:val="auto"/>
          <w:spacing w:val="0"/>
          <w:position w:val="0"/>
          <w:sz w:val="24"/>
          <w:shd w:fill="auto" w:val="clear"/>
        </w:rPr>
        <w:t xml:space="preserve">Maintain isoflurane concentration at 4% for another minute, then reduce it and keep it at 2%. </w:t>
      </w:r>
      <w:r>
        <w:rPr>
          <w:rFonts w:ascii="Calibri" w:hAnsi="Calibri" w:cs="Calibri" w:eastAsia="Calibri"/>
          <w:color w:val="auto"/>
          <w:spacing w:val="0"/>
          <w:position w:val="0"/>
          <w:sz w:val="24"/>
          <w:shd w:fill="FFFF00" w:val="clear"/>
        </w:rPr>
        <w:t xml:space="preserve">Fix the animal´s paws with tape.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Insert the laser Doppler probe into the probe holder.</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Remove the wound suture, use forceps to pull the skin, the submandibular gland, and the sternomastoid muscle apart. Use retractors to expose the surgical field.</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Loosen the ECA suture that tightens the filament, and gently pull the filament. Avoid damaging the silicone-rubber coating of the filament during the removal.</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Tightly tie the ECA suture.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Confirm the increase in the cerebral blood flow in the laser Doppler device (&amp;gt;80% of the initial value before reperfusion).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Record laser Doppler values before and after filament removal.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w:t>
        <w:tab/>
        <w:t xml:space="preserve">Open the transient ligation before the bifurcation from the CCA.</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Remove the retractor, and relocate the sternomastoid muscle and the submandibular gland before suturing the wound. Place the animal in a recovery chamber at 37 &amp;#176;C for 1 h to recover from anesthesia.</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After recovery, return the mice to their cages in a temperature-controlled room.</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Take care of the animals by adding wet food pellets and hydrogel in small Petri dishes on the cage floor until day 3 after the surgery.</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w:t>
        <w:tab/>
        <w:t xml:space="preserve">Inject analgesia every 12 h for 3 d after surgery (4 mg/kg Carprofen and 0.1 mg/kg Buprenorphine).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Sham operation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Perform all procedures as described above, including the ligation of the arteries and the introduction of the filament (steps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Remove the filament immediately after its insertion. Then, place the animal in the recovery chamber for 1 h.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Place the animal in the operation area again, and remove the transient ligation of the CCA to ensure complete cerebral blood flow restoration.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Suture the wound, and place the animal in a recovery chamber at 37 &amp;#176;C for 1 h to recover from anesthesia. After recovery, return the mice to their cages in a temperature-controlled room.</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Take care of the animals by adding wet food pellets and hydrogel in small Petri dishes on the cage floor until day 3 after surgery.</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Inject analgesia every 12 h for 3 d after surgery (4 mg/kg Carprofen and 0.1 mg/kg Buprenorphine).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Neuroscore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Perform the Neuroscore always at the same time of the day, and use surgical clothes to maintain a “neutral smell” between individual surgeons.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Let the mice rest for 30 min in the room with an “open” cage before the test.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Observe each item in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for 30 s.</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Intracardiac perfusion</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Prepare a 20 mL syringe containing phosphate-buffered saline (PBS)-heparin (2 U/mL) and place it 1 m above the bench to facilitate gravity-driven perfusion. (OPTIONAL: Perform intracardiac perfusion with 4% paraformaldehyde (PFA) using a 20 mL syringe containing 4% PFA in PBS, pH 7.4).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Inject 100 &amp;#181;L of ketamine and xylazine (120/16 </w:t>
      </w:r>
      <w:r>
        <w:object w:dxaOrig="43" w:dyaOrig="43">
          <v:rect xmlns:o="urn:schemas-microsoft-com:office:office" xmlns:v="urn:schemas-microsoft-com:vml" id="rectole0000000000" style="width:2.150000pt;height:2.1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0" ShapeID="rectole0000000000" r:id="docRId2"/>
        </w:object>
      </w:r>
      <w:r>
        <w:rPr>
          <w:rFonts w:ascii="Calibri" w:hAnsi="Calibri" w:cs="Calibri" w:eastAsia="Calibri"/>
          <w:color w:val="auto"/>
          <w:spacing w:val="0"/>
          <w:position w:val="0"/>
          <w:sz w:val="24"/>
          <w:shd w:fill="auto" w:val="clear"/>
        </w:rPr>
        <w:t xml:space="preserve">mg/kg body weight, respectively). Wait 5 min and confirm the cessation of spontaneous body movement and vibrissae.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Fix the animal in a supine position, and disinfect the abdominal body surface with 100% ethanol.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Make a 3-cm-long incision into the abdomen; cut the diaphragm, the ribs, and sternum to visualize the heart completely.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Make a small incision in the right atrium, and insert the perfusion cannula into the left ventricle.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Perfuse with 20 mL of PBS-heparin.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After perfusion, decapitate the animal and remove the brain.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Freeze the brain on powdered dry ice and store at -80 &amp;#176;C until further use.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Infarct volumetry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For cryosectioning, use a cryostat to cut the brains into 20-&amp;#181;m-thick sections every 400 &amp;#181;m. Place the sections on slides, and store the slides at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&amp;#176;C until 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Cresyl violet (CV) staining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8.2.1.</w:t>
        <w:tab/>
        <w:t xml:space="preserve">Prepare the staining solution by stirring and heating (60 &amp;#176;C) 0.5 g of CV acetate in 500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until the crystals are dissolved. After the solution has cooled, store it in a dark bottle. Reheat to 60 &amp;#176;C and filter before every 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8.2.2.</w:t>
        <w:tab/>
        <w:t xml:space="preserve">Let the slides dry at room temperature for 30 min. Immerse them in 95% ethanol for 15 min, in 70% ethanol for 1 min, and then in 50% ethanol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8.2.3.</w:t>
        <w:tab/>
        <w:t xml:space="preserve">Immerse the slides in distilled water for 2 min; refresh the distilled water and place the slides in the water for 1 min. Afterward, immerse the slides in the pre-heated staining solution for 10 min at 60 &amp;#176;C. Wash the slides twice in distilled water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8.2.4.</w:t>
        <w:tab/>
        <w:t xml:space="preserve">Immerse the slides in 95% ethanol for 2 min. Place them in 100% ethanol for 5 min; refresh the 100% ethanol and place the slides again in the ethanol for 2 min. Afterward, cover the slides with a mounting medium.</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8.2.5.</w:t>
        <w:tab/>
        <w:t xml:space="preserve">Analysis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8.2.5.1.</w:t>
        <w:tab/>
        <w:t xml:space="preserve">Scan the slides and analyze the indirect infarct volume by the Swanson method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to correct for edema by using equation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(Ischemic area) = (ischemic region)-((ipsilateral hemisphere)-(contralateral hemisphere))</w:t>
        <w:tab/>
        <w:t xml:space="preserve">(</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model described here is a modification of the commonly used "filament" stroke model, which consists of introducing a silicon-coated filament through the ECA to block the origin of the MCA transiently. After removing the filament, only the ECA is permanently occluded, allowing complete blood restoration in the CCA and ICA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Moreover, this paper describes a method for measuring the cerebral blood flow during both occlusion and reperfusion procedures by fixing a cannula connected to the laser Doppler probe at the skull over the MCA territory.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the blood flow in the CCA is restored after removing the filament, complete reperfusion of the brain occurs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similar to the situation observed after successful mechanical thrombectomy in human patients. The mortality rate during the surgery is &amp;lt;5% when performed by trained surgeons. At these early time points, animals generally present severe postural and movement deficits, general weakness, and loss in body weight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These severe deficits are transient, and the animals show improved activity after approximately 1 week; thus, the deficits are more specific for focal neurological symptoms.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Behavioral deficits after MCA occlusion were assessed by the composite Neuroscore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general and focal deficits were measured 24 h and 3 d after surgery. The general Neuroscore has 5 items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including the evaluation of the fur, ears, eyes, posture, and spontaneous activity, with a maximum score of 18. The focal Neuroscore comprises 7 items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including the evaluation of body symmetry, gait, climbing, circling behavior, forelimb symmetry, compulsory cycling, and whiskers response, with a maximum score of 28. This composite scale ranges from 0 (no deficits) to 46 (severe impairments). Stroke animals presented a significant change in the composite and focal Neuroscore, but not in the general Neuroscore when compared to sham animals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Infarct volumetry was also performed using cresyl violet staining of coronal serial brain sections 24 h after stroke induction. </w:t>
      </w:r>
      <w:r>
        <w:rPr>
          <w:rFonts w:ascii="Calibri" w:hAnsi="Calibri" w:cs="Calibri" w:eastAsia="Calibri"/>
          <w:color w:val="auto"/>
          <w:spacing w:val="0"/>
          <w:position w:val="0"/>
          <w:sz w:val="24"/>
          <w:shd w:fill="FFFFFF" w:val="clear"/>
        </w:rPr>
        <w:t xml:space="preserve">The </w:t>
      </w:r>
      <w:r>
        <w:rPr>
          <w:rFonts w:ascii="Calibri" w:hAnsi="Calibri" w:cs="Calibri" w:eastAsia="Calibri"/>
          <w:color w:val="auto"/>
          <w:spacing w:val="0"/>
          <w:position w:val="0"/>
          <w:sz w:val="24"/>
          <w:shd w:fill="auto" w:val="clear"/>
        </w:rPr>
        <w:t xml:space="preserve">infarct volume mean was 61.69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representing 48% of the affected brain hemisphere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When performed by a trained surgeon, the variability of this stroke model is low, with a coefficient of variation of 6%. The lesion area includes the somatosensory and motor cortex as well as subcortical structures such as the striatum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1: </w:t>
      </w:r>
      <w:r>
        <w:rPr>
          <w:rFonts w:ascii="Calibri" w:hAnsi="Calibri" w:cs="Calibri" w:eastAsia="Calibri"/>
          <w:b/>
          <w:color w:val="auto"/>
          <w:spacing w:val="0"/>
          <w:position w:val="0"/>
          <w:sz w:val="24"/>
          <w:shd w:fill="FFFFFF" w:val="clear"/>
        </w:rPr>
        <w:t xml:space="preserve">Scheme for the access and intraluminal MCA occlusion</w:t>
      </w:r>
      <w:r>
        <w:rPr>
          <w:rFonts w:ascii="Calibri" w:hAnsi="Calibri" w:cs="Calibri" w:eastAsia="Calibri"/>
          <w:color w:val="auto"/>
          <w:spacing w:val="0"/>
          <w:position w:val="0"/>
          <w:sz w:val="24"/>
          <w:shd w:fill="FFFFFF" w:val="clear"/>
        </w:rPr>
        <w:t xml:space="preserve">. The filament (dotted line) is inserted between the proximal and distal suture knots in the ECA and advanced along the ICA until it reaches the origin of the MCA (see inset). Once in place, the ECA is ligated with a suture to fix the filament. Abbreviations: ACA = anterior cerebral artery; BA = basilar artery; CCA = common carotid artery; ECA = external carotid artery; ICA = internal carotid artery; MCA = middle cerebral artery; PCA = posterior communicating artery; PTG = pterygopalatine artery. This figure has been modified from Jackman et al</w:t>
      </w:r>
      <w:r>
        <w:rPr>
          <w:rFonts w:ascii="Calibri" w:hAnsi="Calibri" w:cs="Calibri" w:eastAsia="Calibri"/>
          <w:i/>
          <w:color w:val="auto"/>
          <w:spacing w:val="0"/>
          <w:position w:val="0"/>
          <w:sz w:val="24"/>
          <w:shd w:fill="FFFFFF" w:val="clear"/>
        </w:rPr>
        <w:t xml:space="preserve">.</w:t>
      </w:r>
      <w:r>
        <w:rPr>
          <w:rFonts w:ascii="Calibri" w:hAnsi="Calibri" w:cs="Calibri" w:eastAsia="Calibri"/>
          <w:color w:val="auto"/>
          <w:spacing w:val="0"/>
          <w:position w:val="0"/>
          <w:sz w:val="24"/>
          <w:shd w:fill="FFFFFF" w:val="clear"/>
          <w:vertAlign w:val="superscript"/>
        </w:rPr>
        <w:t xml:space="preserve">15</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Blood flow during occlusion and reperfusion</w:t>
      </w:r>
      <w:r>
        <w:rPr>
          <w:rFonts w:ascii="Calibri" w:hAnsi="Calibri" w:cs="Calibri" w:eastAsia="Calibri"/>
          <w:color w:val="auto"/>
          <w:spacing w:val="0"/>
          <w:position w:val="0"/>
          <w:sz w:val="24"/>
          <w:shd w:fill="auto" w:val="clear"/>
        </w:rPr>
        <w:t xml:space="preserve">. Blood flow is registered before and after filament insertion and before and after filament removal. A reduction in the blood flow was observed during the occlusion and the restoration of the blood flow during the reperfusion. Every color represents one animal. Abbreviations: MCA = middle cerebral artery; CBF = cerebral blood flow; A.U. = arbitrary units.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Neuroscore for functional deficits after tMCAo.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Total,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focal,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general Neuroscore before and 24 h and 3 d after tMCAo. Open bars: sham; Black bars: tMCAo. n=10 per group. *p &amp;lt; 0.05. Abbreviations: tMCAo = transient middle cerebral artery occlusion; BL = before tMCAo.  </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Volumetric infarct analysis and infarct outcome 24 h after tMCAo.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cresyl violet-stained coronal brain sections every 400 &amp;#181;m at 24 h after tMCAo. Dashed lines demarcate the lesion area.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Analysis of infarct volume of 10 brains (each dot representing one individual brain) 24 h after tMCAo. The horizontal red line represents the mean (61.69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error bars indicate standard deviation (3.78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image for infarct volume calculation from a cresyl violet coronal section. Blue = Contralateral hemisphere; Red = Ipsilateral hemisphere; Pale striped area = Ischemic region.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General Neuroscore</w:t>
      </w:r>
      <w:r>
        <w:rPr>
          <w:rFonts w:ascii="Calibri" w:hAnsi="Calibri" w:cs="Calibri" w:eastAsia="Calibri"/>
          <w:color w:val="auto"/>
          <w:spacing w:val="0"/>
          <w:position w:val="0"/>
          <w:sz w:val="24"/>
          <w:shd w:fill="auto" w:val="clear"/>
        </w:rPr>
        <w:t xml:space="preserve">. Animals received between 0 and 4 points, depending on the severity, for each of the five general deficits measured. The scores on the different areas are then added to provide a total general score ranging from 0 to 18. This table has been modified from Clark 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 Abbreviation: OBT = open benchtop.</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Focal Neuroscore</w:t>
      </w:r>
      <w:r>
        <w:rPr>
          <w:rFonts w:ascii="Calibri" w:hAnsi="Calibri" w:cs="Calibri" w:eastAsia="Calibri"/>
          <w:color w:val="auto"/>
          <w:spacing w:val="0"/>
          <w:position w:val="0"/>
          <w:sz w:val="24"/>
          <w:shd w:fill="auto" w:val="clear"/>
        </w:rPr>
        <w:t xml:space="preserve">. Animals received between 0 and 4 points depending on the severity for each of the seven general deficits measured. The scores on the different areas are then added to provide a total focal score ranging from 0 to 28. This table has been modified from Clark 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 Abbreviation: OBT = open benchtop.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protocol describes an experimental stroke model based on the consensus agreement of a German multicenter research consortium (“ImmunoStroke”) to establish a standardized transient MCAo model. The transient MCAo model established by introducing a silicon-coated filament through the ECA until the origin of the MCA is one of the most commonly used stroke models to achieve arterial reperfusion after a delimitated occlusion period. Thus, this procedure can be regarded as a translationally relevant stroke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“filament model” presented in the video has some advantages compared with other previously described stroke models, such as not needing craniotomy and achieving complete reperfusion of the occluded vessel. However, the complexity of the surgery could be considered as a limitation as it includes invasive surgery and a precise manipulation of the different arteries very close to the trachea and the vagal nerve. Moreover, the long exposure of the animal to anesthetics might be a critical factor to consider, as the impact of anesthetics on neuroprotection and stroke outcome has already been well documented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Although this complex surgical procedure cannot be completed as quickly as other brain ischemia models, it can be completed in ~20 min when performed by a trained surgeon.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to previously described “filament” stroke protocols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method described here also allows the measurement of the cerebral blood flow during both occlusion and reperfusion phases. Monitoring the blood flow during reperfusion might be an important parameter for preventing stroke reperfusion injury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which is known to cause deleterious consequences in patients who underwent pharmacologic or endovascular interventions for recanalization of the thrombosed vessels. Despite the existing discrepancies between the consequences of cerebral blood flow restoration after MCAo</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variability of blood flow restoration after stroke can influence the pathophysiological and biochemical events in the brain as well as the infarct volume and the neurological deficits of stroke mice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Therefore, in this model, complete blood flow restoration and its recording are requirements to guarantee reproducible infarcts among mice, especially in translational stroke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overall mortality during surgery is &amp;lt;5% and is mainly caused by anesthesiology complications, bleeding, or sacrifice due to pre-defined exclusion criteria. In contrast, this stroke model presents a moderate mortality rate within the first 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h after stroke induction, which might increase the number of animals needed per experiment to achieve a proper cohort of stroke mice. In terms of infarct volume, this model induces large infarcts, with ~50% of the hemisphere affected by the ischemia. It also produces brain swelling, affecting different regions of the brain, including the cortical and subcortical regions.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achieve low variability and high reproducibility of this stroke model, we suggest that the following exclusion criteria be taken into account: 1) operation time &amp;gt; 20 min; 2) &amp;gt;20% of blood flow reduction when CCA ligated (step 3.3); 3) reduction in blood flow during occlusion &amp;lt;80% of the initial pre-occlusion value; and 4) increase in blood flow 10 min after reperfusion rate &amp;lt;80% compared to the pre-reperfusion value. For an experienced and trained surgeon, no animals are excluded due to the operation time criterion. However,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of the animals show a 20% reduction in the blood flow when the CCA is ligated, and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do not have an adequate reduction or increase in blood flow during occlusion or reperfusion, respectively. Therefore, the success rate after excluding animals according to these criteria is approximately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animals are examined daily after MCAo (body weight, temperature, and basic physiological behavior) to control for sickness behavior, pain, or discomfort. In addition to this general care, </w:t>
      </w:r>
      <w:r>
        <w:rPr>
          <w:rFonts w:ascii="Calibri" w:hAnsi="Calibri" w:cs="Calibri" w:eastAsia="Calibri"/>
          <w:color w:val="auto"/>
          <w:spacing w:val="0"/>
          <w:position w:val="0"/>
          <w:sz w:val="24"/>
          <w:shd w:fill="FFFFFF" w:val="clear"/>
        </w:rPr>
        <w:t xml:space="preserve">several tests for specific behavioral analysis after focal brain ischemia have been developed despite all the different tests to evaluate sensorimotor dysfunction, such as the </w:t>
      </w:r>
      <w:r>
        <w:rPr>
          <w:rFonts w:ascii="Calibri" w:hAnsi="Calibri" w:cs="Calibri" w:eastAsia="Calibri"/>
          <w:color w:val="auto"/>
          <w:spacing w:val="0"/>
          <w:position w:val="0"/>
          <w:sz w:val="24"/>
          <w:shd w:fill="auto" w:val="clear"/>
        </w:rPr>
        <w:t xml:space="preserve">Rotarod test</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Sticky label test</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Corner test</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or the Cylinder test</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Here, animals selected for the establishment of this stroke model were evaluated for focal and general deficits because stroke also induces cytokine-sickness behavior independent of focal (sensory or motor) deficits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Taken together, the “filament” stroke model described here is a valuable model for basic and translational stroke research. This model is proposed as a standardized stroke model to be used to harmonize stroke models across laboratories.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competing interests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all our collaboration partners of the ImmunoStroke Consortia (FOR 2879, From immune cells to stroke recovery) for suggestions and discussions. This work was funded by the Deutsche Forschungsgemeinschaft (DFG, German Research Foundation) under Germany’s Excellence Strategy within the framework of the Munich Cluster for Systems Neurology (EXC 2145 SyNergy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ID 390857198) and under the grants LI-2534/6-1, LI-2534/7-1 and LL-112/1-1.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Donnan, G. A., Fisher, M., Macleod, M., Davis, S. M. Stroke.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371</w:t>
      </w:r>
      <w:r>
        <w:rPr>
          <w:rFonts w:ascii="Calibri" w:hAnsi="Calibri" w:cs="Calibri" w:eastAsia="Calibri"/>
          <w:color w:val="auto"/>
          <w:spacing w:val="0"/>
          <w:position w:val="0"/>
          <w:sz w:val="24"/>
          <w:shd w:fill="auto" w:val="clear"/>
        </w:rPr>
        <w:t xml:space="preserve"> (9624), 1612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O'Collins, V.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1,026 experimental treatments in acute stroke. </w:t>
      </w:r>
      <w:r>
        <w:rPr>
          <w:rFonts w:ascii="Calibri" w:hAnsi="Calibri" w:cs="Calibri" w:eastAsia="Calibri"/>
          <w:i/>
          <w:color w:val="auto"/>
          <w:spacing w:val="0"/>
          <w:position w:val="0"/>
          <w:sz w:val="24"/>
          <w:shd w:fill="auto" w:val="clear"/>
        </w:rPr>
        <w:t xml:space="preserve">Annals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(3), 467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477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Tureyen, K., Vemuganti, R., Sailor, K. A., Dempsey, R. J. Infarct volume quantification in mouse focal cerebral ischemia: a comparison of triphenyltetrazolium chloride and cresyl violet staining techniques.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(2), 203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207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Zhang,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new rat model of thrombotic focal cerebral ischemia. </w:t>
      </w:r>
      <w:r>
        <w:rPr>
          <w:rFonts w:ascii="Calibri" w:hAnsi="Calibri" w:cs="Calibri" w:eastAsia="Calibri"/>
          <w:i/>
          <w:color w:val="auto"/>
          <w:spacing w:val="0"/>
          <w:position w:val="0"/>
          <w:sz w:val="24"/>
          <w:shd w:fill="auto" w:val="clear"/>
        </w:rPr>
        <w:t xml:space="preserve">Journal of Cerebral Blood Flow and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 123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Longa, E. Z., Weinstein, P. R., Carlson, S., Cummins, R. Reversible middle cerebral artery occlusion without craniectomy in rats.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Carmichael, S. T. Rodent models of focal stroke: size, mechanism, and purpose. </w:t>
      </w:r>
      <w:r>
        <w:rPr>
          <w:rFonts w:ascii="Calibri" w:hAnsi="Calibri" w:cs="Calibri" w:eastAsia="Calibri"/>
          <w:i/>
          <w:color w:val="auto"/>
          <w:spacing w:val="0"/>
          <w:position w:val="0"/>
          <w:sz w:val="24"/>
          <w:shd w:fill="auto" w:val="clear"/>
        </w:rPr>
        <w:t xml:space="preserve">NeuroRx.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 396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409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Engel, O., Kolodziej, S., Dirnagl, U., Prinz, V. Modeling stroke in mice - middle cerebral artery occlusion with the filament model.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(47), 2423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Dirnagl, U.</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concerted appeal for international cooperation in preclinical stroke research.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(6), 1754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1760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McNutt, M. Journals unite for reproducibility.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346</w:t>
      </w:r>
      <w:r>
        <w:rPr>
          <w:rFonts w:ascii="Calibri" w:hAnsi="Calibri" w:cs="Calibri" w:eastAsia="Calibri"/>
          <w:color w:val="auto"/>
          <w:spacing w:val="0"/>
          <w:position w:val="0"/>
          <w:sz w:val="24"/>
          <w:shd w:fill="auto" w:val="clear"/>
        </w:rPr>
        <w:t xml:space="preserve"> (6210), 679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Llovera,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Results of a preclinical randomized controlled multicenter trial (pRCT): Anti-CD49d treatment for acute brain ischemia.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(299), 299ra121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Llovera, G., Liesz, A. The next step in translational research: lessons learned from the first preclinical randomized controlled trial. </w:t>
      </w:r>
      <w:r>
        <w:rPr>
          <w:rFonts w:ascii="Calibri" w:hAnsi="Calibri" w:cs="Calibri" w:eastAsia="Calibri"/>
          <w:i/>
          <w:color w:val="auto"/>
          <w:spacing w:val="0"/>
          <w:position w:val="0"/>
          <w:sz w:val="24"/>
          <w:shd w:fill="auto" w:val="clear"/>
        </w:rPr>
        <w:t xml:space="preserve">Journal of Neurochemistry.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 </w:t>
      </w:r>
      <w:r>
        <w:rPr>
          <w:rFonts w:ascii="Calibri" w:hAnsi="Calibri" w:cs="Calibri" w:eastAsia="Calibri"/>
          <w:color w:val="auto"/>
          <w:spacing w:val="0"/>
          <w:position w:val="0"/>
          <w:sz w:val="24"/>
          <w:shd w:fill="auto" w:val="clear"/>
        </w:rPr>
        <w:t xml:space="preserve">(Suppl 2), 271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Swanson, G. M., Satariano, E. R., Satariano, W. A., Threatt, B. A. Racial differences in the early detection of breast cancer in metropolitan Detroit, 1978 to 1987. </w:t>
      </w:r>
      <w:r>
        <w:rPr>
          <w:rFonts w:ascii="Calibri" w:hAnsi="Calibri" w:cs="Calibri" w:eastAsia="Calibri"/>
          <w:i/>
          <w:color w:val="auto"/>
          <w:spacing w:val="0"/>
          <w:position w:val="0"/>
          <w:sz w:val="24"/>
          <w:shd w:fill="auto" w:val="clear"/>
        </w:rPr>
        <w:t xml:space="preserve">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(6), 1297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1301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Lourbopoulos, A. et al. Inadequate food and water intake determine mortality following stroke in mice. </w:t>
      </w:r>
      <w:r>
        <w:rPr>
          <w:rFonts w:ascii="Calibri" w:hAnsi="Calibri" w:cs="Calibri" w:eastAsia="Calibri"/>
          <w:i/>
          <w:color w:val="auto"/>
          <w:spacing w:val="0"/>
          <w:position w:val="0"/>
          <w:sz w:val="24"/>
          <w:shd w:fill="auto" w:val="clear"/>
        </w:rPr>
        <w:t xml:space="preserve">Journal of Cerebral Blood Flow and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(6), 2084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2097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Clark, W. M., Lessov, N. S., Dixon, M. P., Eckenstein, F. Monofilament intraluminal middle cerebral artery occlusion in the mouse. </w:t>
      </w:r>
      <w:r>
        <w:rPr>
          <w:rFonts w:ascii="Calibri" w:hAnsi="Calibri" w:cs="Calibri" w:eastAsia="Calibri"/>
          <w:i/>
          <w:color w:val="auto"/>
          <w:spacing w:val="0"/>
          <w:position w:val="0"/>
          <w:sz w:val="24"/>
          <w:shd w:fill="auto" w:val="clear"/>
        </w:rPr>
        <w:t xml:space="preserve">Neurological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(6), 641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648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Jackman, K., Kunz, A., Iadecola, C. Modeling focal cerebral ischemia in vivo.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793</w:t>
      </w:r>
      <w:r>
        <w:rPr>
          <w:rFonts w:ascii="Calibri" w:hAnsi="Calibri" w:cs="Calibri" w:eastAsia="Calibri"/>
          <w:color w:val="auto"/>
          <w:spacing w:val="0"/>
          <w:position w:val="0"/>
          <w:sz w:val="24"/>
          <w:shd w:fill="auto" w:val="clear"/>
        </w:rPr>
        <w:t xml:space="preserve">, 195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Kitano, H., Kirsch, J. R., Hurn, P. D., Murphy, S. J. Inhalational anesthetics as neuroprotectants or chemical preconditioning agents in ischemic brain. </w:t>
      </w:r>
      <w:r>
        <w:rPr>
          <w:rFonts w:ascii="Calibri" w:hAnsi="Calibri" w:cs="Calibri" w:eastAsia="Calibri"/>
          <w:i/>
          <w:color w:val="auto"/>
          <w:spacing w:val="0"/>
          <w:position w:val="0"/>
          <w:sz w:val="24"/>
          <w:shd w:fill="auto" w:val="clear"/>
        </w:rPr>
        <w:t xml:space="preserve">Journal of Cerebral Blood Flow and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(6), 1108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1128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Rousselet, E., Kriz, J., Seidah, N. G. Mouse model of intraluminal MCAO: cerebral infarct evaluation by cresyl violet staining.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(69), 4038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Rha, J. H., Saver, J. L. The impact of recanalization on ischemic stroke outcome: a meta-analysis.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(3), 967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Liu, J.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Transient filament occlusion of the middle cerebral artery in rats: does the reperfusion method matter 24 hours after perfusion? </w:t>
      </w:r>
      <w:r>
        <w:rPr>
          <w:rFonts w:ascii="Calibri" w:hAnsi="Calibri" w:cs="Calibri" w:eastAsia="Calibri"/>
          <w:i/>
          <w:color w:val="auto"/>
          <w:spacing w:val="0"/>
          <w:position w:val="0"/>
          <w:sz w:val="24"/>
          <w:shd w:fill="auto" w:val="clear"/>
        </w:rPr>
        <w:t xml:space="preserve">BMC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154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Sommer, C. J. Ischemic stroke: experimental models and reality. </w:t>
      </w:r>
      <w:r>
        <w:rPr>
          <w:rFonts w:ascii="Calibri" w:hAnsi="Calibri" w:cs="Calibri" w:eastAsia="Calibri"/>
          <w:i/>
          <w:color w:val="auto"/>
          <w:spacing w:val="0"/>
          <w:position w:val="0"/>
          <w:sz w:val="24"/>
          <w:shd w:fill="auto" w:val="clear"/>
        </w:rPr>
        <w:t xml:space="preserve">Acta Neuropathologica.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(2), 245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Jones, B. J., Roberts, D. J. A rotarod suitable for quantitative measurements of motor incoordination in naive mice. </w:t>
      </w:r>
      <w:r>
        <w:rPr>
          <w:rFonts w:ascii="Calibri" w:hAnsi="Calibri" w:cs="Calibri" w:eastAsia="Calibri"/>
          <w:i/>
          <w:color w:val="auto"/>
          <w:spacing w:val="0"/>
          <w:position w:val="0"/>
          <w:sz w:val="24"/>
          <w:shd w:fill="auto" w:val="clear"/>
        </w:rPr>
        <w:t xml:space="preserve">Naunyn-Schmiedebergs Archiv f&amp;#252;r Experimentelle Pathologie und Pharmakologie.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259</w:t>
      </w:r>
      <w:r>
        <w:rPr>
          <w:rFonts w:ascii="Calibri" w:hAnsi="Calibri" w:cs="Calibri" w:eastAsia="Calibri"/>
          <w:color w:val="auto"/>
          <w:spacing w:val="0"/>
          <w:position w:val="0"/>
          <w:sz w:val="24"/>
          <w:shd w:fill="auto" w:val="clear"/>
        </w:rPr>
        <w:t xml:space="preserve"> (2), 211 (1968).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Bouet,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adhesive removal test: a sensitive method to assess sensorimotor deficits in mice.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(10), 1560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Zhang,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test for detecting long-term sensorimotor dysfunction in the mouse after focal cerebral ischemia.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(2), 207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214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Schallert, T., Fleming, S. M., Leasure, J. L., Tillerson, J. L., Bland, S. T. CNS plasticity and assessment of forelimb sensorimotor outcome in unilateral rat models of stroke, cortical ablation, parkinsonism and spinal cord injury. </w:t>
      </w:r>
      <w:r>
        <w:rPr>
          <w:rFonts w:ascii="Calibri" w:hAnsi="Calibri" w:cs="Calibri" w:eastAsia="Calibri"/>
          <w:i/>
          <w:color w:val="auto"/>
          <w:spacing w:val="0"/>
          <w:position w:val="0"/>
          <w:sz w:val="24"/>
          <w:shd w:fill="auto" w:val="clear"/>
        </w:rPr>
        <w:t xml:space="preserve">Neuropharmacology.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(5), 777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787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Roth, S., Yang, J., Cramer, J., Malik, R., Liesz, A. Detection of cytokine-induced sickness behavior after ischemic stroke by an optimized behavioral assessment battery. </w:t>
      </w:r>
      <w:r>
        <w:rPr>
          <w:rFonts w:ascii="Calibri" w:hAnsi="Calibri" w:cs="Calibri" w:eastAsia="Calibri"/>
          <w:i/>
          <w:color w:val="auto"/>
          <w:spacing w:val="0"/>
          <w:position w:val="0"/>
          <w:sz w:val="24"/>
          <w:shd w:fill="auto" w:val="clear"/>
        </w:rPr>
        <w:t xml:space="preserve">Brain, Behavior,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668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672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immunostroke.de/" Id="docRId1" Type="http://schemas.openxmlformats.org/officeDocument/2006/relationships/hyperlink" /><Relationship Target="media/image0.wmf" Id="docRId3" Type="http://schemas.openxmlformats.org/officeDocument/2006/relationships/image" /><Relationship Target="styles.xml" Id="docRId5" Type="http://schemas.openxmlformats.org/officeDocument/2006/relationships/styles" /><Relationship TargetMode="External" Target="https://immunostroke.de/" Id="docRId0" Type="http://schemas.openxmlformats.org/officeDocument/2006/relationships/hyperlink" /><Relationship Target="embeddings/oleObject0.bin" Id="docRId2" Type="http://schemas.openxmlformats.org/officeDocument/2006/relationships/oleObject" /><Relationship Target="numbering.xml" Id="docRId4" Type="http://schemas.openxmlformats.org/officeDocument/2006/relationships/numbering" /></Relationships>
</file>