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Immunophenotyping and cell sorting of human MKs from human primary sources or differentiated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from hematopoietic progenitors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Acebes-Huerta,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Martínez-Botía,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Cristina Martín Martín,</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Ángel Bernardo,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Adrián R. Rodríguez,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María Carmen Vicente-Ayuso,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Celina Benavente Cuesta,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Laura Gutiérrez</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Platelet Research Lab, Instituto de Investigación Sanitaria del Principado de Asturias (ISPA),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Flow Cytometry and Cell Sorting Platform (ISPA),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Clinical Diagnosis Laboratory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Dept. of Hematology, Hospital Universitario Central de Asturias (HUCA),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Department of Hematology, University Hospital Severo Ochoa,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Department of Hematology, Instituto de Investigación Sanitaria San Carlos (IdISSC), Hospital Clínico San Carlos, Madrid, Spain.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Dept. of Medicine, University of Oviedo, Oviedo,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andreaacebeshuerta@gmail.com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uo266133@uniovi.es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cmartinsorting@finba.es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anbermed@gmail.com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uo265835@uniovi.es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mentxu888@gmail.com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celinamaria.benavente@salud.madrid.org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gutierrezglaura@uniovi.es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immunophenotyping strategy for the characterization of megakaryocyte differentiation, and show how that strategy allows the sorting of megakaryocytes at different stages with a fluorescence-activated cell sorter. The methodology can be applied to human primary tissues, but also to megakaryocytes generated in culture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 (MK) differentiation encompasses a number of endomitotic cycles that result in a highly polyploid (reaching even &gt;64N) and extremely large cell (40-60 &amp;#181;m). As opposed to the fast-increasing knowledge in megakaryopoiesis at the cell biology and molecular level, the characterization of megakaryopoiesis by flow cytometry is limited to the identification of mature MKs using lineage-specific surface markers, while earlier MK differentiation stages remain unexplored. Here, we present an immunophenotyping strategy that allows the identification of successive MK differentiation stages, with increasing ploidy status, in human primary sources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with a panel integrating MK specific and non-specific surface markers. Despite its size and fragility, MKs can be immunophenotyped using the above-mentioned panel and enriched by fluorescence-activated cell sorting under specific conditions of pressure and nozzle diameter. This approach facilitates multi-Omics studies, with the aim to better understand the complexity of megakaryopoiesis and platelet production in humans. A better characterization of megakaryopoiesis may pose fundamental in the diagnosis or prognosis of lineage-related pathologies and malignancy.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Megakaryocytes (MKs) develop from hematopoietic stem cells (HSCs) following a complex process called megakaryopoiesis, which is orchestrated mainly by the hormone thrombopoietin (TPO). The classical view of megakaryopoiesis describes the cellular journey from HSCs through a succession of hierarchical stages of committed progenitors and precursor cells, leading ultimately to a mature MK. During maturation, MKs experience multiple rounds of endomitosis, develop an intricate intracellular demarcation membrane system (DMS), which provides enough membrane surface for platelet production, and efficiently produce and pack the plethora of factors that are contained in the different granules inherited by mature platelets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a result, mature MKs are large cells (40-60 &amp;#181;m) characterized by a highly polyploid nucleus (reaching even &gt;64N). Recent studies suggest alternative routes by which HSCs differentiate into MKs bypassing traditional lineage commitment checkpoints in response to certain physio-pathological conditions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These findings highlight that hematopoietic differentiation towards the mature MK is a continuum and adaptive process that responds to biological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increasing knowledge on the cell biology and the molecular aspects characterizing megakaryopoiesis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of the research dedicated to the study of the process by flow cytometry are limited to the identification of mature MKs using lineage-specific surface markers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CD42A/B, CD41/CD61), while earlier MK differentiation stages remain unexplored. We previously documented a strategy to stage megakaryopoiesis in mouse bone marrow and bone marrow-derived MK cultures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which we have adapted and applied to humans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present article we show an immunophenotyping strategy that allows the characterization of megakaryopoiesis, from HSCs to mature MKs, in human primary sources (bone marrow -BM- and peripheral blood -PB-)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using a panel integrating MK specific and non-specific surface markers (CD61, CD42B, CD49B, CD31, KIT and CD71, amongst others). Despite its large size and fragility, MKs can be immunophenotyped using the above-mentioned cell surface markers and enriched by fluorescence-activated cell sorting under specific conditions of pressure and nozzle diameter to minimize cell rupture and/or damage. This technique facilitates multi-Omics approaches, with the aim to better understand the complexity of megakaryopoiesis and platelet production in human health and disease. Noteworthy, it will pose as a useful tool to aid diagnosis and prognosis in a clinical context of growing demand.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document a strategy to stage human megakaryopoiesis with a panel integrating MK-specific and non-specific surface markers from primary sources or generated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Additionally, we provide a protocol to sort, with a fluorescence-activated cell sorter, the preferred fractions and mature MKs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step is not popular, as it is technically difficult due to the large size and fragility of MKs, although it has been employed both in mouse and human bone marrow samples previously, and due to technological advancement, with a better result each time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Human primary sources where MKs or MK precursors can be studied include bone marrow, cord blood and peripheral blood, amongst other. The proper sample processing to isolate the relevant cell fraction for analysis on each sample is of importance. Standard procedures are incorporated, with some considerations to take into account when aiming at the study of megakaryopoiesis.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blood and bone marrow samples were obtained and processed in accordance with the 1964 Declaration of Helsinki. Whole blood samples were obtained from healthy donors after giving informed consent (ISPA), within a study approved by our institutional medical ethical committee (Hospital Universitario Central de Asturias -HUCA-). Bone marrow samples were obtained from bone marrow aspirate discard material of patients managed at the Dept. of Hematology of the Hospital Clínico San Carlos (HCSC).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Whole blood and bone marrow processing prior to immunophenotyping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When using whole blood (WB) from donations as a primary source, optionally isolate the peripheral blood mononuclear cell (PBMC) component. This can be achieved by using standard differential centrifugation combined with density gradient cell separation,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 brief, centrifuge blood at 193 x g for 15 min (brake 3) at room temperature. Discard the upper plasma fraction and collect the buffy ring. Dilute 1:1 with phosphate buffer saline (PBS)/Trisodium Citrate Dihydrate (38 g/L, pH 7) buffer and pipette carefully a volume of 25 mL on top of 15 mL of a density gradient solution (1.076 g/mL) in 50 mL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for 20 min at 1114 x g (accelerator 3, brake 3, room temperature). Discard the plasma fraction and collect the buffy ring containing PBMCs. Wash by adding the same volume of PBS, centrifuge at 435 x g for 5 min, and resuspend in PBS for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Alternatively, use a WB sample (around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for immunophenotyping after lysing the red blood cells (RBCs) and thorough washing.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brief, dilute 1:1 in ice cold RBC lysing buffer (4.15 g of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0.5 g of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18.5 mg of EDTA (triplex III) to 500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pH 7.1-7.4). Wait until the cell suspension becomes translucid red (3-5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Centrifuge at 435 x g for 5 min, at 4 &amp;#176;C, and resuspend the cells in PBS. Repeat the procedure as many times as necessary to obtain a white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Similarly, directly process the samples obtained from bone marrow (aspiration) with RBC lysing buffer (see point 1.2) and thorough washing, as to begin with a clear single-cell suspension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Avoid the use of vortexing to mix samples during processing, as it may damage the fragile MKs. Mix by flicking or inverting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Density gradient to obtain PBMCs may result in a richer and cleaner cell fraction as compared to RBC-lysed WB. However, we should bear in mind that high-density, mature MKs might be lost in the “neutrophil” fraction. This will be discussed in the 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 vitro MK differentiation from PBMCs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MKs can be differentiated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from earlier precursors, such as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present in different primary sources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WB/PBMCs, cord blood, bone marrow) and from iPSCs. There are different protocols that have been applied to this end. Here we use a culture method developed by us that allows MK differentiation from PBMCs, without the need of enriching for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precursors.</w:t>
      </w:r>
      <w:r>
        <w:rPr>
          <w:rFonts w:ascii="Calibri" w:hAnsi="Calibri" w:cs="Calibri" w:eastAsia="Calibri"/>
          <w:color w:val="auto"/>
          <w:spacing w:val="0"/>
          <w:position w:val="0"/>
          <w:sz w:val="24"/>
          <w:shd w:fill="auto" w:val="clear"/>
          <w:vertAlign w:val="superscript"/>
        </w:rPr>
        <w:t xml:space="preserve">15,19-22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three culture phases, where the concentration of thrombopoietin (TPO) gradually increases at the expense of growth factors favoring the proliferation of earlier precursors (i.e., SCF, EPO), which gradually decrease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the basis medium, use StemSpan SFEM supplemented with 0.4% of cholesterol rich lipid mix and 1% Penicillin/Streptomycin.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the Phase I medium, use the basis medium supplemented with SCF (100 ng/mL), Erythropoietin (EPO, 0.5 U/mL) and Thrombopoietin (TPO, 30 ng/mL). The Phase II medium is the basis medium supplemented with SCF (50 ng/mL), EPO (0.25 U/mL) and TPO (50 ng/mL).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For the Phase III medium, use the basis medium supplemented with TPO (100 ng/mL).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Culture PBMCs in Phase I medium. At day 6-8, place the PBMCs in Phase II medium, and at day 9-12 place the PBMCs in Phase III medium.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Replace medium by centrifuging cells at 435 x g for 5 min at room temperature from Phase I to Phase II, and at 95 x g for 5 min at room temperature from Phase II to Phase III, and resuspending them in fresh medium.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Culture cells in an incubator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these primary cultures, MK differentiation lasts 10-14 days, and samples can be drawn at different time points throughout the culture period, as to follow MK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Sample collection: Wash cells by applying low-speed centrifugation 5 min (app. 95 x g) and resuspend them in PBS or PBS containing 1% of bovine serum albumin (BSA). For immunophenotyping, the ideal density is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(see point 3.1). Depending on the status of the cultures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presence of dead cells, debris, etc.), 1 or 2 washes may be needed. Collect your cells at the time-points of interest during culture.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Immunophenotyping of MK differentiation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incubation with a panel of tagged-antibodies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Incubate the cell samples with a panel of tagged-antibodies following standard procedures, paying attention to centrifuge at low speed (95 x g) when processing megakaryocytes. We normally incubate the samples with 1% BSA in PBS in volumes of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at 4 &amp;#176;C, 20 min, with a range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Scale up when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incubation, add 5 mL of PBS/BSA 1%, centrifuge at low speed (95 x g), aspirate the supernatant and resuspend the sample in PBS/BSA 2% to preserve MK viability (2 mL). Add 1-5 mM EDTA to disrupt cell-cell aggregates (which are naturally seen in MK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Transfer samples into a 12 x 75 mm round bottom tube (FACS tube) or plate, keeping them in the dark until flow cytometry analysis or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Preparation of the single antibodies and panel mix; setting up the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Titrate the antibodies prior to their use to determine the optimal concentration in the antibody panels. The optimal concentration of antibodies is the lowest concentration that separates clearly positive from negative cells (and allows distinction of intermediate levels of expression). As an example, most of the antibodies are used in a 1:200 dilution (stock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unless otherwise titrated or indicated by the manufacturer.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Once the antibody titration is determined, prepare a 10x dilution of each antibody. These dilutions are used for the single-color controls and for preparing the panel mixes. The dilutions and panel mixes are fine for use even a month after preparation (stored at 4 &amp;#176;C, unless manufacturer´s indications preclude this storage conditions), which allows the staining of samples with the same panel through a time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Use 10 mL per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10x dilution both for the single-color controls and for the panel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3.5.3.1.</w:t>
        <w:tab/>
        <w:t xml:space="preserve">For the single-color controls, use antibody affinity beads, which can be directly measured after adding the antibody. The single-color controls should be measured with every experiment, to allow proper compensation adjustment (and fine-tuning post-measurement with the analysis software).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3.5.3.2.</w:t>
        <w:tab/>
        <w:t xml:space="preserve">Alternatively, perform the single-color controls with cell-samples. However, the beads allow the fast measurement of a given number of events, which, depending on the antibody/surface marker, might not be possible to obtain on complex primary or cultured cell sources. We also advise to run cell samples stained with “Fluorescence Minus One” (FMO) panel mixes to set up the appropriate compensation settings (before running experiments). This is relevant as to carefully identify compensation problems, and especially in cultured MKs, to identify autofluorescence interference (which will be present if using culture medium containing phenol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Prepare enough volume of the panel mix, depending on the number of samples, containing the antibodies of the designed panel. Most of our panels include six antibodies (6-color panels, see </w:t>
      </w:r>
      <w:r>
        <w:rPr>
          <w:rFonts w:ascii="Calibri" w:hAnsi="Calibri" w:cs="Calibri" w:eastAsia="Calibri"/>
          <w:b/>
          <w:color w:val="auto"/>
          <w:spacing w:val="0"/>
          <w:position w:val="0"/>
          <w:sz w:val="24"/>
          <w:shd w:fill="auto" w:val="clear"/>
        </w:rPr>
        <w:t xml:space="preserve">Tables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For these panels, use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and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lasers of the flow cytometer, however, panels can be adapted to other technical scenarios. Furthermore, the compensation considerations can be obviated when using mass-spectrometry-based flow cytometry or cytometers with acoustic focusing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3.5.5.1. Dyes for measuring viability may give false information regarding MKs, especially when they mature. MKs are very active uptaking cells, and positivity with Hoechst, 7-AAD or PE, might not always reflect actual cell death. An alternative (if cell death measurement is required) might be the use of mitochondria stains (CMX Ros) or amine reactive dyes (Zombie or Ghost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[TABLES 1 and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Ploidy analysis combined with 6-color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For ploidy analysis in combination with a 6-color antibody panel, proceed with fixation and permeabilization of cells after incubation with the antibody-panel. This strategy will allow the preservation of the surface marker staining, while allowing the staining of the DNA of cells. We use Hoechst 33342 to stain DNA, as it can be visualized with the available violet 405-nm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after incubation with the antibody panel, centrifuge cells (95 x g for 5 min), resuspend in 200 mL of fixation buffer and incubate 10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Centrifuge cells as indicated above, resuspended for a second time in 200 mL fixation buffer, and incubate another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Prepare permeabilization buffer, containing 0.1% Triton X-100, 200 mg/mL RNase and 20 mg/mL Hoechst 33342 (permeabilization Hoechst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Centrifuge cells as above, resuspend them in 300 mL of the permeabilization Hoechst MIX and incubate 30 min at 37 &amp;#176;C. This step is very important, since, in order to obtain a clean ploidy measurement, RNA has to be degraded.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After the incubation time, measure samples directly with a flow cytometer. Otherwise, keep the samples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in the dark. Measure them promptly. However, since these samples are fixed, measurement can be delayed even 24-48 hours. Be sure the sample is flicked thoroughly prior to measuring, or passed through a cell strainer, to assure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Morphometric parameters such as FSC and SSC are not maintained after cell fixation. The FSC/SSC plot will show a shrinkage of the cell distribution after fixation. However, the surface marker staining is mostly preserved, and the gating strategy is barely altered, allowing the analysis of the ploidy status at the different stages of differentiation defined by surface marker combinations.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MK differentiation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seen that the combination of CD31/CD71 allows to set a number of gates which correspond to different stages of MK differentiation. Further back-gating with MK-specific markers allows the separation of mature and immature MKs. Furthermore, in fresh samples, back-gating to verify the presence of other markers used, or to place the populations in the FCS/SSC axes, refines the assessment of MK differentiation stages and allows to discard other cell types that could be present on the same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a panel of antibodies that includes early precursor markers (KIT, CD34), common precursor markers (CD31, CD71), and lineage markers, some of them specific (CD42A/CD42B, CD49B, CD41/CD61, CLEC2, GPVI, etc) (see </w:t>
      </w:r>
      <w:r>
        <w:rPr>
          <w:rFonts w:ascii="Calibri" w:hAnsi="Calibri" w:cs="Calibri" w:eastAsia="Calibri"/>
          <w:b/>
          <w:color w:val="auto"/>
          <w:spacing w:val="0"/>
          <w:position w:val="0"/>
          <w:sz w:val="24"/>
          <w:shd w:fill="auto" w:val="clear"/>
        </w:rPr>
        <w:t xml:space="preserve">Tables 1-2</w:t>
      </w:r>
      <w:r>
        <w:rPr>
          <w:rFonts w:ascii="Calibri" w:hAnsi="Calibri" w:cs="Calibri" w:eastAsia="Calibri"/>
          <w:color w:val="auto"/>
          <w:spacing w:val="0"/>
          <w:position w:val="0"/>
          <w:sz w:val="24"/>
          <w:shd w:fill="auto" w:val="clear"/>
        </w:rPr>
        <w:t xml:space="preserve">). The use of Lineage (Lin) cocktail (</w:t>
      </w:r>
      <w:r>
        <w:rPr>
          <w:rFonts w:ascii="Calibri" w:hAnsi="Calibri" w:cs="Calibri" w:eastAsia="Calibri"/>
          <w:color w:val="auto"/>
          <w:spacing w:val="0"/>
          <w:position w:val="0"/>
          <w:sz w:val="24"/>
          <w:shd w:fill="FFFFFF" w:val="clear"/>
        </w:rPr>
        <w:t xml:space="preserve">CD3, CD14, CD16, CD19, CD20, and CD56)</w:t>
      </w:r>
      <w:r>
        <w:rPr>
          <w:rFonts w:ascii="Calibri" w:hAnsi="Calibri" w:cs="Calibri" w:eastAsia="Calibri"/>
          <w:color w:val="auto"/>
          <w:spacing w:val="0"/>
          <w:position w:val="0"/>
          <w:sz w:val="24"/>
          <w:shd w:fill="auto" w:val="clear"/>
        </w:rPr>
        <w:t xml:space="preserve">, also allows to “filter out” mature hematopoietic cells that might add noise to the analysis (when selecting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As an example, we will go through the analysis of MKs in PBMCs, bone marrow and through PBMC-derived cell cultures (see 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MK and MK precursor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stained cells were analyzed and sorted on a fluorescence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activated cell sorter FACS Aria IIu equipped with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and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standard solid-state lasers using FACSDiva software; data were additionally analyzed and presented using FlowJo software and Cytobank (viSNE analysis). Purity of sorted fractions was confirmed by flow cytometry analysis of each of the sorted fractions (purity above 85%).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cell sorting as soon as possible or within 1 hour after antibody incubation in order to avoid cell deterioration.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Filter the sample with a 100 &amp;#181;m cell strainer to assure single cell suspension and the integrity of large MK.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&amp;#181;m ceramic nozzle, a sheath pressure set to 11 pounds per square inch (PSI) and the drop-drive frequency set to 12 kHz to break the stream into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Prior to sorting, sterilize the nozzle, sheath, and sample lines by performing a 30 min acquisition of Penicillin/Streptomycin diluted 1:5 in sterile water, followed by a 10 min acquisition with sterile water to remove remaining decontaminant.</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Once the stream has stabilized, adjust the drop-delay with recommended beads in order to sort in fine tune mode more than 97.5% of the reflected drops at a flow rate of 400-1200 events per second.</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Prepare collection FACS tubes with 500 &amp;#181;L of PBS/BSA 2%. The percentage of BSA can be increased up to 5-10%.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Generate the experiment template with the proper compensation matrix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Load FACS tube into cytometer.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Perform a measurement of the sample to set the desired gates and purity of the target cell populations. Maintain the record activated to show up to 200,000 events in the selected population gates during the cell-sorting.</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FACS Aria IIu allows the separation of up to 4 different cell populations at the same time. Create a new sort layout and select the collection device (4 tubes) and appropriate precision mode (intermediate mask of purity and recovery is recommended). Finally, add the population(s) of interest to each sort location field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Load the collection tubes and start to sort the target populations.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Centrifuge the collection tubes for 5 minutes at 95 x g and resuspend the cell pellet in the appropriate volume of 2% BSA in PBS.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Measure again a fraction of each sorted sample, to calculate the purity.</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Store cells appropriately for further use. Sorted cells can be used for cytological and molecular analyses, or may be re-cultured with the aim of studying the differentiation process of a selected cell population.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Post-sort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Preparing cytospins for cytological analysis with a cytocentrifuge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Bring sorted cells to an easy-to-handle working volume of 100-200 &amp;#181;L. Take into consideration that cell density will depend on the sorted population yield in each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Place a clean slide on the metal holder and place a filter top. Remember to label the slide and the filter to avoid mixing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Add 100 &amp;#181;L PBS on the filter hole against the slide, so the filter gets humidified on the hole-rim.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Place the funnel, close the metal holder and place it on its spot in the centrifuge.</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Add the sample (100-200 &amp;#181;L) inside the funnel.</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Centrifuge at 36 x g for 5 minutes. The cytospin slides can be allowed to air dry at RT (properly covered to prevent dust) and can be kept at RT for 1 week prior to the immunostaining or 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Fix slides in 2% paraformaldehyde (PFA) diluted in PBS and incubate during 5min.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 A range of 0.5-4% PFA/PBS may be used. In our hands, we use 4% to obtain proper fixation of tissues or some cell types, and 0.5% PFA/PBS is sufficient for platelets. When setting this technique up, the right percentage of PFA requires optimization per cell type/source.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Incubate 5 min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Incubate 5 min in 50% EtOH.</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Incubate 5 min in 70% EtOH.</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Store in 70% EtOH at -20ºC.</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t xml:space="preserve">When performing the immunostaining, rehydrate, and follow standard procedures (permeabilization, washing, blocking, primary and secondary antibody incubations, preserving,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For cytochemistry: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slides can be stained with May-Gr&amp;#252;nwald Giemsa staining or the convenient staining for each purpose.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For immediate morphology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Add one drop of mounting medium on the cell-containing spot of the cytospin and place a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Keep slides at 4 &amp;#176;C not longer than a week, unless sealed, which allows long-term storage even at RT. Mounting medium fixation allows long-term storage at 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Bone Marrow and Ploidy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show a representative immunophenotyping analysis of megakaryopoiesis in BM samples (aspiration) from patients. When plotting the cellular fraction against CD71 and CD31, we have gated six main populations: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(blue),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(orange),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(light green),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(dark green)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(cream). These populations are not always present in the same positions (considering constant cytometer settings), as it can be seen, and that should be taken into account. This might be inherent to the pathological condition and bone marrow status. Back-gating these six populations overlaid in histograms against a maturation marker contained in the panel (CD42A/CD42B), and to the Forward Scatter, is shown on the right. The figure also shows a plot against CD31/CD71 depicting an overlay of the CD42B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 the total cellular fraction as to visualize the distribution of the more mature MKs. In general terms, the population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does not contain MKs or lineage precursors, does not present MK maturation markers, and is smaller in size.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contains mainly cells of the erythroid lineage, although it can also contain common lineage precursors, as we hypothesize from our observations. It remains negative for MK maturation markers, and depending on the proportion of earlier or later erythroid cells, the Forward Scatter might fluctuate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the MDS patient has a larger proportion of immature (i.e., larger) erythroid cells, compared to other patients. MK progenitors and mature cells will distribute 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 some variation. However, as it can be seen comparing the BM analysis on each pathology, there are some constant features. More mature MKs are present 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population (cream), and pathologies where this maturation is “blocked” include Immune Thrombocytopenia (ITP) and a reactive BM sample (with underlying inflammation). While in the lymphoma patient there seems to be an equilibrium between early precursors and late MKs (orange and cream gates), this proportion is altered in the MDS patient (with more “blocked” precursors) and in the AML patient (with more mature MKs). Of interest, the “blockade” seems to be different comparing pathologies amongst themselves: in pathologies concurring with underlying inflammation the blockade might be due to a combination of maturation defects, destruction (i.e., autoimmunity) and platelet production by MK rupture.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set out to analyze the ploidy status of the above-mentioned populations on human BM samples.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increasing ploidy status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that we foresee will be different and characteristic for each pathological context. Note that due to the cell fixation and permeabilization used in these experiments, the dot plots are not completely comparable to those of unfixed, unpermeabilized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PBMCs and Cell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 show a representative immunophenotyping analysis of PBMCs and the MK culture set with those PBMCs at day 7 and day 11. We use a panel containing the Lin cocktail, and we show the cellular fraction of live cells before and after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selection. This negative selection might result in the loss of some fraction of MKs co-expressing, for example, CD14, but it also allows a more refined analysis. When plotting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against CD71 and CD31, we gated five main populations: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These populations are not always present in the same positions (considering constant cytometer settings), as it can be seen, and that should be taken into account. In this case, the differences are not only inherent to the individual health or pathological status, but also to the MK differentiation capacity of the precursors in the PBMC fraction. Back-gating these five populations overlaid in histograms against other markers contained in the panel (KIT and CD42B), and to the Forward Scatter, is shown on the right. MK precursors and MKs at different stages of maturation are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PBMCs, MKs are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gate, although their size is not as large as we have seen with cultured MKs. This might be due to either one of the two following options: MKs in PBMCs represent a fraction of immature MKs that enter the circulation, or a fraction of mature circulating MKs that have lost cytoplasmic complexity. Our sort experiments suggest that the latter might be the reason explaining that size difference. Supporting this notion, the expression of CD42B, is not present in 100% of the cells on those populations (as it can also be seen in BM samples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probably due to the loss of surface markers upon proplatelet formation and/or platelet shedding. However, in cultured samples, the MKs in the “mature” gates, are almost 100% CD42B positive, and larger in size. These hypothesized cellular dynamics should be further studied and validated.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pleiotropic effects of TPO, these cultures are heterogeneous and asynchronous, which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makes it difficult to further analyze discrete MK differentiation stages.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Following the expansion of earlier progenitors, MKs at different maturation stages will appear in the culture from day 6-10 (or earlier, due to donor variability) and will gradually increase in numbers as the MK lineage-committed cells mature towards MK. Some MKs will undergo terminal differentiation and start forming proplatelets. Towards the end of the culture, there will be a gradual increment of cell loss due to “extenuation/exhaustion” after proplatelet formation and platelet shedding or cell death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TPO analogues different than recombinant TPO, the concentrations should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source of progenitors (adult, cord blood) will condition the cultures, as MKs from sources of different developmental stages have their own characteristics. Furthermore, cultures from enriched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progenitors, while appearing more homogeneous at the beginning of the culture, will reach a stage of heterogeneity and asynchronicity once MK commitment and differentiation commences.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MK Cell Sorting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 show a representative gating strategy of a sample of MK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at day 10 of differentiation. When plotting the nucleated cell fraction against CD31 and CD71 or the Forward Scatter, we can distinguish two main populations characterized by the presence or absence of CD31.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plotting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against CD41 and CD71, we can gate four main populations: 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 CD41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 CD41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 and 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 in which other surface markers (KIT and CD49B) were expressed differentially, allowing the identification of the MK compartment as CD41 highly positive cells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purity of the sorted fractions is shown, as well as cytological stainings of cytospins of the sorted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characterize the cell population spectrum in PBMC-MK cultures, viSNE analysis was employed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The viSNE map separates cells into spatially distinct subsets based on the combination of markers that they express. Each point in the viSNE analysis represents an individual cell colored according to the expression levels of CD31, CD42A, CD71 and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 negative cells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mainly residual lymphocytes (population 5) that persist throughout the culture in these conditions. This population has been sorted in a second round of cell sorting using the remaining fraction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Gates 6 and 7 are CD71 mid and high expressing cells, which include erythroid progenitors and, potentially, other precursors.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must take into account the technical difficulties due to the cell heterogeneous nature of this culture method and the sticky nature of mature MKs that results in the presence of mature MKs in subpopulations where they do not belong (see remarks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Post-sort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sorted populations can be analyzed by different methods, including cytological and molecular analysis by immunofluorescence (see section 7) in order to evaluate the MK features in a specific physio-pathological context, or to better study the process of megakaryopoiesis. Some examples are presented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Remarks: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MKs can be sorted from unexpected regions due to the capacity to attach cells to their membrane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This issue can be a problem to get high purity cell subpopulations. To minimize cell-cell aggregates, 1-5 mM EDTA can be added to the panel mix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when using WB as starting material, we proposed either obtaining PBMCs or lysing RBCs to use the cellular fraction directly.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we show flow cytometry analysis of the two methodologies. On one hand, when lysing RBCs and analyzing the whole cellular compartment, we still have a large amount of neutrophils. These can be filtered out with a specific marker (or using the Lin cocktail strategy). However, we may lose some MKs due to their promiscuous nature related to surface marker expression. On the other hand, PBMC isolation, will allow us to get rid of neutrophils as well as RBCs, although we may lose the MKs with higher density (i.e., the ones with more complex cytoplasmic features or more immature). 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MKs from lysed WB show a higher expression of maturation markers, which appears lower when isolating PBMCs. The density gradient might result in the loss of the MKs that still contain a complex cytoplasm, while the ones contained in the PBMC fraction, might be already “exhausted” in the circulation after releasing platelets, and thus maintaining the polyploid nucleus within a less complex cytoplasm. They should not be confused with immature MKs. Each procedure has its advantages and its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documented in this manuscript.</w:t>
      </w:r>
      <w:r>
        <w:rPr>
          <w:rFonts w:ascii="Calibri" w:hAnsi="Calibri" w:cs="Calibri" w:eastAsia="Calibri"/>
          <w:color w:val="auto"/>
          <w:spacing w:val="0"/>
          <w:position w:val="0"/>
          <w:sz w:val="24"/>
          <w:shd w:fill="auto" w:val="clear"/>
        </w:rPr>
        <w:t xml:space="preserve"> The primary human sources or primary cultures where MK differentiation can be staged by using immunophenotyping are indicated. This immunophenotyping strategy can be applied to the study of the process in different lineage-related pathologies or malignancy in primary sources. In addition, it makes possible the cell sorting of MKs and precursors with a fluorescence-activated cell sorter, which allows further analysis of enriched fractions. Images used are part of Servier Medical Art (SMART) by Servier and are licensed under CC BY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PBMC-derived MK culture method.</w:t>
      </w:r>
      <w:r>
        <w:rPr>
          <w:rFonts w:ascii="Calibri" w:hAnsi="Calibri" w:cs="Calibri" w:eastAsia="Calibri"/>
          <w:color w:val="auto"/>
          <w:spacing w:val="0"/>
          <w:position w:val="0"/>
          <w:sz w:val="24"/>
          <w:shd w:fill="auto" w:val="clear"/>
        </w:rPr>
        <w:t xml:space="preserve"> PBMCs from healthy donors were cultured according to the three-phase protocol developed by us to generate MK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(scheme adapted from Salunkhe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Pictures taken at day 10 and day 13 of culture are shown. Pictures are taken with a 20X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principle of fluorescence-activated cell sorting (FACS).</w:t>
      </w:r>
      <w:r>
        <w:rPr>
          <w:rFonts w:ascii="Calibri" w:hAnsi="Calibri" w:cs="Calibri" w:eastAsia="Calibri"/>
          <w:color w:val="auto"/>
          <w:spacing w:val="0"/>
          <w:position w:val="0"/>
          <w:sz w:val="24"/>
          <w:shd w:fill="auto" w:val="clear"/>
        </w:rPr>
        <w:t xml:space="preserve"> The particles go through the 130 &amp;#181;m-nozzle and are forced to break up into a stream of regular droplets due to the application of vibration to the nozzle. Next, the droplets are interrogated by the laser (point of analysis) and the signals are processed to give the ''sort decision" by applying a charge to those droplets. When a charge droplet passes through a high voltage electrostatic field (detection plate), it is deflected and collected into the corresponding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Immunophenotyìng of megakaryopoiesis in human bone marrow samples from patients with different pathologies.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 (BM) samples from patients diagnosed with lymphoma (i.e., normal BM), myelodysplastic syndrome (MDS), acute myeloid leukemia (AML), immune thrombocytopenia (ITP) and a patient with a reactive BM due to an infection were analysed. When plotting the cellular fraction (i.e., nucleated cells) against CD71 and CD31, we have gated six main populations: CD31- CD71- (red), CD31- CD71+ (blue), CD31+ CD71- (orange), CD31+ CD71mid (light green), CD31+ CD71+ (dark green) and CD31++ CD71mid (cream). These populations are not always present in the same positions (considering constant cytometer settings), as it can be seen, and that should be taken into account. Back-gating these six populations overlaid in histograms against a maturation marker contained in the panel (CD42A/CD42B), and to the Forward Scatter, is shown on the right. The figure also shows a plot against CD31/CD71 depicting an overlay of the CD42B+ cells with the total cellular fraction as to visualize the distribution of the more mature MKs.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Ploidy analysis of the populations selected based on CD31/CD71 expression, in human BM samples.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 (BM) samples from patients diagnosed with acute myeloid leukemia (AML) and immune thrombocytopenia (ITP). When plotting the cellular fraction (i.e., nucleated cells) against CD71 and CD31, we have gated six main populations: CD31- CD71- (red), CD31- CD71+ (blue), CD31+ CD71- (orange), CD31+ CD71mid (light green), CD31+ CD71+ (dark green) and CD31++ CD71mid (cream). These populations are not always present in the same positions (considering constant cytometer settings), as it can be seen, and that should be taken into account. Back-gating these six populations overlaid in histograms against Hoechst 33342 shows the different ploidy status of the populations, and the general tendency to increase ploidy with maturation (although MKs can reach maturity without polyploidization).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Immunophenotyping of megakaryopoiesis during MK cell culture, including the starting PBMC material. </w:t>
      </w:r>
      <w:r>
        <w:rPr>
          <w:rFonts w:ascii="Calibri" w:hAnsi="Calibri" w:cs="Calibri" w:eastAsia="Calibri"/>
          <w:color w:val="auto"/>
          <w:spacing w:val="0"/>
          <w:position w:val="0"/>
          <w:sz w:val="24"/>
          <w:shd w:fill="auto" w:val="clear"/>
        </w:rPr>
        <w:t xml:space="preserve">Representative immunophenotyping analysis of PBMCs and the MK culture set with those PBMCs at day 7 and day 11. We use a panel containing the Lin cocktail, and we show the cellular fraction (i.e., nucleated cells) before and after Lin- selection. This negative selection might result in the loss of some fraction of MKs co-expressing, for example, CD14, but it also allows a more refined analysis. When plotting the Lin- fraction against CD71 and CD31, we gated five main populations: CD31- CD71-, CD31- CD71+, CD31+ CD71-, CD31+ CD71mid and CD31++ CD71mid. These populations are not always present in the same positions (considering constant cytometer settings), as it can be seen, and that should be taken into account. Back-gating these five populations overlaid in histograms against other markers contained in the panel (KIT and CD42B), and to the Forward Scatter, is shown on the right. MK precursors and MKs at different stages of maturation are within the CD31+ populations. The figure also shows a plot against CD31/CD71 depicting an overlay of the CD42B+ cells with the total cellular fraction as to visualize the distribution of the more mature MKs.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Pre-sort immunophenotypic analysis of 10-day in vitro culture MKs. A)</w:t>
      </w:r>
      <w:r>
        <w:rPr>
          <w:rFonts w:ascii="Calibri" w:hAnsi="Calibri" w:cs="Calibri" w:eastAsia="Calibri"/>
          <w:color w:val="auto"/>
          <w:spacing w:val="0"/>
          <w:position w:val="0"/>
          <w:sz w:val="24"/>
          <w:shd w:fill="auto" w:val="clear"/>
        </w:rPr>
        <w:t xml:space="preserve"> Representative gating strategy using CD31, CD41 and CD71, with two sorting rounds, resulting in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1-4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5-7. The purity of each sorted fraction was analysed after sorting, and is depicted, together with a representative microphotograph of cytological analysis of cytospins from each sorted fraction.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viSNE map of day 10 PBMC-derived MK culture cells measured by flow cytometry. The map is constructed using the expression levels of CD31, CD42B, CD71 and KIT, as measured by flow cytometry.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Post-sort MK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Cytological analysis of sorted MK compartment from a 10-day in vitro culture. May-Gr&amp;#252;nwald Giemsa staining allows the observation of key features of mature MKs, i.e., pseudopod formation (red arrow), highly polyploid MK (blue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analysis. Cells were stained with anti-human von Willebrand factor (shown in red, secondary antibody Alexa Fluor 555 Goat anti-mouse IgG), anti-human CD31 or tandem CD41/CD61, both conjugated with FITC (shown in green) and nuclear DNA was labeled with DAPI (shown in blue).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sticky nature of MKs.</w:t>
      </w:r>
      <w:r>
        <w:rPr>
          <w:rFonts w:ascii="Calibri" w:hAnsi="Calibri" w:cs="Calibri" w:eastAsia="Calibri"/>
          <w:color w:val="auto"/>
          <w:spacing w:val="0"/>
          <w:position w:val="0"/>
          <w:sz w:val="24"/>
          <w:shd w:fill="auto" w:val="clear"/>
        </w:rPr>
        <w:t xml:space="preserve"> MKs can be found in unexpected gates due to their capacity to attach cells to their membrane.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MKs sorted in populations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5 </w:t>
      </w:r>
      <w:r>
        <w:rPr>
          <w:rFonts w:ascii="Calibri" w:hAnsi="Calibri" w:cs="Calibri" w:eastAsia="Calibri"/>
          <w:b/>
          <w:color w:val="auto"/>
          <w:spacing w:val="0"/>
          <w:position w:val="0"/>
          <w:sz w:val="24"/>
          <w:shd w:fill="auto" w:val="clear"/>
        </w:rPr>
        <w:t xml:space="preserve">(A and C),</w:t>
      </w:r>
      <w:r>
        <w:rPr>
          <w:rFonts w:ascii="Calibri" w:hAnsi="Calibri" w:cs="Calibri" w:eastAsia="Calibri"/>
          <w:color w:val="auto"/>
          <w:spacing w:val="0"/>
          <w:position w:val="0"/>
          <w:sz w:val="24"/>
          <w:shd w:fill="auto" w:val="clear"/>
        </w:rPr>
        <w:t xml:space="preserve"> according the gating strategy for MK sorting. This issue can be a problem to get high purity cell subpopulations.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Flow cytometry immunophenotyping of MKs from PBMCs or WB after lysing the RBCs. A)</w:t>
      </w:r>
      <w:r>
        <w:rPr>
          <w:rFonts w:ascii="Calibri" w:hAnsi="Calibri" w:cs="Calibri" w:eastAsia="Calibri"/>
          <w:color w:val="auto"/>
          <w:spacing w:val="0"/>
          <w:position w:val="0"/>
          <w:sz w:val="24"/>
          <w:shd w:fill="auto" w:val="clear"/>
        </w:rPr>
        <w:t xml:space="preserve"> Gating strategy.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Size (FSC), cellular complexity (SSC) and expression of CD42A, CD41, CD71 and KIT in MKs as identified in PBMCs or WB.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research focusing on the study of megakaryopoiesis by flow cytometry is to date limited to the identification of MK subsets using only lineage-specific surface markers (i.e., CD42A/CD42B, CD41/CD61), while earlier MK differentiation stages have been poorly examined. In the present article we show an immunophenotyping strategy to address a comprehensive flow cytometry characterization of human megakaryopoiesis. Overall, we would like to highlight the utility of combining MK specific and non-specific surface markers (Tables 1 and 2) in the same flow cytometry antibody panel for the study of megakaryopoiesis in a more detailed way. Our novel approach could serve as a powerful tool to aid diagnosis and/or prognosis in hematological disorders. We consider that the presented panels and combinations are not definitive. We have observed a very dynamic behavior of surface markers in human primary sources (mainly in BM samples), which is also dependent on the subjacent pathology. More studies are required, and hopefully, the scientific community will start applying this approach as to feedback with observations from studies focusing on a single pathology and how megakaryopoiesis staging may aid at diagnosis or prognosis. The implementation of combined HSC and MK characterization in primary tissues, considering the diverse routes for MK commitment as commented in the introduction section, is of relevance and worth of further developments. The fact that we are also able to detect MKs in PBMCs is quite an observation. We also hypothesize, that the analysis of MKs in this primary source will aid in disease diagnosis and prognosis, as a very relevant alternative to BM aspirates, as extraction of a blood sample is not as invasive. That aspect also requires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technical limitations associated to the biological characteristics of MKs (large size, osmotic fragility, stickiness) we were able to sort different maturation stages in several human MK sources, specifically in bone marrow, PBMCs and PBMCs-derived cell cultures. Future studies will be conducted in order to analyze the peculiarities of megakaryopoiesis in other human sources such as cord blood and in different physio-pathological situations. In addition, the differentiation potential of each gated and sorted cell fraction should be evaluated in colony-forming unit (CFU) assays of MK progenitors (CFU-MK) as to objectively assess the differentiation potential of each population in the megakaryopoiesis journey. While surpassing the technical limitations that were once thought as to impede the sort of mature megakaryocytes, such a necessity still demands more perfection. On one hand, single-cell Omics would allow comprehensive studies when applying the immunophenotyping panels, but if physical sort is required, despite the purity of the sorted populations is above 85% (based on surface marker expression), other variables need to be taken into account, which are still difficult to solve. As mentioned, MK cultures are not synchronous and are very heterogeneous. MKs themselves are promiscuous in surface marker expression, sharing markers with other myeloid and non-myeloid hematopoietic and non-hematopoietic cells. Furthermore, they are very difficult to cluster with the morphometric variables (Forward and Side Scatter) as they distribute widely. Further studies are required to refine this application, but with collaborative efforts, we are closer to narrow down megakaryopoiesis.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Audiovisual material production was supported by BD Biosciences.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Marcos Pérez Basterrechea, Lorena Rodríguez Lorenzo and Begoña García Méndez (HUCA) and Paloma Cerezo, Almudena Payero and María de la Poveda-Colomo (HCSC) for technical support. This work was partially supported by Medical Grants (Roche SP200221001) to A.B., an RYC fellowship (RYC-2013-12587; Ministerio de Economía y Competitividad, Spain) and an I+D 2017 grant (SAF2017-85489-P; Ministerio de Ciencia, Innovación y Universidades, Spain and Fondos FEDER) to L.G., a Severo Ochoa Grant (PA-20-PF-BP19-014; Consejería de Ciencia, Innovación y Universidades del Principado de Asturias, Spain) to P.M.-B. and an intramural postdoctoral grant 2018 (Fundación para la Investigación y la Innovación Biosanitaria de Asturias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FINBA, Oviedo, Spain) to A.A.-H. We thank Reinier van der Linden for sharing his knowledge (and time), especially his wise advice on multi-color tagged-antibody panel mix and single-color bead control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Italiano, J. E., Jr. Unraveling Mechanisms That Control Platelet Production. </w:t>
      </w:r>
      <w:r>
        <w:rPr>
          <w:rFonts w:ascii="Calibri" w:hAnsi="Calibri" w:cs="Calibri" w:eastAsia="Calibri"/>
          <w:i/>
          <w:color w:val="auto"/>
          <w:spacing w:val="0"/>
          <w:position w:val="0"/>
          <w:sz w:val="24"/>
          <w:shd w:fill="auto" w:val="clear"/>
        </w:rPr>
        <w:t xml:space="preserve">Semin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15-24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Machlus, K. R., Italiano, J. E., Jr. The Incredible Journey: From Megakaryocyte Development To Platelet Formation.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(6), 785-796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Eckly,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Biogenesis Of The Demarcation Membrane System (DMS) In Megakaryocytes.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 921-930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Couldwell, G., Machlus, K. R. Modulation Of Megakaryopoiesis And Platelet Production During Inflammation.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114-120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Kosaki, G. In Vivo Platelet Production From Mature Megakaryocytes: Does Platelet Release Occur Via Proplatelets? </w:t>
      </w:r>
      <w:r>
        <w:rPr>
          <w:rFonts w:ascii="Calibri" w:hAnsi="Calibri" w:cs="Calibri" w:eastAsia="Calibri"/>
          <w:i/>
          <w:color w:val="auto"/>
          <w:spacing w:val="0"/>
          <w:position w:val="0"/>
          <w:sz w:val="24"/>
          <w:shd w:fill="auto" w:val="clear"/>
        </w:rPr>
        <w:t xml:space="preserve">International Journal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208-219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Lefrancais, E., Looney, M. R. Platelet Biogenesis In The Lung Circulation. </w:t>
      </w:r>
      <w:r>
        <w:rPr>
          <w:rFonts w:ascii="Calibri" w:hAnsi="Calibri" w:cs="Calibri" w:eastAsia="Calibri"/>
          <w:i/>
          <w:color w:val="auto"/>
          <w:spacing w:val="0"/>
          <w:position w:val="0"/>
          <w:sz w:val="24"/>
          <w:shd w:fill="auto" w:val="clear"/>
        </w:rPr>
        <w:t xml:space="preserve">Physiology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392-401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Nieswandt, B., Stritt, S. Megakaryocyte Rupture For Acute Platelet Needs.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 327-328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Nishimura,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IL-1alpha Induces Thrombopoiesis Through Megakaryocyte Rupture In Response To Acute Platelet Needs.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 453-466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Sanjuan-Pla,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Platelet-Biased Stem Cells Reside At The Apex Of The Haematopoietic Stem-Cell Hierarchy.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502</w:t>
      </w:r>
      <w:r>
        <w:rPr>
          <w:rFonts w:ascii="Calibri" w:hAnsi="Calibri" w:cs="Calibri" w:eastAsia="Calibri"/>
          <w:color w:val="auto"/>
          <w:spacing w:val="0"/>
          <w:position w:val="0"/>
          <w:sz w:val="24"/>
          <w:shd w:fill="auto" w:val="clear"/>
        </w:rPr>
        <w:t xml:space="preserve"> (7470), 232-236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Notta,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Routes Of Lineage Development Reshape The Human Blood Hierarchy Across Ontogeny.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(6269), Aab2116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Yamamoto,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Clonal Analysis Unveils Self-Renewing Lineage-Restricted Progenitors Generated Directly From Hematopoietic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1112-1126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Decoding Human Megakaryocyte Development.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10.1016/J.Stem.2020.11.006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Meinders,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Repercussion Of Megakaryocyte-Specific Gata1 Loss On Megakaryopoiesis And The Hematopoietic Precursor Compartment.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E0154342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Meinders,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Sp1/Sp3 Transcription Factors Regulate Hallmarks Of Megakaryocyte Maturation And Platelet Formation And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(12), 1957-1967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Salunkhe, V. P., P.; Gutiérrez, L. Culture Of Megakaryocytes From Human Peripheral Blood Mononuclear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(21), E1639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Choudry,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Transcriptional Characterization Of Human Megakaryocyte Polyploidization And Lineage Commitment.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10.1111/Jth.15271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Heazlewood, S. Y., Williams, B., Storan, M. J., Nilsson, S. K. The Prospective Isolation Of Viable, High Ploidy Megakaryocytes From Adult Murine Bone Marrow By Fluorescence Activated Cell Sorting.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1035</w:t>
      </w:r>
      <w:r>
        <w:rPr>
          <w:rFonts w:ascii="Calibri" w:hAnsi="Calibri" w:cs="Calibri" w:eastAsia="Calibri"/>
          <w:color w:val="auto"/>
          <w:spacing w:val="0"/>
          <w:position w:val="0"/>
          <w:sz w:val="24"/>
          <w:shd w:fill="auto" w:val="clear"/>
        </w:rPr>
        <w:t xml:space="preserve"> 121-133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Tomer, A., Harker, L. A., Burstein, S. A. Purification Of Human Megakaryocytes By Fluorescence-Activated Cell Sorting.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1735-1742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Martinez-Botia, P., Acebes-Huerta, A., Seghatchian, J., Gutierrez, L. On The Quest For In Vitro Platelet Production By Re-Tailoring The Concepts Of Megakaryocyte Differentiation. </w:t>
      </w:r>
      <w:r>
        <w:rPr>
          <w:rFonts w:ascii="Calibri" w:hAnsi="Calibri" w:cs="Calibri" w:eastAsia="Calibri"/>
          <w:i/>
          <w:color w:val="auto"/>
          <w:spacing w:val="0"/>
          <w:position w:val="0"/>
          <w:sz w:val="24"/>
          <w:shd w:fill="auto" w:val="clear"/>
        </w:rPr>
        <w:t xml:space="preserve">Medicina (Kaunas).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Martinez-Botia, P., Acebes-Huerta, A., Seghatchian, J., Gutierrez, L. In Vitro Platelet Production For Transfusion Purposes: Where Are We Now? </w:t>
      </w:r>
      <w:r>
        <w:rPr>
          <w:rFonts w:ascii="Calibri" w:hAnsi="Calibri" w:cs="Calibri" w:eastAsia="Calibri"/>
          <w:i/>
          <w:color w:val="auto"/>
          <w:spacing w:val="0"/>
          <w:position w:val="0"/>
          <w:sz w:val="24"/>
          <w:shd w:fill="auto" w:val="clear"/>
        </w:rPr>
        <w:t xml:space="preserve">Transfusion And Apheresis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102864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Butov, 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Megakaryocyte Culture From Human Bone Marrow Aspirates As A Research And Diagnostic Tool. </w:t>
      </w:r>
      <w:r>
        <w:rPr>
          <w:rFonts w:ascii="Calibri" w:hAnsi="Calibri" w:cs="Calibri" w:eastAsia="Calibri"/>
          <w:i/>
          <w:color w:val="auto"/>
          <w:spacing w:val="0"/>
          <w:position w:val="0"/>
          <w:sz w:val="24"/>
          <w:shd w:fill="auto" w:val="clear"/>
        </w:rPr>
        <w:t xml:space="preserve">Platelets.</w:t>
      </w:r>
      <w:r>
        <w:rPr>
          <w:rFonts w:ascii="Calibri" w:hAnsi="Calibri" w:cs="Calibri" w:eastAsia="Calibri"/>
          <w:color w:val="auto"/>
          <w:spacing w:val="0"/>
          <w:position w:val="0"/>
          <w:sz w:val="24"/>
          <w:shd w:fill="auto" w:val="clear"/>
        </w:rPr>
        <w:t xml:space="preserve"> 10.1080/09537104.2020.1817359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 Buduo,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Gold Standard Protocol For Human Megakaryocyte Culture Based On The Analysis Of 1,500 Umbilical Cord Blood Samples. </w:t>
      </w:r>
      <w:r>
        <w:rPr>
          <w:rFonts w:ascii="Calibri" w:hAnsi="Calibri" w:cs="Calibri" w:eastAsia="Calibri"/>
          <w:i/>
          <w:color w:val="auto"/>
          <w:spacing w:val="0"/>
          <w:position w:val="0"/>
          <w:sz w:val="24"/>
          <w:shd w:fill="auto" w:val="clear"/>
        </w:rPr>
        <w:t xml:space="preserve">Thrombosis And Haemostasis.</w:t>
      </w:r>
      <w:r>
        <w:rPr>
          <w:rFonts w:ascii="Calibri" w:hAnsi="Calibri" w:cs="Calibri" w:eastAsia="Calibri"/>
          <w:color w:val="auto"/>
          <w:spacing w:val="0"/>
          <w:position w:val="0"/>
          <w:sz w:val="24"/>
          <w:shd w:fill="auto" w:val="clear"/>
        </w:rPr>
        <w:t xml:space="preserve"> 10.1055/S-0040-1719028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