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Analyzing multifactorial RNA-Seq experiments with DicoExpress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Baudry</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Christine Paysant- Le Roux</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Stefano Colella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Benoît Castandet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Marie-Laure Martin-Magniette</w:t>
      </w:r>
      <w:r>
        <w:rPr>
          <w:rFonts w:ascii="Calibri" w:hAnsi="Calibri" w:cs="Calibri" w:eastAsia="Calibri"/>
          <w:color w:val="auto"/>
          <w:spacing w:val="0"/>
          <w:position w:val="0"/>
          <w:sz w:val="24"/>
          <w:shd w:fill="auto" w:val="clear"/>
          <w:vertAlign w:val="superscript"/>
        </w:rPr>
        <w:t xml:space="preserve">1,2,5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Universit&amp;#233; Paris-Saclay, CNRS, INRAE, Univ Evry, Institute of Plant Sciences Paris-Saclay (IPS2), Orsay, France.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Universit&amp;#233; de Paris, CNRS, INRAE, Institute of Plant Sciences Paris Saclay (IPS2), Orsay,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Universit&amp;#233; Paris-Saclay, INRAE, CNRS, AgroParisTech, GQE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 Moulon, Gif-sur-Yvette,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LSTM, Univ Montpellier, INRAE, IRD, CIRAD, Institut Agro, Montpellier,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Universit&amp;#233; Paris-Saclay, AgroParisTech, INRAE, UMR MIA-Paris, Paris, France.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Marie-Laure Martin-Magniette at marie-laure.magniette@inrae.fr</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DiCoExpress is a script-based tool implemented in R to perform an RNA-Seq analysis from quality control to co-expression. DiCoExpress handles complete and unbalanced design up to 2 biological factors. This video tutorial guides the user through the different features of DiCoExpress.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proper use of statistical modeling in NGS data analysis requires an advanced level of expertise. There has recently been a growing consensus on using generalized linear models for differential analysis of RNA-Seq data and the advantage of mixture models to perform co-expression analysis. To offer a managed setting to use these modeling approaches, we developed DiCoExpress that provides a standardized R pipeline to perform an RNA-Seq analysis. Without any particular knowledge in statistics or R programming, beginners can perform a complete RNA-Seq analysis from quality controls to co-expression through differential analysis based on contrasts inside generalized linear models. An enrichment analysis is proposed both on the lists of differentially expressed genes, and the co-expressed gene clusters. This video tutorial is conceived as a step-by-step protocol to help users take full advantage of DiCoExpress and its potential in empowering the biological interpretation of an RNA-Seq experiment.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Next-generation RNA sequencing (RNA-Seq) technology is now the gold standard of transcriptome analysis. Since the early days of the technology, the combined efforts of bioinformaticians and biostatisticians have resulted in the development of numerous methods tackling all the essential steps of transcriptomic analyses, from mapping to transcript quantification. Most of the tools available today to the biologist are developed within the R software environment for statistical computing and graphs, and many packages for biological data analysis are available in the Bioconductor repository. These packages offer total control and customization of the analysis, but they come at the cost of extensive use of a command-line interface. Because many biologists are more comfortable with a "point and click" approach, the democratization of RNA-Seq analyses requires the development of more user-friendly interfaces or protocols. For example, it is possible to build web interfaces of R packages using Shiny, and command-line data analysis is made more intuitive with the R-studio interface. The development of dedicated, step-by-step tutorials can also help the novel user. In particular, a video tutorial supplements a classic text one, leading to a deeper understanding of all the procedure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recently developed DiCoExpress, a tool for analyzing multifactorial RNA-Seq experiments in R using methods considered to be the best ones based on neutral comparison studies. Starting from a count table, DiCoExpress proposes a data quality control step followed by generalized linear models (GLM) differential gene expression analysis (edgeR package) and the generation of co-expression clusters using Gaussian mixture models (coseq package). DiCoExpress handles complete and unbalanced design up to 2 biological factors (i.e., genotype and treatment) and one technical factor (i.e., replicate). The originality of DiCoExpress lies in its directory architecture storing and organizing data, scripts, and results and in the automation of the writing of the contrasts allowing the user to investigate numerous questions within the same statistical model. An effort was also made to provide graphical outputs illustrating the statistical results.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DiCoExpress workspace is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https://forgemia.inra.fr/GNet/dicoexpress</w:t>
        </w:r>
      </w:hyperlink>
      <w:r>
        <w:rPr>
          <w:rFonts w:ascii="Calibri" w:hAnsi="Calibri" w:cs="Calibri" w:eastAsia="Calibri"/>
          <w:color w:val="auto"/>
          <w:spacing w:val="0"/>
          <w:position w:val="0"/>
          <w:sz w:val="24"/>
          <w:shd w:fill="auto" w:val="clear"/>
        </w:rPr>
        <w:t xml:space="preserve">. It contains four directories, two pdf, and two text files. The Data/ directory contains the input datasets; for this protocol, we will use the "tutorial" dataset. The Sources/ directory contains seven R functions necessary to perform the analysis, and must not be modified by the user. The analysis is run using scripts stored in the Template_scripts/ directory. The one used in this protocol is called DiCoExpress_Tutorial_JoVE.R and can be easily adapted to any transcriptomic project. All the results are written in the Results/ directory and stored in a subdirectory named according to the project. The README.md file contains useful installation information, and any specific details concerning the method and its use can be found in the DiCoExpress_Reference_Manual.pdf 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video tutorial guides the user through the different features of DiCoExpress with the aim to overcome the reluctance felt by biologists using command-line-based tools. We present here the analysis of an artificial RNA-Seq dataset describing gene expression in three biological replicates of four genotypes, with or without treatment. We will now go through the different steps of the DiCoExpress workflow illustrated in Figure 1. The script described in the Protocol section and input files are available on the project site: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https://forgemia.inra.fr/GNet/dicoexpress</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PREREQUISITES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Prepare data files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four csv files stored in the Data/ directory should be named according to the project name. In our example, all the names, therefore, begin with "Tutorial", and we will set</w:t>
      </w:r>
      <w:r>
        <w:rPr>
          <w:rFonts w:ascii="Courier New" w:hAnsi="Courier New" w:cs="Courier New" w:eastAsia="Courier New"/>
          <w:color w:val="auto"/>
          <w:spacing w:val="0"/>
          <w:position w:val="0"/>
          <w:sz w:val="20"/>
          <w:shd w:fill="auto" w:val="clear"/>
        </w:rPr>
        <w:t xml:space="preserve"> </w:t>
      </w:r>
      <w:r>
        <w:rPr>
          <w:rFonts w:ascii="Courier New" w:hAnsi="Courier New" w:cs="Courier New" w:eastAsia="Courier New"/>
          <w:color w:val="auto"/>
          <w:spacing w:val="0"/>
          <w:position w:val="0"/>
          <w:sz w:val="24"/>
          <w:shd w:fill="auto" w:val="clear"/>
        </w:rPr>
        <w:t xml:space="preserve">Project_Name</w:t>
      </w:r>
      <w:r>
        <w:rPr>
          <w:rFonts w:ascii="Courier New" w:hAnsi="Courier New" w:cs="Courier New" w:eastAsia="Courier New"/>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 "Tutorial" in Step 4 of the protocol. The separator used in the csv files must be indicated in the Sep variable in Step 4. In our "tutorial" dataset, the separator is a tabulation. For advanced users the full dataset can be reduced to a subset by providing a list of instructions and a new Project_Name through the Filter variable. This option avoids redundant copies of the input files and verifies FAIR principles.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four csv files, only the COUNTS and TARGET files are mandatory. They contain the raw counts for every gene (here Tutorial_COUNTS.csv) and the experimental design description (here Tutorial_TARGET.csv). The TARGET.csv file describes every sample (one sample per row) with a modality for each biological or technical factor (in the columns). We strongly recommend that the names chosen for the modalities start with a letter, not a number. The name of the last column ("Replicate") cannot be changed. Finally, the sample names (first column) must match the names in the headings of the COUNTS.csv file (Genotype1_control_rep1 in our example). The Enrichment.csv file in which every line contains one Gene_ID and one annotation term is only required if the user plans to run the enrichment analysis. If one gene has several annotations, they will have to be written on different lines. The Annotation.csv file is optional and is used to add a short description of every gene in the output files. The best way to get an annotation file is to retrieve the information from dedicated databases (e.g., Thalemine: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https://bar.utoronto.ca/thalemine/begin.do</w:t>
        </w:r>
      </w:hyperlink>
      <w:r>
        <w:rPr>
          <w:rFonts w:ascii="Calibri" w:hAnsi="Calibri" w:cs="Calibri" w:eastAsia="Calibri"/>
          <w:color w:val="auto"/>
          <w:spacing w:val="0"/>
          <w:position w:val="0"/>
          <w:sz w:val="24"/>
          <w:shd w:fill="auto" w:val="clear"/>
        </w:rPr>
        <w:t xml:space="preserve"> for Arabidopsis).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Installation of DiCoExpress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DiCoExpress requires specific R packages. Use the command line source("../Sources/Install_Packages.R") in the R console to check the required packages' installation status. For users on Linux, another solution is to install the container dedicated to DiCoExpress and available at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https://forgemia.inra.fr/GNet/dicoexpress/container_registry</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By definition, this container contains DiCoExpress with all of the parts needed, such as libraries and other dependencies.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DiCoExpress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Open a R studio session and set directory to Template_scripts.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Open the DiCoExpress_Tutorial.R script in R studio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Load DiCoExpress functions in the R session with the following commands:</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source("../Sources/Load_Functions.R")</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Load_Functions()</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Data_Directory = "../Data"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ab/>
        <w:t xml:space="preserve">&amp;gt; Results_Directory =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Load data files in the R session with the following commands: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Project_Name = "Tutorial"</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Filter = NULL</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Sep="\t"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4"/>
          <w:shd w:fill="auto" w:val="clear"/>
        </w:rPr>
        <w:t xml:space="preserve">&amp;gt; Data_Files = Load_Data_Files(Data_Directory, Project_Name, Filter, Sep)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Split the object Data_Files in several objects to manipulate them easily:</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Project_Name = Data_Files$Project_Name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Target = Data_Files$Target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Raw_Counts = Data_Files$Raw_Counts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Annotation = Data_Files$Annotation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Reference_Enrichment = Data_Files$Reference_Enrichment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Choose a strategy among </w:t>
      </w:r>
      <w:r>
        <w:rPr>
          <w:rFonts w:ascii="Courier New" w:hAnsi="Courier New" w:cs="Courier New" w:eastAsia="Courier New"/>
          <w:color w:val="auto"/>
          <w:spacing w:val="0"/>
          <w:position w:val="0"/>
          <w:sz w:val="24"/>
          <w:shd w:fill="auto" w:val="clear"/>
        </w:rPr>
        <w:t xml:space="preserve">"NbConditions", "NbReplicates"</w:t>
      </w:r>
      <w:r>
        <w:rPr>
          <w:rFonts w:ascii="Calibri" w:hAnsi="Calibri" w:cs="Calibri" w:eastAsia="Calibri"/>
          <w:color w:val="auto"/>
          <w:spacing w:val="0"/>
          <w:position w:val="0"/>
          <w:sz w:val="24"/>
          <w:shd w:fill="auto" w:val="clear"/>
        </w:rPr>
        <w:t xml:space="preserve"> or </w:t>
      </w:r>
      <w:r>
        <w:rPr>
          <w:rFonts w:ascii="Courier New" w:hAnsi="Courier New" w:cs="Courier New" w:eastAsia="Courier New"/>
          <w:color w:val="auto"/>
          <w:spacing w:val="0"/>
          <w:position w:val="0"/>
          <w:sz w:val="24"/>
          <w:shd w:fill="auto" w:val="clear"/>
        </w:rPr>
        <w:t xml:space="preserve">“filterByExpr”</w:t>
      </w:r>
      <w:r>
        <w:rPr>
          <w:rFonts w:ascii="Calibri" w:hAnsi="Calibri" w:cs="Calibri" w:eastAsia="Calibri"/>
          <w:color w:val="auto"/>
          <w:spacing w:val="0"/>
          <w:position w:val="0"/>
          <w:sz w:val="24"/>
          <w:shd w:fill="auto" w:val="clear"/>
        </w:rPr>
        <w:t xml:space="preserve"> and a threshold to filter low expressed genes. Here we choose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Filter_Strategy = "NbReplicates"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CPM_Cutoff =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Specify group colors with the command</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&amp;gt; </w:t>
      </w:r>
      <w:r>
        <w:rPr>
          <w:rFonts w:ascii="Courier New" w:hAnsi="Courier New" w:cs="Courier New" w:eastAsia="Courier New"/>
          <w:color w:val="auto"/>
          <w:spacing w:val="0"/>
          <w:position w:val="0"/>
          <w:sz w:val="24"/>
          <w:shd w:fill="auto" w:val="clear"/>
        </w:rPr>
        <w:t xml:space="preserve">Color_Group = NULL</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it is set to NULL, R automatically attributes colors to the biological conditions. Otherwise enter a vector indicating a color per biological group.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Choose a normalization method among those accepted by the function calcNormFactors of edgeR. As for example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Normalization_Method = "TMM"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Perform the quality control by executing the following function</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Quality_Control(Data_Directory, Results_Directory, Project_Name, Target, Raw_Counts, Filter_Strategy, Color_Group, CPM_Cutoff, Normalization_Method)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State </w:t>
      </w:r>
      <w:r>
        <w:rPr>
          <w:rFonts w:ascii="Courier New" w:hAnsi="Courier New" w:cs="Courier New" w:eastAsia="Courier New"/>
          <w:color w:val="auto"/>
          <w:spacing w:val="0"/>
          <w:position w:val="0"/>
          <w:sz w:val="24"/>
          <w:shd w:fill="auto" w:val="clear"/>
        </w:rPr>
        <w:t xml:space="preserve">Replicate = TRUE</w:t>
      </w:r>
      <w:r>
        <w:rPr>
          <w:rFonts w:ascii="Calibri" w:hAnsi="Calibri" w:cs="Calibri" w:eastAsia="Calibri"/>
          <w:color w:val="auto"/>
          <w:spacing w:val="0"/>
          <w:position w:val="0"/>
          <w:sz w:val="24"/>
          <w:shd w:fill="auto" w:val="clear"/>
        </w:rPr>
        <w:t xml:space="preserve"> if data are paired according to the replicate factor, </w:t>
      </w:r>
      <w:r>
        <w:rPr>
          <w:rFonts w:ascii="Courier New" w:hAnsi="Courier New" w:cs="Courier New" w:eastAsia="Courier New"/>
          <w:color w:val="auto"/>
          <w:spacing w:val="0"/>
          <w:position w:val="0"/>
          <w:sz w:val="20"/>
          <w:shd w:fill="auto" w:val="clear"/>
        </w:rPr>
        <w:t xml:space="preserve">FALSE</w:t>
      </w:r>
      <w:r>
        <w:rPr>
          <w:rFonts w:ascii="Calibri" w:hAnsi="Calibri" w:cs="Calibri" w:eastAsia="Calibri"/>
          <w:color w:val="auto"/>
          <w:spacing w:val="0"/>
          <w:position w:val="0"/>
          <w:sz w:val="24"/>
          <w:shd w:fill="auto" w:val="clear"/>
        </w:rPr>
        <w:t xml:space="preserve"> otherwise.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Assign </w:t>
      </w:r>
      <w:r>
        <w:rPr>
          <w:rFonts w:ascii="Courier New" w:hAnsi="Courier New" w:cs="Courier New" w:eastAsia="Courier New"/>
          <w:color w:val="auto"/>
          <w:spacing w:val="0"/>
          <w:position w:val="0"/>
          <w:sz w:val="24"/>
          <w:shd w:fill="auto" w:val="clear"/>
        </w:rPr>
        <w:t xml:space="preserve">Interaction = TRUE</w:t>
      </w:r>
      <w:r>
        <w:rPr>
          <w:rFonts w:ascii="Calibri" w:hAnsi="Calibri" w:cs="Calibri" w:eastAsia="Calibri"/>
          <w:color w:val="auto"/>
          <w:spacing w:val="0"/>
          <w:position w:val="0"/>
          <w:sz w:val="24"/>
          <w:shd w:fill="auto" w:val="clear"/>
        </w:rPr>
        <w:t xml:space="preserve"> to consider an interaction between the two biological factors, </w:t>
      </w:r>
      <w:r>
        <w:rPr>
          <w:rFonts w:ascii="Courier New" w:hAnsi="Courier New" w:cs="Courier New" w:eastAsia="Courier New"/>
          <w:color w:val="auto"/>
          <w:spacing w:val="0"/>
          <w:position w:val="0"/>
          <w:sz w:val="24"/>
          <w:shd w:fill="auto" w:val="clear"/>
        </w:rPr>
        <w:t xml:space="preserve">FALSE</w:t>
      </w:r>
      <w:r>
        <w:rPr>
          <w:rFonts w:ascii="Calibri" w:hAnsi="Calibri" w:cs="Calibri" w:eastAsia="Calibri"/>
          <w:color w:val="auto"/>
          <w:spacing w:val="0"/>
          <w:position w:val="0"/>
          <w:sz w:val="24"/>
          <w:shd w:fill="auto" w:val="clear"/>
        </w:rPr>
        <w:t xml:space="preserve"> otherwise.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Specify the statistical model with the following commands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Model = GLM_Contrasts(Results_Directory, Project_Name, Target, Replicate, Interaction)</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GLM_Model = Model$GLM_Model</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Contrasts = Model$Contrasts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Define the threshold of the False Discovery Rate, here 0.05</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Alpha_DiffAnalysis =0.05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Perform the differential analysis with the following commands</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Index_Contrast=1:nrow(Contrasts)</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NbGenes_Profiles = 20 </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NbGenes_Clustering = 50</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DiffAnalysis.edgeR(Data_Directory, Results_Directory, Project_Name, Target, Raw_Counts, GLM_Model, Contrasts, Index_Contrast, Filter_Strategy, Alpha_DiffAnalysis, NbGenes_Profiles, NbGenes_Clustering, CPM_Cutoff, Normalization_Method)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Fix a threshold for the enrichment analysis, here 0.01</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Alpha_Enrichment = 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Perform the enrichment analysis of differentially expressed genes (DEG) lists</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Title = NULL</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Enrichment(Results_Directory, Project_Name, Title, Reference_Enrichment, Alpha_Enrichment)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Choose DEG lists to be compared. As for example,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Groups = Contrasts$Contrasts[24:28]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Provide a name for the list comparison. This name is used for the directory where the output files will be saved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Title = "Interaction_with_Genotypes_1_and_2"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Specify the action to be done on the DEG lists by setting the parameter Operation to union or intersection. We choose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Operation = “Union”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w:t>
        <w:tab/>
        <w:t xml:space="preserve">Compare the DEGs lists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Venn_IntersectUnion(Data_Directory, Results_Directory, Project_Name, Title, Groups, Operation)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Perform a co-expression analysis with the function</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Coexpression_coseq(Data_Directory, Results_Directory, Project_Name, Title, Target, Raw_Counts, Color_Group)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Perform enrichment analysis of the co-expression clusters</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Enrichment(Results_Directory, Project_Name, Title, Reference_Enrichment, Alpha_Enrichment)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Generate two log files containing all the necessary information to reproduce the analysis </w:t>
      </w:r>
    </w:p>
    <w:p>
      <w:pPr>
        <w:spacing w:before="0" w:after="0" w:line="240"/>
        <w:ind w:right="0" w:left="0" w:firstLine="720"/>
        <w:jc w:val="left"/>
        <w:rPr>
          <w:rFonts w:ascii="Courier New" w:hAnsi="Courier New" w:cs="Courier New" w:eastAsia="Courier New"/>
          <w:color w:val="auto"/>
          <w:spacing w:val="0"/>
          <w:position w:val="0"/>
          <w:sz w:val="24"/>
          <w:shd w:fill="auto" w:val="clear"/>
        </w:rPr>
      </w:pPr>
      <w:r>
        <w:rPr>
          <w:rFonts w:ascii="Courier New" w:hAnsi="Courier New" w:cs="Courier New" w:eastAsia="Courier New"/>
          <w:color w:val="auto"/>
          <w:spacing w:val="0"/>
          <w:position w:val="0"/>
          <w:sz w:val="24"/>
          <w:shd w:fill="auto" w:val="clear"/>
        </w:rPr>
        <w:t xml:space="preserve">&amp;gt; Save_Parameters()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Command lines used in this protocol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Lines that have to be modified to analyze another dataset are highlighted.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DiCoExpress outputs are saved in the </w:t>
      </w:r>
      <w:r>
        <w:rPr>
          <w:rFonts w:ascii="Calibri" w:hAnsi="Calibri" w:cs="Calibri" w:eastAsia="Calibri"/>
          <w:i/>
          <w:color w:val="auto"/>
          <w:spacing w:val="0"/>
          <w:position w:val="0"/>
          <w:sz w:val="24"/>
          <w:shd w:fill="auto" w:val="clear"/>
        </w:rPr>
        <w:t xml:space="preserve">Tutorial/</w:t>
      </w:r>
      <w:r>
        <w:rPr>
          <w:rFonts w:ascii="Calibri" w:hAnsi="Calibri" w:cs="Calibri" w:eastAsia="Calibri"/>
          <w:color w:val="auto"/>
          <w:spacing w:val="0"/>
          <w:position w:val="0"/>
          <w:sz w:val="24"/>
          <w:shd w:fill="auto" w:val="clear"/>
        </w:rPr>
        <w:t xml:space="preserve"> directory, itself placed within the </w:t>
      </w:r>
      <w:r>
        <w:rPr>
          <w:rFonts w:ascii="Calibri" w:hAnsi="Calibri" w:cs="Calibri" w:eastAsia="Calibri"/>
          <w:i/>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directory. We provide here some guidance for assessing the overall quality of the analysis.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Quality Control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control output, located in the </w:t>
      </w:r>
      <w:r>
        <w:rPr>
          <w:rFonts w:ascii="Calibri" w:hAnsi="Calibri" w:cs="Calibri" w:eastAsia="Calibri"/>
          <w:i/>
          <w:color w:val="auto"/>
          <w:spacing w:val="0"/>
          <w:position w:val="0"/>
          <w:sz w:val="24"/>
          <w:shd w:fill="auto" w:val="clear"/>
        </w:rPr>
        <w:t xml:space="preserve">Quality_Control/</w:t>
      </w:r>
      <w:r>
        <w:rPr>
          <w:rFonts w:ascii="Calibri" w:hAnsi="Calibri" w:cs="Calibri" w:eastAsia="Calibri"/>
          <w:color w:val="auto"/>
          <w:spacing w:val="0"/>
          <w:position w:val="0"/>
          <w:sz w:val="24"/>
          <w:shd w:fill="auto" w:val="clear"/>
        </w:rPr>
        <w:t xml:space="preserve"> directory, is essential to verify that the RNA-Seq analysis results are reliable. The Data_Quality_Control.pdf file contains several plots obtained with raw and normalized data that can be used to identify any potential issues with the data. The total normalized counts per sample should be similar when comparing both intra- and inter-conditions. Moreover, the normalized gene expression counts are expected to exhibit similar median and variance both in intra- and inter-conditions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Otherwise, this could be the sign of non-similar variance between conditions, an issue that could be problematic for model fitting.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PCA plots on normalized counts produced in DiCoExpress are helpful to identify potential underlying data structures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our example, there is no clustering according to the replicates, meaning that this factor is not discriminant. At the same time, a clear distinction can be identified between treatments. These results indicate a good quality dataset since the biological effect is always expected to be stronger than the replicate one. In conclusion, the overall quality observed here does not prevent any subsequent analysis of the entire dataset.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Statistical modeling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DiCoExpress facilitates the writing of the statistical modeling of the logarithm of the mean expression from the two variables </w:t>
      </w:r>
      <w:r>
        <w:rPr>
          <w:rFonts w:ascii="Calibri" w:hAnsi="Calibri" w:cs="Calibri" w:eastAsia="Calibri"/>
          <w:i/>
          <w:color w:val="auto"/>
          <w:spacing w:val="0"/>
          <w:position w:val="0"/>
          <w:sz w:val="24"/>
          <w:shd w:fill="auto" w:val="clear"/>
        </w:rPr>
        <w:t xml:space="preserve">Replicate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Interaction</w:t>
      </w:r>
      <w:r>
        <w:rPr>
          <w:rFonts w:ascii="Calibri" w:hAnsi="Calibri" w:cs="Calibri" w:eastAsia="Calibri"/>
          <w:color w:val="auto"/>
          <w:spacing w:val="0"/>
          <w:position w:val="0"/>
          <w:sz w:val="24"/>
          <w:shd w:fill="auto" w:val="clear"/>
        </w:rPr>
        <w:t xml:space="preserve">. A replicate effect is conceivable if the samples of all the biological conditions are collected at the same time and that this experiment is replicated on different days to measure biological variability. In a typical plant science experiment, for example, samples are grown in the same growth chamber regardless of the biological condition under study and biological replicates correspond to experiments started at different days. In this case, the samples of the same replicate are paired, and you should set </w:t>
      </w:r>
      <w:r>
        <w:rPr>
          <w:rFonts w:ascii="Calibri" w:hAnsi="Calibri" w:cs="Calibri" w:eastAsia="Calibri"/>
          <w:i/>
          <w:color w:val="auto"/>
          <w:spacing w:val="0"/>
          <w:position w:val="0"/>
          <w:sz w:val="24"/>
          <w:shd w:fill="auto" w:val="clear"/>
        </w:rPr>
        <w:t xml:space="preserve">Replicate</w:t>
      </w:r>
      <w:r>
        <w:rPr>
          <w:rFonts w:ascii="Calibri" w:hAnsi="Calibri" w:cs="Calibri" w:eastAsia="Calibri"/>
          <w:color w:val="auto"/>
          <w:spacing w:val="0"/>
          <w:position w:val="0"/>
          <w:sz w:val="24"/>
          <w:shd w:fill="auto" w:val="clear"/>
        </w:rPr>
        <w:t xml:space="preserve"> to TRUE. Otherwise, </w:t>
      </w:r>
      <w:r>
        <w:rPr>
          <w:rFonts w:ascii="Calibri" w:hAnsi="Calibri" w:cs="Calibri" w:eastAsia="Calibri"/>
          <w:i/>
          <w:color w:val="auto"/>
          <w:spacing w:val="0"/>
          <w:position w:val="0"/>
          <w:sz w:val="24"/>
          <w:shd w:fill="auto" w:val="clear"/>
        </w:rPr>
        <w:t xml:space="preserve">Replicate</w:t>
      </w:r>
      <w:r>
        <w:rPr>
          <w:rFonts w:ascii="Calibri" w:hAnsi="Calibri" w:cs="Calibri" w:eastAsia="Calibri"/>
          <w:color w:val="auto"/>
          <w:spacing w:val="0"/>
          <w:position w:val="0"/>
          <w:sz w:val="24"/>
          <w:shd w:fill="auto" w:val="clear"/>
        </w:rPr>
        <w:t xml:space="preserve"> should be set to FALSE. This replicate effect is also known as a batch effect.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experimental design is described by two biological factors expected to interact, set the variable </w:t>
      </w:r>
      <w:r>
        <w:rPr>
          <w:rFonts w:ascii="Courier New" w:hAnsi="Courier New" w:cs="Courier New" w:eastAsia="Courier New"/>
          <w:color w:val="auto"/>
          <w:spacing w:val="0"/>
          <w:position w:val="0"/>
          <w:sz w:val="24"/>
          <w:shd w:fill="auto" w:val="clear"/>
        </w:rPr>
        <w:t xml:space="preserve">Interaction</w:t>
      </w:r>
      <w:r>
        <w:rPr>
          <w:rFonts w:ascii="Calibri" w:hAnsi="Calibri" w:cs="Calibri" w:eastAsia="Calibri"/>
          <w:color w:val="auto"/>
          <w:spacing w:val="0"/>
          <w:position w:val="0"/>
          <w:sz w:val="24"/>
          <w:shd w:fill="auto" w:val="clear"/>
        </w:rPr>
        <w:t xml:space="preserve"> to TRUE to consider the interaction. Note that for a project containing only one biological factor, the variable </w:t>
      </w:r>
      <w:r>
        <w:rPr>
          <w:rFonts w:ascii="Courier New" w:hAnsi="Courier New" w:cs="Courier New" w:eastAsia="Courier New"/>
          <w:color w:val="auto"/>
          <w:spacing w:val="0"/>
          <w:position w:val="0"/>
          <w:sz w:val="24"/>
          <w:shd w:fill="auto" w:val="clear"/>
        </w:rPr>
        <w:t xml:space="preserve">Interaction</w:t>
      </w:r>
      <w:r>
        <w:rPr>
          <w:rFonts w:ascii="Calibri" w:hAnsi="Calibri" w:cs="Calibri" w:eastAsia="Calibri"/>
          <w:color w:val="auto"/>
          <w:spacing w:val="0"/>
          <w:position w:val="0"/>
          <w:sz w:val="24"/>
          <w:shd w:fill="auto" w:val="clear"/>
        </w:rPr>
        <w:t xml:space="preserve"> is automatically set to FALSE.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Differential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DEG identified for all the tested contrasts are available in text files located in their respective subdirectories within the </w:t>
      </w:r>
      <w:r>
        <w:rPr>
          <w:rFonts w:ascii="Calibri" w:hAnsi="Calibri" w:cs="Calibri" w:eastAsia="Calibri"/>
          <w:i/>
          <w:color w:val="auto"/>
          <w:spacing w:val="0"/>
          <w:position w:val="0"/>
          <w:sz w:val="24"/>
          <w:shd w:fill="auto" w:val="clear"/>
        </w:rPr>
        <w:t xml:space="preserve">DiffAnalysis/</w:t>
      </w:r>
      <w:r>
        <w:rPr>
          <w:rFonts w:ascii="Calibri" w:hAnsi="Calibri" w:cs="Calibri" w:eastAsia="Calibri"/>
          <w:color w:val="auto"/>
          <w:spacing w:val="0"/>
          <w:position w:val="0"/>
          <w:sz w:val="24"/>
          <w:shd w:fill="auto" w:val="clear"/>
        </w:rPr>
        <w:t xml:space="preserve"> directory. By default, all the contrasts are tested. Depending on the experimental design, some contrasts can be of limited biological interest (for example, an average on several genotypes). Note that the false positive control is performed per contrast ensuring that potentially irrelevant contrasts do not impact the analysis. It is however possible to produce plots only containing the contrast of interests by acting on the </w:t>
      </w:r>
      <w:r>
        <w:rPr>
          <w:rFonts w:ascii="Calibri" w:hAnsi="Calibri" w:cs="Calibri" w:eastAsia="Calibri"/>
          <w:i/>
          <w:color w:val="auto"/>
          <w:spacing w:val="0"/>
          <w:position w:val="0"/>
          <w:sz w:val="24"/>
          <w:shd w:fill="auto" w:val="clear"/>
        </w:rPr>
        <w:t xml:space="preserve">Index_Contrast</w:t>
      </w:r>
      <w:r>
        <w:rPr>
          <w:rFonts w:ascii="Calibri" w:hAnsi="Calibri" w:cs="Calibri" w:eastAsia="Calibri"/>
          <w:color w:val="auto"/>
          <w:spacing w:val="0"/>
          <w:position w:val="0"/>
          <w:sz w:val="24"/>
          <w:shd w:fill="auto" w:val="clear"/>
        </w:rPr>
        <w:t xml:space="preserve"> variable. Details are available in the online reference manual.</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It is essential to notice that </w:t>
      </w:r>
      <w:r>
        <w:rPr>
          <w:rFonts w:ascii="Calibri" w:hAnsi="Calibri" w:cs="Calibri" w:eastAsia="Calibri"/>
          <w:i/>
          <w:color w:val="auto"/>
          <w:spacing w:val="0"/>
          <w:position w:val="0"/>
          <w:sz w:val="24"/>
          <w:shd w:fill="auto" w:val="clear"/>
        </w:rPr>
        <w:t xml:space="preserve">DiffAnalysis/</w:t>
      </w:r>
      <w:r>
        <w:rPr>
          <w:rFonts w:ascii="Calibri" w:hAnsi="Calibri" w:cs="Calibri" w:eastAsia="Calibri"/>
          <w:color w:val="auto"/>
          <w:spacing w:val="0"/>
          <w:position w:val="0"/>
          <w:sz w:val="24"/>
          <w:shd w:fill="auto" w:val="clear"/>
        </w:rPr>
        <w:t xml:space="preserve"> also contains the raw p-value histograms that have recently been shown to be the best way to assess the quality of the modeling . The expected distribution of raw p-values is supposed to be uniform, with possibly a peak at the left end side of the distribution. A high peak for a raw p-value of 1 is indicative of model fitting issues. In this case, the problem can often be solved by increasing the set </w:t>
      </w:r>
      <w:r>
        <w:rPr>
          <w:rFonts w:ascii="Courier New" w:hAnsi="Courier New" w:cs="Courier New" w:eastAsia="Courier New"/>
          <w:color w:val="auto"/>
          <w:spacing w:val="0"/>
          <w:position w:val="0"/>
          <w:sz w:val="24"/>
          <w:shd w:fill="auto" w:val="clear"/>
        </w:rPr>
        <w:t xml:space="preserve">CPM_Cutoff</w:t>
      </w:r>
      <w:r>
        <w:rPr>
          <w:rFonts w:ascii="Calibri" w:hAnsi="Calibri" w:cs="Calibri" w:eastAsia="Calibri"/>
          <w:color w:val="auto"/>
          <w:spacing w:val="0"/>
          <w:position w:val="0"/>
          <w:sz w:val="24"/>
          <w:shd w:fill="auto" w:val="clear"/>
        </w:rPr>
        <w:t xml:space="preserve"> value, for example, from 1 to 5. Examples of raw histograms are available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in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https://forgemia.inra.fr/GNet/dicoexpress/-/blob/master/DiCoExpress_Tutorial.pdf</w:t>
        </w:r>
      </w:hyperlink>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For every tested contrast, expression profiles of the top DEG identified (top 20 by default) are plotted in the file Top20_Profile.pdf located in the directory of the contrast. An example for one gene identified as DE in one contrast is shown in </w:t>
      </w:r>
      <w:r>
        <w:rPr>
          <w:rFonts w:ascii="Calibri" w:hAnsi="Calibri" w:cs="Calibri" w:eastAsia="Calibri"/>
          <w:b/>
          <w:color w:val="auto"/>
          <w:spacing w:val="0"/>
          <w:position w:val="0"/>
          <w:sz w:val="24"/>
          <w:u w:val="single"/>
          <w:shd w:fill="auto" w:val="clear"/>
        </w:rPr>
        <w:t xml:space="preserve">Figure 4B</w:t>
      </w:r>
      <w:r>
        <w:rPr>
          <w:rFonts w:ascii="Calibri" w:hAnsi="Calibri" w:cs="Calibri" w:eastAsia="Calibri"/>
          <w:color w:val="auto"/>
          <w:spacing w:val="0"/>
          <w:position w:val="0"/>
          <w:sz w:val="24"/>
          <w:u w:val="single"/>
          <w:shd w:fill="auto" w:val="clear"/>
        </w:rPr>
        <w:t xml:space="preserve">. The number of up and down DEG is plotted for every tested contrast and is found in the file Down_Up_DEG.pdf (example in Figu</w:t>
      </w:r>
      <w:r>
        <w:rPr>
          <w:rFonts w:ascii="Calibri" w:hAnsi="Calibri" w:cs="Calibri" w:eastAsia="Calibri"/>
          <w:b/>
          <w:color w:val="auto"/>
          <w:spacing w:val="0"/>
          <w:position w:val="0"/>
          <w:sz w:val="24"/>
          <w:u w:val="single"/>
          <w:shd w:fill="auto" w:val="clear"/>
        </w:rPr>
        <w:t xml:space="preserve">re 4C</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Co-expression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example, the co-expression analysis is performed on the union of 5 DEG lists, identified by contrast looking for treatment response variation between genotype 1 or 2 against others. Venn diagram of DEG is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co-expressed genes for every identified cluster are printed in individual text files (one file per cluster). The expression profiles of the different clusters together are available in the Boxplot_profiles_Coseq.pdf file (see example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Although customization options are available, they should only be used by advanced users. Please refer to the reference manual for a complete explanation of the different parameters.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Enrichment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Lists corresponding to the contrast and cluster enrichment analyses are located in their respective directories. An annotation term found as significant in this analysis can be either over- or under-represented in the Gene_ID list. This information is included in the output file.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the test decision is made from the raw p-values. If the user wants to adjust the raw p-values a posteriori, they are available in the file with suffix All_Enrichment_Results.txt.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Validity of DiCoExpress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DiCoExpress has been developed to facilitate multifactorial RNA-Seq experiments analyses, the validity of its results largely depends on the characteristics of the dataset. Several outputs should carefully be checked before any valid interpretation of the results. First, in the quality control step, the normalized library size should be similar and the normalized gene expression count should exhibit similar median and variance in both intra- and inter-conditions. Then, a particular attention should be paid to the shape of the raw p-value histograms. Finally, when performing a co-expression analysis, a clearly defined minimum value for the ICL is indicative of a good quality. It these conditions are not met, any interpretation of the results is likely to be erroneous.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DiCoExpress Analysis pipeline.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seven steps of a complete RNA-Seq analysis using DiCoExpress are indicated blue boxes represent steps where statistical methods are performed. Step 7 (Enrichment) can be done after Step 4 (Differential Analysis and is named 7.1 in Figure 2) and/or Step 6 (Co-expression analysis and is named 7.2 in Figure 2). Red numbers correspond to the step numbers in the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Screenshots of DiCoExpress command lines.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Command lines used to analyze the tutorial dataset are indicated. Number in black circles are the same than in figure 1. Red rectangles highlight lines that can be customized by the user.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the quality control step.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obtained with the “Tutorial” dataset normalized counts.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Boxplot of normalized counts.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PCA on normalized counts.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the Differential expression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obtained with the “Tutorial” dataset.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 p-value histogram of the [control_Genotype2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control_Genotype3] contrast.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C1G62301.1 gene expression profile in every genotype and condition, one of the Top20 Differentially Expressed Gene in the [control_Genotype2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control_Genotype3] contrast.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of up and down Differentially Expressed Genes in every tested contrast.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of the Coexpression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obtained with the “Tutorial” dataset.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Venn diagram of DEG from the 5 “interaction with Genotype 1 and 2” contrasts. DEG from the treatment response variation between Genotype 1 and 2, 1 and 3, 1 and 4, 2 and 3, 2 and 4 are in circle A, B, C, D, E respectively. The number written at the bottom right (“14877”) is the number of genes that are not DE in any list.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Expression Profile of genes from the coexpression Cluster 3. Figure is extracted from Tutorial_Interaction_with_Genotypes_1_and_2_Boxplot_profiles_Coseq.pdf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RNA-Seq has become a ubiquitous method in biological studies, there is a constant need to develop versatile and user-friendly analytical tools. A critical step within most of the analytical workflows is often to identify with confidence the genes differentially expressed between biological conditions and/or treatments. The production of reliable results requires proper statistical modeling, which has been the motivation for the development of DiCoExpress.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DiCoExpress is a script-based tool implemented in R that aims at helping biologists take full advantage of the possibilities of neutral comparison studies when looking for DEG. DiCoExpress provides a standardized pipeline offering the opportunity to evaluate the data structure and quality, therefore ensuring the best modeling approach is chosen. Without any particular knowledge in statistics or R programming, it allows beginners to perform a complete RNA-Seq analysis from quality controls to co-expression through differential analysis based on contrasts inside generalized linear models. It is important to note that DiCoExpress focuses on the statistical part of an RNA-Seq analysis and requires a count table as input. The multiple bioinformatics methods dedicated to RNA-Seq read alignments and the creation of count tables are out of the scope of the tool. They nevertheless have a direct influence on the quality of the final analysis and should be carefully chosen.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DiCoExpress is not a "point and click" tool, its directory architecture and the template script provided and used in the R-Studio interface make it accessible to biologists with minimal knowledge of R. Once DiCoExpress is installed, users should know how to use a function in R and identify required and optional arguments. The first critical step is to correctly provide the two mandatory files containing the raw counts for every gene (the COUNTS file) and the experimental design description (the TARGET file). The used separator should be the same for every file and the description of the samples should be done appropriately according to the modalities of the biological factors. Once the two files are loaded in DiCoExpress, the analysis is almost automated until the second critical step, i.e., the co-expression analysis. This analysis can indeed be time-consuming and a powerful calculation server could be required to run it on large datasets.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automation of the contrast writing becomes challenging for more than two biological factors, we limited DiCoExpress to the complete and unbalanced design of up to 2 biological factors. If a project contains more than 2 biological factors, a practical solution is to collapse two of the initial factors to create a new one. Nevertheless, one has to keep in mind that the difficulty of giving a meaningful biological interpretation increases when the biological factor number increases.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DiCoExpress is conceived as an evolving tool and we strongly encourage users to subscribe to the mailing list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https://groupes.renater.fr/sympa/subscribe/dicoexpress</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Any modifications or improvements to the tool will be announced on the list and we welcome questions or suggestions. We also hope that the adoption of DiCoExpress by a large community will allow tracking and fixing any bugs that might occur in some particular analysis context. All the updates and corrections will be pushed to the git directory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https://forgemia.inra.fr/GNet/dicoexpress</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mainly supported by the ANR PSYCHE (ANR-16-CE20-0009). The authors thank F. Desprez for the construction of the container of DiCoExpress. KB work is supported by the Investment for the Future ANR-10-BTBR-01-01 Amaizing program. The GQE and IPS2 laboratories bene</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t from the support of Saclay Plant Sciences-SPS (ANR-17-EUR-0007).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orgemia.inra.fr/GNet/dicoexpress/container_registry" Id="docRId3" Type="http://schemas.openxmlformats.org/officeDocument/2006/relationships/hyperlink" /><Relationship Target="numbering.xml" Id="docRId7" Type="http://schemas.openxmlformats.org/officeDocument/2006/relationships/numbering" /><Relationship TargetMode="External" Target="https://forgemia.inra.fr/GNet/dicoexpress" Id="docRId0" Type="http://schemas.openxmlformats.org/officeDocument/2006/relationships/hyperlink" /><Relationship TargetMode="External" Target="https://bar.utoronto.ca/thalemine/begin.do" Id="docRId2" Type="http://schemas.openxmlformats.org/officeDocument/2006/relationships/hyperlink" /><Relationship TargetMode="External" Target="https://forgemia.inra.fr/GNet/dicoexpress/-/blob/master/DiCoExpress_Tutorial.pdf" Id="docRId4" Type="http://schemas.openxmlformats.org/officeDocument/2006/relationships/hyperlink" /><Relationship TargetMode="External" Target="https://forgemia.inra.fr/GNet/dicoexpress" Id="docRId6" Type="http://schemas.openxmlformats.org/officeDocument/2006/relationships/hyperlink" /><Relationship Target="styles.xml" Id="docRId8" Type="http://schemas.openxmlformats.org/officeDocument/2006/relationships/styles" /><Relationship TargetMode="External" Target="https://forgemia.inra.fr/GNet/dicoexpress" Id="docRId1" Type="http://schemas.openxmlformats.org/officeDocument/2006/relationships/hyperlink" /><Relationship TargetMode="External" Target="https://groupes.renater.fr/sympa/subscribe/dicoexpress" Id="docRId5" Type="http://schemas.openxmlformats.org/officeDocument/2006/relationships/hyperlink" /></Relationships>
</file>