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0736B6D2" w:rsidR="006E4797" w:rsidRPr="00770846" w:rsidRDefault="00551D82" w:rsidP="00770846">
      <w:pPr>
        <w:pBdr>
          <w:top w:val="nil"/>
          <w:left w:val="nil"/>
          <w:bottom w:val="nil"/>
          <w:right w:val="nil"/>
          <w:between w:val="nil"/>
        </w:pBdr>
        <w:rPr>
          <w:rFonts w:asciiTheme="majorHAnsi" w:hAnsiTheme="majorHAnsi" w:cstheme="majorHAnsi"/>
        </w:rPr>
      </w:pPr>
      <w:r w:rsidRPr="00770846">
        <w:rPr>
          <w:rFonts w:asciiTheme="majorHAnsi" w:hAnsiTheme="majorHAnsi" w:cstheme="majorHAnsi"/>
          <w:b/>
        </w:rPr>
        <w:t>TITLE</w:t>
      </w:r>
      <w:r w:rsidR="007A780D" w:rsidRPr="00770846">
        <w:rPr>
          <w:rFonts w:asciiTheme="majorHAnsi" w:hAnsiTheme="majorHAnsi" w:cstheme="majorHAnsi"/>
          <w:b/>
        </w:rPr>
        <w:t>:</w:t>
      </w:r>
    </w:p>
    <w:p w14:paraId="59AAC127" w14:textId="107BBDC8" w:rsidR="006E4797" w:rsidRPr="00770846" w:rsidRDefault="00C932A2" w:rsidP="00770846">
      <w:pPr>
        <w:rPr>
          <w:rFonts w:asciiTheme="majorHAnsi" w:hAnsiTheme="majorHAnsi" w:cstheme="majorHAnsi"/>
        </w:rPr>
      </w:pPr>
      <w:r w:rsidRPr="00770846">
        <w:rPr>
          <w:rFonts w:asciiTheme="majorHAnsi" w:hAnsiTheme="majorHAnsi" w:cstheme="majorHAnsi"/>
        </w:rPr>
        <w:t>Positron Emission Tomography</w:t>
      </w:r>
      <w:r w:rsidR="00F313AF" w:rsidRPr="00770846">
        <w:rPr>
          <w:rFonts w:asciiTheme="majorHAnsi" w:hAnsiTheme="majorHAnsi" w:cstheme="majorHAnsi"/>
        </w:rPr>
        <w:t xml:space="preserve">-based </w:t>
      </w:r>
      <w:r w:rsidR="00244294" w:rsidRPr="00770846">
        <w:rPr>
          <w:rFonts w:asciiTheme="majorHAnsi" w:hAnsiTheme="majorHAnsi" w:cstheme="majorHAnsi"/>
        </w:rPr>
        <w:t>D</w:t>
      </w:r>
      <w:r w:rsidR="0016146D" w:rsidRPr="00770846">
        <w:rPr>
          <w:rFonts w:asciiTheme="majorHAnsi" w:hAnsiTheme="majorHAnsi" w:cstheme="majorHAnsi"/>
        </w:rPr>
        <w:t xml:space="preserve">ose </w:t>
      </w:r>
      <w:r w:rsidR="00244294" w:rsidRPr="00770846">
        <w:rPr>
          <w:rFonts w:asciiTheme="majorHAnsi" w:hAnsiTheme="majorHAnsi" w:cstheme="majorHAnsi"/>
        </w:rPr>
        <w:t>P</w:t>
      </w:r>
      <w:r w:rsidR="0016146D" w:rsidRPr="00770846">
        <w:rPr>
          <w:rFonts w:asciiTheme="majorHAnsi" w:hAnsiTheme="majorHAnsi" w:cstheme="majorHAnsi"/>
        </w:rPr>
        <w:t>ainting</w:t>
      </w:r>
      <w:r w:rsidR="00BA287D" w:rsidRPr="00770846">
        <w:rPr>
          <w:rFonts w:asciiTheme="majorHAnsi" w:hAnsiTheme="majorHAnsi" w:cstheme="majorHAnsi"/>
        </w:rPr>
        <w:t xml:space="preserve"> </w:t>
      </w:r>
      <w:r w:rsidR="00244294" w:rsidRPr="00770846">
        <w:rPr>
          <w:rFonts w:asciiTheme="majorHAnsi" w:hAnsiTheme="majorHAnsi" w:cstheme="majorHAnsi"/>
        </w:rPr>
        <w:t>R</w:t>
      </w:r>
      <w:r w:rsidR="00BA287D" w:rsidRPr="00770846">
        <w:rPr>
          <w:rFonts w:asciiTheme="majorHAnsi" w:hAnsiTheme="majorHAnsi" w:cstheme="majorHAnsi"/>
        </w:rPr>
        <w:t>adi</w:t>
      </w:r>
      <w:r w:rsidR="006943EB" w:rsidRPr="00770846">
        <w:rPr>
          <w:rFonts w:asciiTheme="majorHAnsi" w:hAnsiTheme="majorHAnsi" w:cstheme="majorHAnsi"/>
        </w:rPr>
        <w:t xml:space="preserve">ation </w:t>
      </w:r>
      <w:r w:rsidR="00244294" w:rsidRPr="00770846">
        <w:rPr>
          <w:rFonts w:asciiTheme="majorHAnsi" w:hAnsiTheme="majorHAnsi" w:cstheme="majorHAnsi"/>
        </w:rPr>
        <w:t>T</w:t>
      </w:r>
      <w:r w:rsidR="006943EB" w:rsidRPr="00770846">
        <w:rPr>
          <w:rFonts w:asciiTheme="majorHAnsi" w:hAnsiTheme="majorHAnsi" w:cstheme="majorHAnsi"/>
        </w:rPr>
        <w:t>herapy</w:t>
      </w:r>
      <w:r w:rsidR="0016146D" w:rsidRPr="00770846">
        <w:rPr>
          <w:rFonts w:asciiTheme="majorHAnsi" w:hAnsiTheme="majorHAnsi" w:cstheme="majorHAnsi"/>
        </w:rPr>
        <w:t xml:space="preserve"> </w:t>
      </w:r>
      <w:proofErr w:type="gramStart"/>
      <w:r w:rsidR="00244294" w:rsidRPr="00770846">
        <w:rPr>
          <w:rFonts w:asciiTheme="majorHAnsi" w:hAnsiTheme="majorHAnsi" w:cstheme="majorHAnsi"/>
        </w:rPr>
        <w:t>I</w:t>
      </w:r>
      <w:r w:rsidR="0016146D" w:rsidRPr="00770846">
        <w:rPr>
          <w:rFonts w:asciiTheme="majorHAnsi" w:hAnsiTheme="majorHAnsi" w:cstheme="majorHAnsi"/>
        </w:rPr>
        <w:t>n</w:t>
      </w:r>
      <w:proofErr w:type="gramEnd"/>
      <w:r w:rsidR="00F313AF" w:rsidRPr="00770846">
        <w:rPr>
          <w:rFonts w:asciiTheme="majorHAnsi" w:hAnsiTheme="majorHAnsi" w:cstheme="majorHAnsi"/>
        </w:rPr>
        <w:t xml:space="preserve"> </w:t>
      </w:r>
      <w:r w:rsidR="00244294" w:rsidRPr="00770846">
        <w:rPr>
          <w:rFonts w:asciiTheme="majorHAnsi" w:hAnsiTheme="majorHAnsi" w:cstheme="majorHAnsi"/>
        </w:rPr>
        <w:t>A</w:t>
      </w:r>
      <w:r w:rsidR="00F313AF" w:rsidRPr="00770846">
        <w:rPr>
          <w:rFonts w:asciiTheme="majorHAnsi" w:hAnsiTheme="majorHAnsi" w:cstheme="majorHAnsi"/>
        </w:rPr>
        <w:t xml:space="preserve"> </w:t>
      </w:r>
      <w:r w:rsidR="00244294" w:rsidRPr="00770846">
        <w:rPr>
          <w:rFonts w:asciiTheme="majorHAnsi" w:hAnsiTheme="majorHAnsi" w:cstheme="majorHAnsi"/>
        </w:rPr>
        <w:t>G</w:t>
      </w:r>
      <w:r w:rsidR="0016146D" w:rsidRPr="00770846">
        <w:rPr>
          <w:rFonts w:asciiTheme="majorHAnsi" w:hAnsiTheme="majorHAnsi" w:cstheme="majorHAnsi"/>
        </w:rPr>
        <w:t>lioblastoma</w:t>
      </w:r>
      <w:r w:rsidR="00F313AF" w:rsidRPr="00770846">
        <w:rPr>
          <w:rFonts w:asciiTheme="majorHAnsi" w:hAnsiTheme="majorHAnsi" w:cstheme="majorHAnsi"/>
        </w:rPr>
        <w:t xml:space="preserve"> </w:t>
      </w:r>
      <w:r w:rsidR="00244294" w:rsidRPr="00770846">
        <w:rPr>
          <w:rFonts w:asciiTheme="majorHAnsi" w:hAnsiTheme="majorHAnsi" w:cstheme="majorHAnsi"/>
        </w:rPr>
        <w:t>R</w:t>
      </w:r>
      <w:r w:rsidR="00F313AF" w:rsidRPr="00770846">
        <w:rPr>
          <w:rFonts w:asciiTheme="majorHAnsi" w:hAnsiTheme="majorHAnsi" w:cstheme="majorHAnsi"/>
        </w:rPr>
        <w:t xml:space="preserve">at </w:t>
      </w:r>
      <w:r w:rsidR="00244294" w:rsidRPr="00770846">
        <w:rPr>
          <w:rFonts w:asciiTheme="majorHAnsi" w:hAnsiTheme="majorHAnsi" w:cstheme="majorHAnsi"/>
        </w:rPr>
        <w:t>M</w:t>
      </w:r>
      <w:r w:rsidR="00F313AF" w:rsidRPr="00770846">
        <w:rPr>
          <w:rFonts w:asciiTheme="majorHAnsi" w:hAnsiTheme="majorHAnsi" w:cstheme="majorHAnsi"/>
        </w:rPr>
        <w:t xml:space="preserve">odel </w:t>
      </w:r>
      <w:r w:rsidR="00244294" w:rsidRPr="00770846">
        <w:rPr>
          <w:rFonts w:asciiTheme="majorHAnsi" w:hAnsiTheme="majorHAnsi" w:cstheme="majorHAnsi"/>
        </w:rPr>
        <w:t>U</w:t>
      </w:r>
      <w:r w:rsidR="00F313AF" w:rsidRPr="00770846">
        <w:rPr>
          <w:rFonts w:asciiTheme="majorHAnsi" w:hAnsiTheme="majorHAnsi" w:cstheme="majorHAnsi"/>
        </w:rPr>
        <w:t xml:space="preserve">sing </w:t>
      </w:r>
      <w:r w:rsidR="00244294" w:rsidRPr="00770846">
        <w:rPr>
          <w:rFonts w:asciiTheme="majorHAnsi" w:hAnsiTheme="majorHAnsi" w:cstheme="majorHAnsi"/>
        </w:rPr>
        <w:t>T</w:t>
      </w:r>
      <w:r w:rsidR="00F313AF" w:rsidRPr="00770846">
        <w:rPr>
          <w:rFonts w:asciiTheme="majorHAnsi" w:hAnsiTheme="majorHAnsi" w:cstheme="majorHAnsi"/>
        </w:rPr>
        <w:t xml:space="preserve">he </w:t>
      </w:r>
      <w:r w:rsidR="00244294" w:rsidRPr="00770846">
        <w:rPr>
          <w:rFonts w:asciiTheme="majorHAnsi" w:hAnsiTheme="majorHAnsi" w:cstheme="majorHAnsi"/>
        </w:rPr>
        <w:t>S</w:t>
      </w:r>
      <w:r w:rsidR="00137B37" w:rsidRPr="00770846">
        <w:rPr>
          <w:rFonts w:asciiTheme="majorHAnsi" w:hAnsiTheme="majorHAnsi" w:cstheme="majorHAnsi"/>
        </w:rPr>
        <w:t>mall Animal Radiation Research Platform</w:t>
      </w:r>
    </w:p>
    <w:p w14:paraId="06C0C87E" w14:textId="77777777" w:rsidR="006E4797" w:rsidRPr="00770846" w:rsidRDefault="006E4797" w:rsidP="00770846">
      <w:pPr>
        <w:rPr>
          <w:rFonts w:asciiTheme="majorHAnsi" w:hAnsiTheme="majorHAnsi" w:cstheme="majorHAnsi"/>
          <w:b/>
        </w:rPr>
      </w:pPr>
    </w:p>
    <w:p w14:paraId="2CD8481E" w14:textId="0ECCE88A" w:rsidR="006E4797" w:rsidRPr="00770846" w:rsidRDefault="00551D82" w:rsidP="00770846">
      <w:pPr>
        <w:rPr>
          <w:rFonts w:asciiTheme="majorHAnsi" w:hAnsiTheme="majorHAnsi" w:cstheme="majorHAnsi"/>
        </w:rPr>
      </w:pPr>
      <w:r w:rsidRPr="00770846">
        <w:rPr>
          <w:rFonts w:asciiTheme="majorHAnsi" w:hAnsiTheme="majorHAnsi" w:cstheme="majorHAnsi"/>
          <w:b/>
        </w:rPr>
        <w:t>AUTHORS AND AFFILIATIONS:</w:t>
      </w:r>
    </w:p>
    <w:p w14:paraId="2729D5DD" w14:textId="39A9B9A9" w:rsidR="000957A2" w:rsidRPr="00770846" w:rsidRDefault="0009418B" w:rsidP="00770846">
      <w:pPr>
        <w:rPr>
          <w:rFonts w:asciiTheme="majorHAnsi" w:hAnsiTheme="majorHAnsi" w:cstheme="majorHAnsi"/>
          <w:lang w:val="nl-BE"/>
        </w:rPr>
      </w:pPr>
      <w:r w:rsidRPr="00770846">
        <w:rPr>
          <w:rFonts w:asciiTheme="majorHAnsi" w:hAnsiTheme="majorHAnsi" w:cstheme="majorHAnsi"/>
          <w:lang w:val="nl-BE"/>
        </w:rPr>
        <w:t>Sam Donche</w:t>
      </w:r>
      <w:r w:rsidRPr="00770846">
        <w:rPr>
          <w:rFonts w:asciiTheme="majorHAnsi" w:hAnsiTheme="majorHAnsi" w:cstheme="majorHAnsi"/>
          <w:vertAlign w:val="superscript"/>
          <w:lang w:val="nl-BE"/>
        </w:rPr>
        <w:t>1</w:t>
      </w:r>
      <w:r w:rsidRPr="00770846">
        <w:rPr>
          <w:rFonts w:asciiTheme="majorHAnsi" w:hAnsiTheme="majorHAnsi" w:cstheme="majorHAnsi"/>
          <w:lang w:val="nl-BE"/>
        </w:rPr>
        <w:t>, Jeroen Verhoeven</w:t>
      </w:r>
      <w:r w:rsidRPr="00770846">
        <w:rPr>
          <w:rFonts w:asciiTheme="majorHAnsi" w:hAnsiTheme="majorHAnsi" w:cstheme="majorHAnsi"/>
          <w:vertAlign w:val="superscript"/>
          <w:lang w:val="nl-BE"/>
        </w:rPr>
        <w:t>1</w:t>
      </w:r>
      <w:r w:rsidRPr="00770846">
        <w:rPr>
          <w:rFonts w:asciiTheme="majorHAnsi" w:hAnsiTheme="majorHAnsi" w:cstheme="majorHAnsi"/>
          <w:lang w:val="nl-BE"/>
        </w:rPr>
        <w:t>,</w:t>
      </w:r>
      <w:r w:rsidR="00904176" w:rsidRPr="00770846">
        <w:rPr>
          <w:rFonts w:asciiTheme="majorHAnsi" w:hAnsiTheme="majorHAnsi" w:cstheme="majorHAnsi"/>
          <w:lang w:val="nl-BE"/>
        </w:rPr>
        <w:t xml:space="preserve"> Benedicte Descamps</w:t>
      </w:r>
      <w:r w:rsidR="009713D7" w:rsidRPr="00770846">
        <w:rPr>
          <w:rFonts w:asciiTheme="majorHAnsi" w:hAnsiTheme="majorHAnsi" w:cstheme="majorHAnsi"/>
          <w:vertAlign w:val="superscript"/>
          <w:lang w:val="nl-BE"/>
        </w:rPr>
        <w:t>2</w:t>
      </w:r>
      <w:r w:rsidR="00904176" w:rsidRPr="00770846">
        <w:rPr>
          <w:rFonts w:asciiTheme="majorHAnsi" w:hAnsiTheme="majorHAnsi" w:cstheme="majorHAnsi"/>
          <w:lang w:val="nl-BE"/>
        </w:rPr>
        <w:t>,</w:t>
      </w:r>
      <w:r w:rsidRPr="00770846">
        <w:rPr>
          <w:rFonts w:asciiTheme="majorHAnsi" w:hAnsiTheme="majorHAnsi" w:cstheme="majorHAnsi"/>
          <w:lang w:val="nl-BE"/>
        </w:rPr>
        <w:t xml:space="preserve"> </w:t>
      </w:r>
      <w:r w:rsidR="006D6854" w:rsidRPr="00770846">
        <w:rPr>
          <w:rFonts w:asciiTheme="majorHAnsi" w:hAnsiTheme="majorHAnsi" w:cstheme="majorHAnsi"/>
          <w:lang w:val="nl-BE"/>
        </w:rPr>
        <w:t>Charlotte Bouckaert</w:t>
      </w:r>
      <w:r w:rsidR="009713D7" w:rsidRPr="00770846">
        <w:rPr>
          <w:rFonts w:asciiTheme="majorHAnsi" w:hAnsiTheme="majorHAnsi" w:cstheme="majorHAnsi"/>
          <w:vertAlign w:val="superscript"/>
          <w:lang w:val="nl-BE"/>
        </w:rPr>
        <w:t>3</w:t>
      </w:r>
      <w:r w:rsidR="006D6854" w:rsidRPr="00770846">
        <w:rPr>
          <w:rFonts w:asciiTheme="majorHAnsi" w:hAnsiTheme="majorHAnsi" w:cstheme="majorHAnsi"/>
          <w:lang w:val="nl-BE"/>
        </w:rPr>
        <w:t xml:space="preserve">, </w:t>
      </w:r>
      <w:r w:rsidR="007A34ED" w:rsidRPr="00770846">
        <w:rPr>
          <w:rFonts w:asciiTheme="majorHAnsi" w:hAnsiTheme="majorHAnsi" w:cstheme="majorHAnsi"/>
          <w:lang w:val="nl-BE"/>
        </w:rPr>
        <w:t>Robrecht Raedt</w:t>
      </w:r>
      <w:r w:rsidR="009713D7" w:rsidRPr="00770846">
        <w:rPr>
          <w:rFonts w:asciiTheme="majorHAnsi" w:hAnsiTheme="majorHAnsi" w:cstheme="majorHAnsi"/>
          <w:vertAlign w:val="superscript"/>
          <w:lang w:val="nl-BE"/>
        </w:rPr>
        <w:t>3</w:t>
      </w:r>
      <w:r w:rsidR="007A34ED" w:rsidRPr="00770846">
        <w:rPr>
          <w:rFonts w:asciiTheme="majorHAnsi" w:hAnsiTheme="majorHAnsi" w:cstheme="majorHAnsi"/>
          <w:lang w:val="nl-BE"/>
        </w:rPr>
        <w:t xml:space="preserve">, </w:t>
      </w:r>
      <w:r w:rsidRPr="00770846">
        <w:rPr>
          <w:rFonts w:asciiTheme="majorHAnsi" w:hAnsiTheme="majorHAnsi" w:cstheme="majorHAnsi"/>
          <w:lang w:val="nl-BE"/>
        </w:rPr>
        <w:t>Christian Vanhove</w:t>
      </w:r>
      <w:r w:rsidR="009713D7" w:rsidRPr="00770846">
        <w:rPr>
          <w:rFonts w:asciiTheme="majorHAnsi" w:hAnsiTheme="majorHAnsi" w:cstheme="majorHAnsi"/>
          <w:vertAlign w:val="superscript"/>
          <w:lang w:val="nl-BE"/>
        </w:rPr>
        <w:t>2</w:t>
      </w:r>
      <w:r w:rsidRPr="00770846">
        <w:rPr>
          <w:rFonts w:asciiTheme="majorHAnsi" w:hAnsiTheme="majorHAnsi" w:cstheme="majorHAnsi"/>
          <w:lang w:val="nl-BE"/>
        </w:rPr>
        <w:t>, Ingeborg Goethals</w:t>
      </w:r>
      <w:r w:rsidRPr="00770846">
        <w:rPr>
          <w:rFonts w:asciiTheme="majorHAnsi" w:hAnsiTheme="majorHAnsi" w:cstheme="majorHAnsi"/>
          <w:vertAlign w:val="superscript"/>
          <w:lang w:val="nl-BE"/>
        </w:rPr>
        <w:t>1</w:t>
      </w:r>
    </w:p>
    <w:p w14:paraId="57A8B22F" w14:textId="35145717" w:rsidR="0009418B" w:rsidRPr="00770846" w:rsidRDefault="0009418B" w:rsidP="00770846">
      <w:pPr>
        <w:pBdr>
          <w:top w:val="nil"/>
          <w:left w:val="nil"/>
          <w:bottom w:val="nil"/>
          <w:right w:val="nil"/>
          <w:between w:val="nil"/>
        </w:pBdr>
        <w:rPr>
          <w:rFonts w:asciiTheme="majorHAnsi" w:hAnsiTheme="majorHAnsi" w:cstheme="majorHAnsi"/>
        </w:rPr>
      </w:pPr>
      <w:r w:rsidRPr="00770846">
        <w:rPr>
          <w:rFonts w:asciiTheme="majorHAnsi" w:hAnsiTheme="majorHAnsi" w:cstheme="majorHAnsi"/>
          <w:vertAlign w:val="superscript"/>
        </w:rPr>
        <w:t>1</w:t>
      </w:r>
      <w:r w:rsidRPr="00770846">
        <w:rPr>
          <w:rFonts w:asciiTheme="majorHAnsi" w:hAnsiTheme="majorHAnsi" w:cstheme="majorHAnsi"/>
        </w:rPr>
        <w:t>Department of Diagnostic Sciences, Ghent University, Ghent, Belgium</w:t>
      </w:r>
    </w:p>
    <w:p w14:paraId="4664314F" w14:textId="685DCD6B" w:rsidR="009713D7" w:rsidRPr="00770846" w:rsidRDefault="009713D7" w:rsidP="00770846">
      <w:pPr>
        <w:pBdr>
          <w:top w:val="nil"/>
          <w:left w:val="nil"/>
          <w:bottom w:val="nil"/>
          <w:right w:val="nil"/>
          <w:between w:val="nil"/>
        </w:pBdr>
        <w:rPr>
          <w:rFonts w:asciiTheme="majorHAnsi" w:hAnsiTheme="majorHAnsi" w:cstheme="majorHAnsi"/>
        </w:rPr>
      </w:pPr>
      <w:r w:rsidRPr="00770846">
        <w:rPr>
          <w:rFonts w:asciiTheme="majorHAnsi" w:hAnsiTheme="majorHAnsi" w:cstheme="majorHAnsi"/>
          <w:vertAlign w:val="superscript"/>
        </w:rPr>
        <w:t>2</w:t>
      </w:r>
      <w:r w:rsidRPr="00770846">
        <w:rPr>
          <w:rFonts w:asciiTheme="majorHAnsi" w:hAnsiTheme="majorHAnsi" w:cstheme="majorHAnsi"/>
        </w:rPr>
        <w:t>Department of Electronics and Information Systems, Ghent University, Ghent, Belgium</w:t>
      </w:r>
    </w:p>
    <w:p w14:paraId="1966E023" w14:textId="719E6752" w:rsidR="007A34ED" w:rsidRPr="00770846" w:rsidRDefault="009713D7" w:rsidP="00770846">
      <w:pPr>
        <w:pBdr>
          <w:top w:val="nil"/>
          <w:left w:val="nil"/>
          <w:bottom w:val="nil"/>
          <w:right w:val="nil"/>
          <w:between w:val="nil"/>
        </w:pBdr>
        <w:rPr>
          <w:rFonts w:asciiTheme="majorHAnsi" w:hAnsiTheme="majorHAnsi" w:cstheme="majorHAnsi"/>
        </w:rPr>
      </w:pPr>
      <w:r w:rsidRPr="00770846">
        <w:rPr>
          <w:rFonts w:asciiTheme="majorHAnsi" w:hAnsiTheme="majorHAnsi" w:cstheme="majorHAnsi"/>
          <w:vertAlign w:val="superscript"/>
        </w:rPr>
        <w:t>3</w:t>
      </w:r>
      <w:r w:rsidR="000D3BE3" w:rsidRPr="00770846">
        <w:rPr>
          <w:rFonts w:asciiTheme="majorHAnsi" w:hAnsiTheme="majorHAnsi" w:cstheme="majorHAnsi"/>
        </w:rPr>
        <w:t>Department of Head and Skin, Ghent Univers</w:t>
      </w:r>
      <w:r w:rsidR="0005132E" w:rsidRPr="00770846">
        <w:rPr>
          <w:rFonts w:asciiTheme="majorHAnsi" w:hAnsiTheme="majorHAnsi" w:cstheme="majorHAnsi"/>
        </w:rPr>
        <w:t>i</w:t>
      </w:r>
      <w:r w:rsidR="000D3BE3" w:rsidRPr="00770846">
        <w:rPr>
          <w:rFonts w:asciiTheme="majorHAnsi" w:hAnsiTheme="majorHAnsi" w:cstheme="majorHAnsi"/>
        </w:rPr>
        <w:t>ty, Ghent, Belgium</w:t>
      </w:r>
    </w:p>
    <w:p w14:paraId="579B971B" w14:textId="5D4F8D74" w:rsidR="0009418B" w:rsidRPr="00770846" w:rsidRDefault="0009418B" w:rsidP="00770846">
      <w:pPr>
        <w:pBdr>
          <w:top w:val="nil"/>
          <w:left w:val="nil"/>
          <w:bottom w:val="nil"/>
          <w:right w:val="nil"/>
          <w:between w:val="nil"/>
        </w:pBdr>
        <w:rPr>
          <w:rFonts w:asciiTheme="majorHAnsi" w:hAnsiTheme="majorHAnsi" w:cstheme="majorHAnsi"/>
        </w:rPr>
      </w:pPr>
    </w:p>
    <w:p w14:paraId="00A0A014" w14:textId="75852A22" w:rsidR="000957A2" w:rsidRPr="00770846" w:rsidRDefault="000957A2" w:rsidP="00770846">
      <w:pPr>
        <w:pBdr>
          <w:top w:val="nil"/>
          <w:left w:val="nil"/>
          <w:bottom w:val="nil"/>
          <w:right w:val="nil"/>
          <w:between w:val="nil"/>
        </w:pBdr>
        <w:rPr>
          <w:rFonts w:asciiTheme="majorHAnsi" w:hAnsiTheme="majorHAnsi" w:cstheme="majorHAnsi"/>
          <w:b/>
          <w:bCs/>
        </w:rPr>
      </w:pPr>
      <w:r w:rsidRPr="00770846">
        <w:rPr>
          <w:rFonts w:asciiTheme="majorHAnsi" w:hAnsiTheme="majorHAnsi" w:cstheme="majorHAnsi"/>
          <w:b/>
          <w:bCs/>
        </w:rPr>
        <w:t>Email addresses of co-authors:</w:t>
      </w:r>
    </w:p>
    <w:p w14:paraId="2D29DA29" w14:textId="65E67BDD" w:rsidR="000957A2" w:rsidRPr="00770846" w:rsidRDefault="00A77759" w:rsidP="00770846">
      <w:pPr>
        <w:pBdr>
          <w:top w:val="nil"/>
          <w:left w:val="nil"/>
          <w:bottom w:val="nil"/>
          <w:right w:val="nil"/>
          <w:between w:val="nil"/>
        </w:pBdr>
        <w:rPr>
          <w:rFonts w:asciiTheme="majorHAnsi" w:hAnsiTheme="majorHAnsi" w:cstheme="majorHAnsi"/>
        </w:rPr>
      </w:pPr>
      <w:r w:rsidRPr="00770846">
        <w:rPr>
          <w:rFonts w:asciiTheme="majorHAnsi" w:hAnsiTheme="majorHAnsi" w:cstheme="majorHAnsi"/>
        </w:rPr>
        <w:t xml:space="preserve">Sam </w:t>
      </w:r>
      <w:proofErr w:type="spellStart"/>
      <w:r w:rsidRPr="00770846">
        <w:rPr>
          <w:rFonts w:asciiTheme="majorHAnsi" w:hAnsiTheme="majorHAnsi" w:cstheme="majorHAnsi"/>
        </w:rPr>
        <w:t>Donche</w:t>
      </w:r>
      <w:proofErr w:type="spellEnd"/>
      <w:r w:rsidRPr="00770846">
        <w:rPr>
          <w:rFonts w:asciiTheme="majorHAnsi" w:hAnsiTheme="majorHAnsi" w:cstheme="majorHAnsi"/>
        </w:rPr>
        <w:tab/>
      </w:r>
      <w:r w:rsidRPr="00770846">
        <w:rPr>
          <w:rFonts w:asciiTheme="majorHAnsi" w:hAnsiTheme="majorHAnsi" w:cstheme="majorHAnsi"/>
        </w:rPr>
        <w:tab/>
      </w:r>
      <w:r w:rsidRPr="00770846">
        <w:rPr>
          <w:rFonts w:asciiTheme="majorHAnsi" w:hAnsiTheme="majorHAnsi" w:cstheme="majorHAnsi"/>
        </w:rPr>
        <w:tab/>
      </w:r>
      <w:r w:rsidRPr="00770846">
        <w:rPr>
          <w:rFonts w:asciiTheme="majorHAnsi" w:hAnsiTheme="majorHAnsi" w:cstheme="majorHAnsi"/>
        </w:rPr>
        <w:tab/>
        <w:t>(</w:t>
      </w:r>
      <w:hyperlink r:id="rId7" w:history="1">
        <w:r w:rsidRPr="00770846">
          <w:rPr>
            <w:rStyle w:val="Hyperlink"/>
            <w:rFonts w:asciiTheme="majorHAnsi" w:hAnsiTheme="majorHAnsi" w:cstheme="majorHAnsi"/>
            <w:color w:val="auto"/>
            <w:u w:val="none"/>
          </w:rPr>
          <w:t>Sam.Donche@UGent.be</w:t>
        </w:r>
      </w:hyperlink>
      <w:r w:rsidRPr="00770846">
        <w:rPr>
          <w:rFonts w:asciiTheme="majorHAnsi" w:hAnsiTheme="majorHAnsi" w:cstheme="majorHAnsi"/>
        </w:rPr>
        <w:t>)</w:t>
      </w:r>
    </w:p>
    <w:p w14:paraId="433E48BB" w14:textId="35F90211" w:rsidR="000957A2" w:rsidRPr="00770846" w:rsidRDefault="00A77759" w:rsidP="00770846">
      <w:pPr>
        <w:pBdr>
          <w:top w:val="nil"/>
          <w:left w:val="nil"/>
          <w:bottom w:val="nil"/>
          <w:right w:val="nil"/>
          <w:between w:val="nil"/>
        </w:pBdr>
        <w:rPr>
          <w:rFonts w:asciiTheme="majorHAnsi" w:hAnsiTheme="majorHAnsi" w:cstheme="majorHAnsi"/>
        </w:rPr>
      </w:pPr>
      <w:proofErr w:type="spellStart"/>
      <w:r w:rsidRPr="00770846">
        <w:rPr>
          <w:rFonts w:asciiTheme="majorHAnsi" w:hAnsiTheme="majorHAnsi" w:cstheme="majorHAnsi"/>
        </w:rPr>
        <w:t>Benedicte</w:t>
      </w:r>
      <w:proofErr w:type="spellEnd"/>
      <w:r w:rsidRPr="00770846">
        <w:rPr>
          <w:rFonts w:asciiTheme="majorHAnsi" w:hAnsiTheme="majorHAnsi" w:cstheme="majorHAnsi"/>
        </w:rPr>
        <w:t xml:space="preserve"> Descamps</w:t>
      </w:r>
      <w:r w:rsidRPr="00770846">
        <w:rPr>
          <w:rFonts w:asciiTheme="majorHAnsi" w:hAnsiTheme="majorHAnsi" w:cstheme="majorHAnsi"/>
        </w:rPr>
        <w:tab/>
      </w:r>
      <w:r w:rsidRPr="00770846">
        <w:rPr>
          <w:rFonts w:asciiTheme="majorHAnsi" w:hAnsiTheme="majorHAnsi" w:cstheme="majorHAnsi"/>
        </w:rPr>
        <w:tab/>
      </w:r>
      <w:r w:rsidRPr="00770846">
        <w:rPr>
          <w:rFonts w:asciiTheme="majorHAnsi" w:hAnsiTheme="majorHAnsi" w:cstheme="majorHAnsi"/>
        </w:rPr>
        <w:tab/>
        <w:t>(</w:t>
      </w:r>
      <w:r w:rsidR="000957A2" w:rsidRPr="00770846">
        <w:rPr>
          <w:rFonts w:asciiTheme="majorHAnsi" w:hAnsiTheme="majorHAnsi" w:cstheme="majorHAnsi"/>
        </w:rPr>
        <w:t>Benedicte.Descamps@UGent.be</w:t>
      </w:r>
      <w:r w:rsidRPr="00770846">
        <w:rPr>
          <w:rFonts w:asciiTheme="majorHAnsi" w:hAnsiTheme="majorHAnsi" w:cstheme="majorHAnsi"/>
        </w:rPr>
        <w:t>)</w:t>
      </w:r>
    </w:p>
    <w:p w14:paraId="4779097F" w14:textId="47B882D6" w:rsidR="000957A2" w:rsidRPr="00770846" w:rsidRDefault="00894DD5" w:rsidP="00770846">
      <w:pPr>
        <w:pBdr>
          <w:top w:val="nil"/>
          <w:left w:val="nil"/>
          <w:bottom w:val="nil"/>
          <w:right w:val="nil"/>
          <w:between w:val="nil"/>
        </w:pBdr>
        <w:rPr>
          <w:rFonts w:asciiTheme="majorHAnsi" w:hAnsiTheme="majorHAnsi" w:cstheme="majorHAnsi"/>
        </w:rPr>
      </w:pPr>
      <w:r w:rsidRPr="00770846">
        <w:rPr>
          <w:rFonts w:asciiTheme="majorHAnsi" w:hAnsiTheme="majorHAnsi" w:cstheme="majorHAnsi"/>
        </w:rPr>
        <w:t xml:space="preserve">Charlotte </w:t>
      </w:r>
      <w:proofErr w:type="spellStart"/>
      <w:r w:rsidRPr="00770846">
        <w:rPr>
          <w:rFonts w:asciiTheme="majorHAnsi" w:hAnsiTheme="majorHAnsi" w:cstheme="majorHAnsi"/>
        </w:rPr>
        <w:t>Bouckaert</w:t>
      </w:r>
      <w:proofErr w:type="spellEnd"/>
      <w:r w:rsidRPr="00770846">
        <w:rPr>
          <w:rFonts w:asciiTheme="majorHAnsi" w:hAnsiTheme="majorHAnsi" w:cstheme="majorHAnsi"/>
          <w:vertAlign w:val="superscript"/>
        </w:rPr>
        <w:tab/>
      </w:r>
      <w:r w:rsidRPr="00770846">
        <w:rPr>
          <w:rFonts w:asciiTheme="majorHAnsi" w:hAnsiTheme="majorHAnsi" w:cstheme="majorHAnsi"/>
          <w:vertAlign w:val="superscript"/>
        </w:rPr>
        <w:tab/>
      </w:r>
      <w:r w:rsidRPr="00770846">
        <w:rPr>
          <w:rFonts w:asciiTheme="majorHAnsi" w:hAnsiTheme="majorHAnsi" w:cstheme="majorHAnsi"/>
          <w:vertAlign w:val="superscript"/>
        </w:rPr>
        <w:tab/>
      </w:r>
      <w:r w:rsidRPr="00770846">
        <w:rPr>
          <w:rFonts w:asciiTheme="majorHAnsi" w:hAnsiTheme="majorHAnsi" w:cstheme="majorHAnsi"/>
        </w:rPr>
        <w:t>(</w:t>
      </w:r>
      <w:r w:rsidR="000957A2" w:rsidRPr="00770846">
        <w:rPr>
          <w:rFonts w:asciiTheme="majorHAnsi" w:hAnsiTheme="majorHAnsi" w:cstheme="majorHAnsi"/>
        </w:rPr>
        <w:t>Charlotte.Bouckaert@UGent.be</w:t>
      </w:r>
      <w:r w:rsidRPr="00770846">
        <w:rPr>
          <w:rFonts w:asciiTheme="majorHAnsi" w:hAnsiTheme="majorHAnsi" w:cstheme="majorHAnsi"/>
        </w:rPr>
        <w:t>)</w:t>
      </w:r>
    </w:p>
    <w:p w14:paraId="096E25A1" w14:textId="714A0AFA" w:rsidR="000957A2" w:rsidRPr="00770846" w:rsidRDefault="00894DD5" w:rsidP="00770846">
      <w:pPr>
        <w:pBdr>
          <w:top w:val="nil"/>
          <w:left w:val="nil"/>
          <w:bottom w:val="nil"/>
          <w:right w:val="nil"/>
          <w:between w:val="nil"/>
        </w:pBdr>
        <w:rPr>
          <w:rFonts w:asciiTheme="majorHAnsi" w:hAnsiTheme="majorHAnsi" w:cstheme="majorHAnsi"/>
          <w:lang w:val="nl-BE"/>
        </w:rPr>
      </w:pPr>
      <w:r w:rsidRPr="00770846">
        <w:rPr>
          <w:rFonts w:asciiTheme="majorHAnsi" w:hAnsiTheme="majorHAnsi" w:cstheme="majorHAnsi"/>
          <w:lang w:val="nl-BE"/>
        </w:rPr>
        <w:t>Robrecht Raedt</w:t>
      </w:r>
      <w:r w:rsidRPr="00770846">
        <w:rPr>
          <w:rFonts w:asciiTheme="majorHAnsi" w:hAnsiTheme="majorHAnsi" w:cstheme="majorHAnsi"/>
          <w:vertAlign w:val="superscript"/>
          <w:lang w:val="nl-BE"/>
        </w:rPr>
        <w:tab/>
      </w:r>
      <w:r w:rsidRPr="00770846">
        <w:rPr>
          <w:rFonts w:asciiTheme="majorHAnsi" w:hAnsiTheme="majorHAnsi" w:cstheme="majorHAnsi"/>
          <w:vertAlign w:val="superscript"/>
          <w:lang w:val="nl-BE"/>
        </w:rPr>
        <w:tab/>
      </w:r>
      <w:r w:rsidRPr="00770846">
        <w:rPr>
          <w:rFonts w:asciiTheme="majorHAnsi" w:hAnsiTheme="majorHAnsi" w:cstheme="majorHAnsi"/>
          <w:vertAlign w:val="superscript"/>
          <w:lang w:val="nl-BE"/>
        </w:rPr>
        <w:tab/>
      </w:r>
      <w:r w:rsidRPr="00770846">
        <w:rPr>
          <w:rFonts w:asciiTheme="majorHAnsi" w:hAnsiTheme="majorHAnsi" w:cstheme="majorHAnsi"/>
          <w:lang w:val="nl-BE"/>
        </w:rPr>
        <w:t>(</w:t>
      </w:r>
      <w:r w:rsidR="000957A2" w:rsidRPr="00770846">
        <w:rPr>
          <w:rFonts w:asciiTheme="majorHAnsi" w:hAnsiTheme="majorHAnsi" w:cstheme="majorHAnsi"/>
          <w:lang w:val="nl-BE"/>
        </w:rPr>
        <w:t>Robrecht.raedt@UGent.be</w:t>
      </w:r>
      <w:r w:rsidRPr="00770846">
        <w:rPr>
          <w:rFonts w:asciiTheme="majorHAnsi" w:hAnsiTheme="majorHAnsi" w:cstheme="majorHAnsi"/>
          <w:lang w:val="nl-BE"/>
        </w:rPr>
        <w:t>)</w:t>
      </w:r>
    </w:p>
    <w:p w14:paraId="61A658D1" w14:textId="56900086" w:rsidR="000957A2" w:rsidRPr="00770846" w:rsidRDefault="00894DD5" w:rsidP="00770846">
      <w:pPr>
        <w:pBdr>
          <w:top w:val="nil"/>
          <w:left w:val="nil"/>
          <w:bottom w:val="nil"/>
          <w:right w:val="nil"/>
          <w:between w:val="nil"/>
        </w:pBdr>
        <w:rPr>
          <w:rFonts w:asciiTheme="majorHAnsi" w:hAnsiTheme="majorHAnsi" w:cstheme="majorHAnsi"/>
        </w:rPr>
      </w:pPr>
      <w:r w:rsidRPr="00770846">
        <w:rPr>
          <w:rFonts w:asciiTheme="majorHAnsi" w:hAnsiTheme="majorHAnsi" w:cstheme="majorHAnsi"/>
        </w:rPr>
        <w:t xml:space="preserve">Christian </w:t>
      </w:r>
      <w:proofErr w:type="spellStart"/>
      <w:r w:rsidRPr="00770846">
        <w:rPr>
          <w:rFonts w:asciiTheme="majorHAnsi" w:hAnsiTheme="majorHAnsi" w:cstheme="majorHAnsi"/>
        </w:rPr>
        <w:t>Vanhove</w:t>
      </w:r>
      <w:proofErr w:type="spellEnd"/>
      <w:r w:rsidRPr="00770846">
        <w:rPr>
          <w:rFonts w:asciiTheme="majorHAnsi" w:hAnsiTheme="majorHAnsi" w:cstheme="majorHAnsi"/>
          <w:vertAlign w:val="superscript"/>
        </w:rPr>
        <w:tab/>
      </w:r>
      <w:r w:rsidRPr="00770846">
        <w:rPr>
          <w:rFonts w:asciiTheme="majorHAnsi" w:hAnsiTheme="majorHAnsi" w:cstheme="majorHAnsi"/>
          <w:vertAlign w:val="superscript"/>
        </w:rPr>
        <w:tab/>
      </w:r>
      <w:r w:rsidRPr="00770846">
        <w:rPr>
          <w:rFonts w:asciiTheme="majorHAnsi" w:hAnsiTheme="majorHAnsi" w:cstheme="majorHAnsi"/>
          <w:vertAlign w:val="superscript"/>
        </w:rPr>
        <w:tab/>
      </w:r>
      <w:r w:rsidRPr="00770846">
        <w:rPr>
          <w:rFonts w:asciiTheme="majorHAnsi" w:hAnsiTheme="majorHAnsi" w:cstheme="majorHAnsi"/>
        </w:rPr>
        <w:t>(</w:t>
      </w:r>
      <w:r w:rsidR="000957A2" w:rsidRPr="00770846">
        <w:rPr>
          <w:rFonts w:asciiTheme="majorHAnsi" w:hAnsiTheme="majorHAnsi" w:cstheme="majorHAnsi"/>
        </w:rPr>
        <w:t>Christian.Vanhove@UGent.be</w:t>
      </w:r>
      <w:r w:rsidRPr="00770846">
        <w:rPr>
          <w:rFonts w:asciiTheme="majorHAnsi" w:hAnsiTheme="majorHAnsi" w:cstheme="majorHAnsi"/>
        </w:rPr>
        <w:t>)</w:t>
      </w:r>
    </w:p>
    <w:p w14:paraId="4FF27E6C" w14:textId="77777777" w:rsidR="000957A2" w:rsidRPr="00770846" w:rsidRDefault="000957A2" w:rsidP="00770846">
      <w:pPr>
        <w:pBdr>
          <w:top w:val="nil"/>
          <w:left w:val="nil"/>
          <w:bottom w:val="nil"/>
          <w:right w:val="nil"/>
          <w:between w:val="nil"/>
        </w:pBdr>
        <w:rPr>
          <w:rFonts w:asciiTheme="majorHAnsi" w:hAnsiTheme="majorHAnsi" w:cstheme="majorHAnsi"/>
        </w:rPr>
      </w:pPr>
    </w:p>
    <w:p w14:paraId="6B787164" w14:textId="1CCA9D2E" w:rsidR="00833BC8" w:rsidRPr="00770846" w:rsidRDefault="00833BC8" w:rsidP="00770846">
      <w:pPr>
        <w:pBdr>
          <w:top w:val="nil"/>
          <w:left w:val="nil"/>
          <w:bottom w:val="nil"/>
          <w:right w:val="nil"/>
          <w:between w:val="nil"/>
        </w:pBdr>
        <w:rPr>
          <w:rFonts w:asciiTheme="majorHAnsi" w:hAnsiTheme="majorHAnsi" w:cstheme="majorHAnsi"/>
          <w:b/>
          <w:bCs/>
        </w:rPr>
      </w:pPr>
      <w:r w:rsidRPr="00770846">
        <w:rPr>
          <w:rFonts w:asciiTheme="majorHAnsi" w:hAnsiTheme="majorHAnsi" w:cstheme="majorHAnsi"/>
          <w:b/>
          <w:bCs/>
        </w:rPr>
        <w:t>Corresponding authors:</w:t>
      </w:r>
    </w:p>
    <w:p w14:paraId="0DE10618" w14:textId="28628F4E" w:rsidR="00833BC8" w:rsidRPr="00770846" w:rsidRDefault="00833BC8" w:rsidP="00770846">
      <w:pPr>
        <w:pBdr>
          <w:top w:val="nil"/>
          <w:left w:val="nil"/>
          <w:bottom w:val="nil"/>
          <w:right w:val="nil"/>
          <w:between w:val="nil"/>
        </w:pBdr>
        <w:rPr>
          <w:rFonts w:asciiTheme="majorHAnsi" w:hAnsiTheme="majorHAnsi" w:cstheme="majorHAnsi"/>
        </w:rPr>
      </w:pPr>
      <w:r w:rsidRPr="00770846">
        <w:rPr>
          <w:rFonts w:asciiTheme="majorHAnsi" w:hAnsiTheme="majorHAnsi" w:cstheme="majorHAnsi"/>
        </w:rPr>
        <w:t>Jeroen Verhoeven</w:t>
      </w:r>
      <w:r w:rsidRPr="00770846">
        <w:rPr>
          <w:rFonts w:asciiTheme="majorHAnsi" w:hAnsiTheme="majorHAnsi" w:cstheme="majorHAnsi"/>
        </w:rPr>
        <w:tab/>
      </w:r>
      <w:r w:rsidRPr="00770846">
        <w:rPr>
          <w:rFonts w:asciiTheme="majorHAnsi" w:hAnsiTheme="majorHAnsi" w:cstheme="majorHAnsi"/>
        </w:rPr>
        <w:tab/>
      </w:r>
      <w:r w:rsidRPr="00770846">
        <w:rPr>
          <w:rFonts w:asciiTheme="majorHAnsi" w:hAnsiTheme="majorHAnsi" w:cstheme="majorHAnsi"/>
        </w:rPr>
        <w:tab/>
        <w:t>(Jeroen.Verhoeven@UGent.be)</w:t>
      </w:r>
    </w:p>
    <w:p w14:paraId="0AA19DFB" w14:textId="422643BA" w:rsidR="0009418B" w:rsidRPr="00770846" w:rsidRDefault="00833BC8" w:rsidP="00770846">
      <w:pPr>
        <w:pBdr>
          <w:top w:val="nil"/>
          <w:left w:val="nil"/>
          <w:bottom w:val="nil"/>
          <w:right w:val="nil"/>
          <w:between w:val="nil"/>
        </w:pBdr>
        <w:rPr>
          <w:rFonts w:asciiTheme="majorHAnsi" w:hAnsiTheme="majorHAnsi" w:cstheme="majorHAnsi"/>
          <w:lang w:val="nl-BE"/>
        </w:rPr>
      </w:pPr>
      <w:r w:rsidRPr="00770846">
        <w:rPr>
          <w:rFonts w:asciiTheme="majorHAnsi" w:hAnsiTheme="majorHAnsi" w:cstheme="majorHAnsi"/>
          <w:lang w:val="nl-BE"/>
        </w:rPr>
        <w:t>Ingeborg Goethals</w:t>
      </w:r>
      <w:r w:rsidRPr="00770846">
        <w:rPr>
          <w:rFonts w:asciiTheme="majorHAnsi" w:hAnsiTheme="majorHAnsi" w:cstheme="majorHAnsi"/>
          <w:vertAlign w:val="superscript"/>
          <w:lang w:val="nl-BE"/>
        </w:rPr>
        <w:tab/>
      </w:r>
      <w:r w:rsidRPr="00770846">
        <w:rPr>
          <w:rFonts w:asciiTheme="majorHAnsi" w:hAnsiTheme="majorHAnsi" w:cstheme="majorHAnsi"/>
          <w:vertAlign w:val="superscript"/>
          <w:lang w:val="nl-BE"/>
        </w:rPr>
        <w:tab/>
      </w:r>
      <w:r w:rsidRPr="00770846">
        <w:rPr>
          <w:rFonts w:asciiTheme="majorHAnsi" w:hAnsiTheme="majorHAnsi" w:cstheme="majorHAnsi"/>
          <w:vertAlign w:val="superscript"/>
          <w:lang w:val="nl-BE"/>
        </w:rPr>
        <w:tab/>
      </w:r>
      <w:r w:rsidRPr="00770846">
        <w:rPr>
          <w:rFonts w:asciiTheme="majorHAnsi" w:hAnsiTheme="majorHAnsi" w:cstheme="majorHAnsi"/>
          <w:lang w:val="nl-BE"/>
        </w:rPr>
        <w:t>(Ingeborg.Goethals@UGent.be)</w:t>
      </w:r>
    </w:p>
    <w:p w14:paraId="6B86495B" w14:textId="221594EF" w:rsidR="00AF20DD" w:rsidRPr="00770846" w:rsidRDefault="003B13FC" w:rsidP="00770846">
      <w:pPr>
        <w:rPr>
          <w:rFonts w:asciiTheme="majorHAnsi" w:hAnsiTheme="majorHAnsi" w:cstheme="majorHAnsi"/>
        </w:rPr>
      </w:pPr>
      <w:proofErr w:type="spellStart"/>
      <w:proofErr w:type="gramStart"/>
      <w:r w:rsidRPr="00770846">
        <w:rPr>
          <w:rFonts w:asciiTheme="majorHAnsi" w:hAnsiTheme="majorHAnsi" w:cstheme="majorHAnsi"/>
          <w:b/>
        </w:rPr>
        <w:t>KEYWORDS:</w:t>
      </w:r>
      <w:r w:rsidR="00AF20DD" w:rsidRPr="00770846">
        <w:rPr>
          <w:rFonts w:asciiTheme="majorHAnsi" w:hAnsiTheme="majorHAnsi" w:cstheme="majorHAnsi"/>
        </w:rPr>
        <w:t>Cancer</w:t>
      </w:r>
      <w:proofErr w:type="spellEnd"/>
      <w:proofErr w:type="gramEnd"/>
      <w:r w:rsidR="00AF20DD" w:rsidRPr="00770846">
        <w:rPr>
          <w:rFonts w:asciiTheme="majorHAnsi" w:hAnsiTheme="majorHAnsi" w:cstheme="majorHAnsi"/>
        </w:rPr>
        <w:t xml:space="preserve"> research, small animal irradiation, glioblastoma, magnetic resonance imaging, positron emission tomography, image-guided irradiation, dose-painting-by-numbers, inverse planning</w:t>
      </w:r>
    </w:p>
    <w:p w14:paraId="7836FD16" w14:textId="77777777" w:rsidR="00655E0F" w:rsidRPr="00770846" w:rsidRDefault="00655E0F" w:rsidP="00770846">
      <w:pPr>
        <w:rPr>
          <w:rFonts w:asciiTheme="majorHAnsi" w:hAnsiTheme="majorHAnsi" w:cstheme="majorHAnsi"/>
          <w:b/>
        </w:rPr>
      </w:pPr>
    </w:p>
    <w:p w14:paraId="5EC1ED69" w14:textId="4205EBE1" w:rsidR="00655E0F" w:rsidRPr="00770846" w:rsidRDefault="00655E0F" w:rsidP="00770846">
      <w:pPr>
        <w:rPr>
          <w:rFonts w:asciiTheme="majorHAnsi" w:hAnsiTheme="majorHAnsi" w:cstheme="majorHAnsi"/>
        </w:rPr>
      </w:pPr>
      <w:r w:rsidRPr="00770846">
        <w:rPr>
          <w:rFonts w:asciiTheme="majorHAnsi" w:hAnsiTheme="majorHAnsi" w:cstheme="majorHAnsi"/>
          <w:b/>
        </w:rPr>
        <w:t>SUMMARY:</w:t>
      </w:r>
      <w:r w:rsidRPr="00770846">
        <w:rPr>
          <w:rFonts w:asciiTheme="majorHAnsi" w:hAnsiTheme="majorHAnsi" w:cstheme="majorHAnsi"/>
        </w:rPr>
        <w:t xml:space="preserve"> </w:t>
      </w:r>
    </w:p>
    <w:p w14:paraId="74EFC8D7" w14:textId="60593BF4" w:rsidR="006E4797" w:rsidRPr="00770846" w:rsidRDefault="00C34DBF" w:rsidP="00770846">
      <w:pPr>
        <w:rPr>
          <w:rFonts w:asciiTheme="majorHAnsi" w:hAnsiTheme="majorHAnsi" w:cstheme="majorHAnsi"/>
        </w:rPr>
      </w:pPr>
      <w:r w:rsidRPr="00770846">
        <w:rPr>
          <w:rFonts w:asciiTheme="majorHAnsi" w:hAnsiTheme="majorHAnsi" w:cstheme="majorHAnsi"/>
        </w:rPr>
        <w:t xml:space="preserve">Here we present a protocol to perform preclinical </w:t>
      </w:r>
      <w:r w:rsidR="00284298" w:rsidRPr="00770846">
        <w:rPr>
          <w:rFonts w:asciiTheme="majorHAnsi" w:hAnsiTheme="majorHAnsi" w:cstheme="majorHAnsi"/>
        </w:rPr>
        <w:t>positron emission tomography-</w:t>
      </w:r>
      <w:r w:rsidRPr="00770846">
        <w:rPr>
          <w:rFonts w:asciiTheme="majorHAnsi" w:hAnsiTheme="majorHAnsi" w:cstheme="majorHAnsi"/>
        </w:rPr>
        <w:t xml:space="preserve">based radiotherapy in a rat glioblastoma model using algorithms </w:t>
      </w:r>
      <w:r w:rsidR="00284298" w:rsidRPr="00770846">
        <w:rPr>
          <w:rFonts w:asciiTheme="majorHAnsi" w:hAnsiTheme="majorHAnsi" w:cstheme="majorHAnsi"/>
        </w:rPr>
        <w:t>developed in-house</w:t>
      </w:r>
      <w:r w:rsidRPr="00770846">
        <w:rPr>
          <w:rFonts w:asciiTheme="majorHAnsi" w:hAnsiTheme="majorHAnsi" w:cstheme="majorHAnsi"/>
        </w:rPr>
        <w:t xml:space="preserve"> to optimize the accuracy and efficiency.</w:t>
      </w:r>
    </w:p>
    <w:p w14:paraId="1C42911C" w14:textId="77777777" w:rsidR="00C34DBF" w:rsidRPr="00770846" w:rsidRDefault="00C34DBF" w:rsidP="00770846">
      <w:pPr>
        <w:rPr>
          <w:rFonts w:asciiTheme="majorHAnsi" w:hAnsiTheme="majorHAnsi" w:cstheme="majorHAnsi"/>
        </w:rPr>
      </w:pPr>
    </w:p>
    <w:p w14:paraId="2DF8E628" w14:textId="5C39FF4A" w:rsidR="006E4797" w:rsidRPr="00770846" w:rsidRDefault="00551D82" w:rsidP="00770846">
      <w:pPr>
        <w:rPr>
          <w:rFonts w:asciiTheme="majorHAnsi" w:hAnsiTheme="majorHAnsi" w:cstheme="majorHAnsi"/>
        </w:rPr>
      </w:pPr>
      <w:r w:rsidRPr="00770846">
        <w:rPr>
          <w:rFonts w:asciiTheme="majorHAnsi" w:hAnsiTheme="majorHAnsi" w:cstheme="majorHAnsi"/>
          <w:b/>
        </w:rPr>
        <w:t>ABSTRACT:</w:t>
      </w:r>
    </w:p>
    <w:p w14:paraId="512CE060" w14:textId="1A9758C2" w:rsidR="00D438E7" w:rsidRPr="00770846" w:rsidRDefault="002D1321" w:rsidP="00770846">
      <w:pPr>
        <w:rPr>
          <w:rFonts w:asciiTheme="majorHAnsi" w:hAnsiTheme="majorHAnsi" w:cstheme="majorHAnsi"/>
        </w:rPr>
      </w:pPr>
      <w:r w:rsidRPr="00770846">
        <w:rPr>
          <w:rFonts w:asciiTheme="majorHAnsi" w:hAnsiTheme="majorHAnsi" w:cstheme="majorHAnsi"/>
        </w:rPr>
        <w:t>A</w:t>
      </w:r>
      <w:r w:rsidR="00EF7177" w:rsidRPr="00770846">
        <w:rPr>
          <w:rFonts w:asciiTheme="majorHAnsi" w:hAnsiTheme="majorHAnsi" w:cstheme="majorHAnsi"/>
        </w:rPr>
        <w:t xml:space="preserve"> </w:t>
      </w:r>
      <w:r w:rsidR="009C6705" w:rsidRPr="00770846">
        <w:rPr>
          <w:rFonts w:asciiTheme="majorHAnsi" w:hAnsiTheme="majorHAnsi" w:cstheme="majorHAnsi"/>
        </w:rPr>
        <w:t>rat glioblastoma model to</w:t>
      </w:r>
      <w:r w:rsidR="00063294" w:rsidRPr="00770846">
        <w:rPr>
          <w:rFonts w:asciiTheme="majorHAnsi" w:hAnsiTheme="majorHAnsi" w:cstheme="majorHAnsi"/>
        </w:rPr>
        <w:t xml:space="preserve"> mimic </w:t>
      </w:r>
      <w:r w:rsidR="003865C6" w:rsidRPr="00770846">
        <w:rPr>
          <w:rFonts w:asciiTheme="majorHAnsi" w:hAnsiTheme="majorHAnsi" w:cstheme="majorHAnsi"/>
        </w:rPr>
        <w:t>chemo-radiation</w:t>
      </w:r>
      <w:r w:rsidR="00063294" w:rsidRPr="00770846">
        <w:rPr>
          <w:rFonts w:asciiTheme="majorHAnsi" w:hAnsiTheme="majorHAnsi" w:cstheme="majorHAnsi"/>
        </w:rPr>
        <w:t xml:space="preserve"> treatment of human glioblastoma in the clinic</w:t>
      </w:r>
      <w:r w:rsidRPr="00770846">
        <w:rPr>
          <w:rFonts w:asciiTheme="majorHAnsi" w:hAnsiTheme="majorHAnsi" w:cstheme="majorHAnsi"/>
        </w:rPr>
        <w:t xml:space="preserve"> was previously established</w:t>
      </w:r>
      <w:r w:rsidR="00063294" w:rsidRPr="00770846">
        <w:rPr>
          <w:rFonts w:asciiTheme="majorHAnsi" w:hAnsiTheme="majorHAnsi" w:cstheme="majorHAnsi"/>
        </w:rPr>
        <w:t xml:space="preserve">. </w:t>
      </w:r>
      <w:proofErr w:type="gramStart"/>
      <w:r w:rsidR="003865C6" w:rsidRPr="00770846">
        <w:rPr>
          <w:rFonts w:asciiTheme="majorHAnsi" w:hAnsiTheme="majorHAnsi" w:cstheme="majorHAnsi"/>
        </w:rPr>
        <w:t>Similar to</w:t>
      </w:r>
      <w:proofErr w:type="gramEnd"/>
      <w:r w:rsidR="003865C6" w:rsidRPr="00770846">
        <w:rPr>
          <w:rFonts w:asciiTheme="majorHAnsi" w:hAnsiTheme="majorHAnsi" w:cstheme="majorHAnsi"/>
        </w:rPr>
        <w:t xml:space="preserve"> the clinic</w:t>
      </w:r>
      <w:r w:rsidR="00FD0D4B" w:rsidRPr="00770846">
        <w:rPr>
          <w:rFonts w:asciiTheme="majorHAnsi" w:hAnsiTheme="majorHAnsi" w:cstheme="majorHAnsi"/>
        </w:rPr>
        <w:t>al treatment</w:t>
      </w:r>
      <w:r w:rsidR="003865C6" w:rsidRPr="00770846">
        <w:rPr>
          <w:rFonts w:asciiTheme="majorHAnsi" w:hAnsiTheme="majorHAnsi" w:cstheme="majorHAnsi"/>
        </w:rPr>
        <w:t xml:space="preserve">, </w:t>
      </w:r>
      <w:r w:rsidR="00FD0D4B" w:rsidRPr="00770846">
        <w:rPr>
          <w:rFonts w:asciiTheme="majorHAnsi" w:hAnsiTheme="majorHAnsi" w:cstheme="majorHAnsi"/>
        </w:rPr>
        <w:t>computed tomography (</w:t>
      </w:r>
      <w:r w:rsidR="003865C6" w:rsidRPr="00770846">
        <w:rPr>
          <w:rFonts w:asciiTheme="majorHAnsi" w:hAnsiTheme="majorHAnsi" w:cstheme="majorHAnsi"/>
        </w:rPr>
        <w:t>CT</w:t>
      </w:r>
      <w:r w:rsidR="00FD0D4B" w:rsidRPr="00770846">
        <w:rPr>
          <w:rFonts w:asciiTheme="majorHAnsi" w:hAnsiTheme="majorHAnsi" w:cstheme="majorHAnsi"/>
        </w:rPr>
        <w:t>)</w:t>
      </w:r>
      <w:r w:rsidR="003865C6" w:rsidRPr="00770846">
        <w:rPr>
          <w:rFonts w:asciiTheme="majorHAnsi" w:hAnsiTheme="majorHAnsi" w:cstheme="majorHAnsi"/>
        </w:rPr>
        <w:t xml:space="preserve"> and </w:t>
      </w:r>
      <w:r w:rsidR="00F77B44" w:rsidRPr="00770846">
        <w:rPr>
          <w:rFonts w:asciiTheme="majorHAnsi" w:hAnsiTheme="majorHAnsi" w:cstheme="majorHAnsi"/>
        </w:rPr>
        <w:t>magnetic resonance imaging (</w:t>
      </w:r>
      <w:r w:rsidR="003865C6" w:rsidRPr="00770846">
        <w:rPr>
          <w:rFonts w:asciiTheme="majorHAnsi" w:hAnsiTheme="majorHAnsi" w:cstheme="majorHAnsi"/>
        </w:rPr>
        <w:t>MRI</w:t>
      </w:r>
      <w:r w:rsidR="00F77B44" w:rsidRPr="00770846">
        <w:rPr>
          <w:rFonts w:asciiTheme="majorHAnsi" w:hAnsiTheme="majorHAnsi" w:cstheme="majorHAnsi"/>
        </w:rPr>
        <w:t>)</w:t>
      </w:r>
      <w:r w:rsidR="003865C6" w:rsidRPr="00770846">
        <w:rPr>
          <w:rFonts w:asciiTheme="majorHAnsi" w:hAnsiTheme="majorHAnsi" w:cstheme="majorHAnsi"/>
        </w:rPr>
        <w:t xml:space="preserve"> were combined during the treatment</w:t>
      </w:r>
      <w:r w:rsidR="002316EF" w:rsidRPr="00770846">
        <w:rPr>
          <w:rFonts w:asciiTheme="majorHAnsi" w:hAnsiTheme="majorHAnsi" w:cstheme="majorHAnsi"/>
        </w:rPr>
        <w:t>-</w:t>
      </w:r>
      <w:r w:rsidR="003865C6" w:rsidRPr="00770846">
        <w:rPr>
          <w:rFonts w:asciiTheme="majorHAnsi" w:hAnsiTheme="majorHAnsi" w:cstheme="majorHAnsi"/>
        </w:rPr>
        <w:t xml:space="preserve">planning process. </w:t>
      </w:r>
      <w:r w:rsidR="00613921" w:rsidRPr="00770846">
        <w:rPr>
          <w:rFonts w:asciiTheme="majorHAnsi" w:hAnsiTheme="majorHAnsi" w:cstheme="majorHAnsi"/>
        </w:rPr>
        <w:t>Positron emission tomography (</w:t>
      </w:r>
      <w:r w:rsidR="003865C6" w:rsidRPr="00770846">
        <w:rPr>
          <w:rFonts w:asciiTheme="majorHAnsi" w:hAnsiTheme="majorHAnsi" w:cstheme="majorHAnsi"/>
        </w:rPr>
        <w:t>PET</w:t>
      </w:r>
      <w:r w:rsidR="00613921" w:rsidRPr="00770846">
        <w:rPr>
          <w:rFonts w:asciiTheme="majorHAnsi" w:hAnsiTheme="majorHAnsi" w:cstheme="majorHAnsi"/>
        </w:rPr>
        <w:t>)</w:t>
      </w:r>
      <w:r w:rsidR="003865C6" w:rsidRPr="00770846">
        <w:rPr>
          <w:rFonts w:asciiTheme="majorHAnsi" w:hAnsiTheme="majorHAnsi" w:cstheme="majorHAnsi"/>
        </w:rPr>
        <w:t xml:space="preserve"> imaging was subsequently added t</w:t>
      </w:r>
      <w:r w:rsidR="00B37CFE" w:rsidRPr="00770846">
        <w:rPr>
          <w:rFonts w:asciiTheme="majorHAnsi" w:hAnsiTheme="majorHAnsi" w:cstheme="majorHAnsi"/>
        </w:rPr>
        <w:t>o</w:t>
      </w:r>
      <w:r w:rsidR="003865C6" w:rsidRPr="00770846">
        <w:rPr>
          <w:rFonts w:asciiTheme="majorHAnsi" w:hAnsiTheme="majorHAnsi" w:cstheme="majorHAnsi"/>
        </w:rPr>
        <w:t xml:space="preserve"> implement sub-volume boosting using a micro-irradiation system. However,</w:t>
      </w:r>
      <w:r w:rsidR="00B42BA7" w:rsidRPr="00770846">
        <w:rPr>
          <w:rFonts w:asciiTheme="majorHAnsi" w:hAnsiTheme="majorHAnsi" w:cstheme="majorHAnsi"/>
        </w:rPr>
        <w:t xml:space="preserve"> combining three imaging modalities</w:t>
      </w:r>
      <w:r w:rsidR="002A332F" w:rsidRPr="00770846">
        <w:rPr>
          <w:rFonts w:asciiTheme="majorHAnsi" w:hAnsiTheme="majorHAnsi" w:cstheme="majorHAnsi"/>
        </w:rPr>
        <w:t xml:space="preserve"> </w:t>
      </w:r>
      <w:r w:rsidR="002C1014" w:rsidRPr="00770846">
        <w:rPr>
          <w:rFonts w:asciiTheme="majorHAnsi" w:hAnsiTheme="majorHAnsi" w:cstheme="majorHAnsi"/>
        </w:rPr>
        <w:t>(</w:t>
      </w:r>
      <w:r w:rsidR="0020776C" w:rsidRPr="00770846">
        <w:rPr>
          <w:rFonts w:asciiTheme="majorHAnsi" w:hAnsiTheme="majorHAnsi" w:cstheme="majorHAnsi"/>
        </w:rPr>
        <w:t>CT, MRI</w:t>
      </w:r>
      <w:r w:rsidR="00762E07" w:rsidRPr="00770846">
        <w:rPr>
          <w:rFonts w:asciiTheme="majorHAnsi" w:hAnsiTheme="majorHAnsi" w:cstheme="majorHAnsi"/>
        </w:rPr>
        <w:t>,</w:t>
      </w:r>
      <w:r w:rsidR="0020776C" w:rsidRPr="00770846">
        <w:rPr>
          <w:rFonts w:asciiTheme="majorHAnsi" w:hAnsiTheme="majorHAnsi" w:cstheme="majorHAnsi"/>
        </w:rPr>
        <w:t xml:space="preserve"> and PET</w:t>
      </w:r>
      <w:r w:rsidR="002C1014" w:rsidRPr="00770846">
        <w:rPr>
          <w:rFonts w:asciiTheme="majorHAnsi" w:hAnsiTheme="majorHAnsi" w:cstheme="majorHAnsi"/>
        </w:rPr>
        <w:t xml:space="preserve">) </w:t>
      </w:r>
      <w:r w:rsidR="00B42BA7" w:rsidRPr="00770846">
        <w:rPr>
          <w:rFonts w:asciiTheme="majorHAnsi" w:hAnsiTheme="majorHAnsi" w:cstheme="majorHAnsi"/>
        </w:rPr>
        <w:t>using a micro-irradiation system</w:t>
      </w:r>
      <w:r w:rsidR="008D0BBA" w:rsidRPr="00770846">
        <w:rPr>
          <w:rFonts w:asciiTheme="majorHAnsi" w:hAnsiTheme="majorHAnsi" w:cstheme="majorHAnsi"/>
        </w:rPr>
        <w:t xml:space="preserve"> </w:t>
      </w:r>
      <w:r w:rsidR="004C033B" w:rsidRPr="00770846">
        <w:rPr>
          <w:rFonts w:asciiTheme="majorHAnsi" w:hAnsiTheme="majorHAnsi" w:cstheme="majorHAnsi"/>
        </w:rPr>
        <w:t>proved to be labor</w:t>
      </w:r>
      <w:r w:rsidR="00AD0394" w:rsidRPr="00770846">
        <w:rPr>
          <w:rFonts w:asciiTheme="majorHAnsi" w:hAnsiTheme="majorHAnsi" w:cstheme="majorHAnsi"/>
        </w:rPr>
        <w:t>-</w:t>
      </w:r>
      <w:r w:rsidR="004C033B" w:rsidRPr="00770846">
        <w:rPr>
          <w:rFonts w:asciiTheme="majorHAnsi" w:hAnsiTheme="majorHAnsi" w:cstheme="majorHAnsi"/>
        </w:rPr>
        <w:t>intensive because multimodal imaging, treatment planning</w:t>
      </w:r>
      <w:r w:rsidR="009301E3" w:rsidRPr="00770846">
        <w:rPr>
          <w:rFonts w:asciiTheme="majorHAnsi" w:hAnsiTheme="majorHAnsi" w:cstheme="majorHAnsi"/>
        </w:rPr>
        <w:t>,</w:t>
      </w:r>
      <w:r w:rsidR="004C033B" w:rsidRPr="00770846">
        <w:rPr>
          <w:rFonts w:asciiTheme="majorHAnsi" w:hAnsiTheme="majorHAnsi" w:cstheme="majorHAnsi"/>
        </w:rPr>
        <w:t xml:space="preserve"> and dose delivery </w:t>
      </w:r>
      <w:proofErr w:type="gramStart"/>
      <w:r w:rsidR="004C033B" w:rsidRPr="00770846">
        <w:rPr>
          <w:rFonts w:asciiTheme="majorHAnsi" w:hAnsiTheme="majorHAnsi" w:cstheme="majorHAnsi"/>
        </w:rPr>
        <w:t>have to</w:t>
      </w:r>
      <w:proofErr w:type="gramEnd"/>
      <w:r w:rsidR="00BA560B" w:rsidRPr="00770846">
        <w:rPr>
          <w:rFonts w:asciiTheme="majorHAnsi" w:hAnsiTheme="majorHAnsi" w:cstheme="majorHAnsi"/>
        </w:rPr>
        <w:t xml:space="preserve"> be completed sequentially in the preclinical setting. This also results in a workflow that is more prone to human error.</w:t>
      </w:r>
      <w:r w:rsidR="00F9056B" w:rsidRPr="00770846">
        <w:rPr>
          <w:rFonts w:asciiTheme="majorHAnsi" w:hAnsiTheme="majorHAnsi" w:cstheme="majorHAnsi"/>
        </w:rPr>
        <w:t xml:space="preserve"> Therefore, </w:t>
      </w:r>
      <w:r w:rsidR="008C22EC" w:rsidRPr="00770846">
        <w:rPr>
          <w:rFonts w:asciiTheme="majorHAnsi" w:hAnsiTheme="majorHAnsi" w:cstheme="majorHAnsi"/>
        </w:rPr>
        <w:t xml:space="preserve">a user-friendly </w:t>
      </w:r>
      <w:r w:rsidR="007B391C" w:rsidRPr="00770846">
        <w:rPr>
          <w:rFonts w:asciiTheme="majorHAnsi" w:hAnsiTheme="majorHAnsi" w:cstheme="majorHAnsi"/>
        </w:rPr>
        <w:t>algorithm</w:t>
      </w:r>
      <w:r w:rsidR="0051026A" w:rsidRPr="00770846">
        <w:rPr>
          <w:rFonts w:asciiTheme="majorHAnsi" w:hAnsiTheme="majorHAnsi" w:cstheme="majorHAnsi"/>
        </w:rPr>
        <w:t xml:space="preserve"> to further optimize preclinical multimodal imaging</w:t>
      </w:r>
      <w:r w:rsidR="009301E3" w:rsidRPr="00770846">
        <w:rPr>
          <w:rFonts w:asciiTheme="majorHAnsi" w:hAnsiTheme="majorHAnsi" w:cstheme="majorHAnsi"/>
        </w:rPr>
        <w:t>-</w:t>
      </w:r>
      <w:r w:rsidR="0051026A" w:rsidRPr="00770846">
        <w:rPr>
          <w:rFonts w:asciiTheme="majorHAnsi" w:hAnsiTheme="majorHAnsi" w:cstheme="majorHAnsi"/>
        </w:rPr>
        <w:t>based radiation treatment planning</w:t>
      </w:r>
      <w:r w:rsidR="00E75BCD" w:rsidRPr="00770846">
        <w:rPr>
          <w:rFonts w:asciiTheme="majorHAnsi" w:hAnsiTheme="majorHAnsi" w:cstheme="majorHAnsi"/>
        </w:rPr>
        <w:t xml:space="preserve"> was implemented</w:t>
      </w:r>
      <w:r w:rsidR="0051026A" w:rsidRPr="00770846">
        <w:rPr>
          <w:rFonts w:asciiTheme="majorHAnsi" w:hAnsiTheme="majorHAnsi" w:cstheme="majorHAnsi"/>
        </w:rPr>
        <w:t xml:space="preserve">. </w:t>
      </w:r>
      <w:r w:rsidR="00C54BD3" w:rsidRPr="00770846">
        <w:rPr>
          <w:rFonts w:asciiTheme="majorHAnsi" w:hAnsiTheme="majorHAnsi" w:cstheme="majorHAnsi"/>
        </w:rPr>
        <w:t xml:space="preserve">This software tool </w:t>
      </w:r>
      <w:r w:rsidR="009301E3" w:rsidRPr="00770846">
        <w:rPr>
          <w:rFonts w:asciiTheme="majorHAnsi" w:hAnsiTheme="majorHAnsi" w:cstheme="majorHAnsi"/>
        </w:rPr>
        <w:t>w</w:t>
      </w:r>
      <w:r w:rsidR="00C54BD3" w:rsidRPr="00770846">
        <w:rPr>
          <w:rFonts w:asciiTheme="majorHAnsi" w:hAnsiTheme="majorHAnsi" w:cstheme="majorHAnsi"/>
        </w:rPr>
        <w:t>as used to evaluate the accuracy and efficiency of dose</w:t>
      </w:r>
      <w:r w:rsidR="00F5759C" w:rsidRPr="00770846">
        <w:rPr>
          <w:rFonts w:asciiTheme="majorHAnsi" w:hAnsiTheme="majorHAnsi" w:cstheme="majorHAnsi"/>
        </w:rPr>
        <w:t xml:space="preserve"> </w:t>
      </w:r>
      <w:r w:rsidR="00C54BD3" w:rsidRPr="00770846">
        <w:rPr>
          <w:rFonts w:asciiTheme="majorHAnsi" w:hAnsiTheme="majorHAnsi" w:cstheme="majorHAnsi"/>
        </w:rPr>
        <w:t xml:space="preserve">painting </w:t>
      </w:r>
      <w:r w:rsidR="0007357F" w:rsidRPr="00770846">
        <w:rPr>
          <w:rFonts w:asciiTheme="majorHAnsi" w:hAnsiTheme="majorHAnsi" w:cstheme="majorHAnsi"/>
        </w:rPr>
        <w:t>radiation therapy</w:t>
      </w:r>
      <w:r w:rsidR="00C135C1" w:rsidRPr="00770846">
        <w:rPr>
          <w:rFonts w:asciiTheme="majorHAnsi" w:hAnsiTheme="majorHAnsi" w:cstheme="majorHAnsi"/>
        </w:rPr>
        <w:t xml:space="preserve"> with</w:t>
      </w:r>
      <w:r w:rsidR="00C54BD3" w:rsidRPr="00770846">
        <w:rPr>
          <w:rFonts w:asciiTheme="majorHAnsi" w:hAnsiTheme="majorHAnsi" w:cstheme="majorHAnsi"/>
        </w:rPr>
        <w:t xml:space="preserve"> micro-irradiation </w:t>
      </w:r>
      <w:r w:rsidR="0007357F" w:rsidRPr="00770846">
        <w:rPr>
          <w:rFonts w:asciiTheme="majorHAnsi" w:hAnsiTheme="majorHAnsi" w:cstheme="majorHAnsi"/>
        </w:rPr>
        <w:t xml:space="preserve">by using an </w:t>
      </w:r>
      <w:proofErr w:type="gramStart"/>
      <w:r w:rsidR="0007357F" w:rsidRPr="00770846">
        <w:rPr>
          <w:rFonts w:asciiTheme="majorHAnsi" w:hAnsiTheme="majorHAnsi" w:cstheme="majorHAnsi"/>
          <w:i/>
          <w:iCs/>
        </w:rPr>
        <w:t>in silico</w:t>
      </w:r>
      <w:proofErr w:type="gramEnd"/>
      <w:r w:rsidR="0007357F" w:rsidRPr="00770846">
        <w:rPr>
          <w:rFonts w:asciiTheme="majorHAnsi" w:hAnsiTheme="majorHAnsi" w:cstheme="majorHAnsi"/>
        </w:rPr>
        <w:t xml:space="preserve"> study design. </w:t>
      </w:r>
      <w:r w:rsidR="005468FF" w:rsidRPr="00770846">
        <w:rPr>
          <w:rFonts w:asciiTheme="majorHAnsi" w:hAnsiTheme="majorHAnsi" w:cstheme="majorHAnsi"/>
        </w:rPr>
        <w:t>The</w:t>
      </w:r>
      <w:r w:rsidR="00D37848" w:rsidRPr="00770846">
        <w:rPr>
          <w:rFonts w:asciiTheme="majorHAnsi" w:hAnsiTheme="majorHAnsi" w:cstheme="majorHAnsi"/>
        </w:rPr>
        <w:t xml:space="preserve"> new methodology for dose painting radiation therapy </w:t>
      </w:r>
      <w:r w:rsidR="003D044E" w:rsidRPr="00770846">
        <w:rPr>
          <w:rFonts w:asciiTheme="majorHAnsi" w:hAnsiTheme="majorHAnsi" w:cstheme="majorHAnsi"/>
        </w:rPr>
        <w:t>is</w:t>
      </w:r>
      <w:r w:rsidR="00D37848" w:rsidRPr="00770846">
        <w:rPr>
          <w:rFonts w:asciiTheme="majorHAnsi" w:hAnsiTheme="majorHAnsi" w:cstheme="majorHAnsi"/>
        </w:rPr>
        <w:t xml:space="preserve"> superior to the previously described method in term</w:t>
      </w:r>
      <w:r w:rsidR="003D044E" w:rsidRPr="00770846">
        <w:rPr>
          <w:rFonts w:asciiTheme="majorHAnsi" w:hAnsiTheme="majorHAnsi" w:cstheme="majorHAnsi"/>
        </w:rPr>
        <w:t>s</w:t>
      </w:r>
      <w:r w:rsidR="00D37848" w:rsidRPr="00770846">
        <w:rPr>
          <w:rFonts w:asciiTheme="majorHAnsi" w:hAnsiTheme="majorHAnsi" w:cstheme="majorHAnsi"/>
        </w:rPr>
        <w:t xml:space="preserve"> of accuracy</w:t>
      </w:r>
      <w:r w:rsidR="009A169A" w:rsidRPr="00770846">
        <w:rPr>
          <w:rFonts w:asciiTheme="majorHAnsi" w:hAnsiTheme="majorHAnsi" w:cstheme="majorHAnsi"/>
        </w:rPr>
        <w:t>, time</w:t>
      </w:r>
      <w:r w:rsidR="00E83026" w:rsidRPr="00770846">
        <w:rPr>
          <w:rFonts w:asciiTheme="majorHAnsi" w:hAnsiTheme="majorHAnsi" w:cstheme="majorHAnsi"/>
        </w:rPr>
        <w:t xml:space="preserve"> </w:t>
      </w:r>
      <w:r w:rsidR="009A169A" w:rsidRPr="00770846">
        <w:rPr>
          <w:rFonts w:asciiTheme="majorHAnsi" w:hAnsiTheme="majorHAnsi" w:cstheme="majorHAnsi"/>
        </w:rPr>
        <w:t xml:space="preserve">efficiency, and intra- and inter-user variability. It is </w:t>
      </w:r>
      <w:r w:rsidR="009A169A" w:rsidRPr="00770846">
        <w:rPr>
          <w:rFonts w:asciiTheme="majorHAnsi" w:hAnsiTheme="majorHAnsi" w:cstheme="majorHAnsi"/>
        </w:rPr>
        <w:lastRenderedPageBreak/>
        <w:t>also an important step towards the implementation of inverse treatment planning on micro-irradiators</w:t>
      </w:r>
      <w:r w:rsidR="005872A1" w:rsidRPr="00770846">
        <w:rPr>
          <w:rFonts w:asciiTheme="majorHAnsi" w:hAnsiTheme="majorHAnsi" w:cstheme="majorHAnsi"/>
        </w:rPr>
        <w:t>, where forward planning is still commonly used, in contrast to clinical systems.</w:t>
      </w:r>
      <w:r w:rsidR="009228F8" w:rsidRPr="00770846">
        <w:rPr>
          <w:rFonts w:asciiTheme="majorHAnsi" w:hAnsiTheme="majorHAnsi" w:cstheme="majorHAnsi"/>
        </w:rPr>
        <w:t xml:space="preserve"> </w:t>
      </w:r>
    </w:p>
    <w:p w14:paraId="6A1E80E7" w14:textId="77777777" w:rsidR="00E8513C" w:rsidRPr="00770846" w:rsidRDefault="00E8513C" w:rsidP="00770846">
      <w:pPr>
        <w:rPr>
          <w:rFonts w:asciiTheme="majorHAnsi" w:hAnsiTheme="majorHAnsi" w:cstheme="majorHAnsi"/>
        </w:rPr>
      </w:pPr>
    </w:p>
    <w:p w14:paraId="0646E204" w14:textId="1E610F00" w:rsidR="006E4797" w:rsidRPr="00770846" w:rsidRDefault="00551D82" w:rsidP="00770846">
      <w:pPr>
        <w:rPr>
          <w:rFonts w:asciiTheme="majorHAnsi" w:hAnsiTheme="majorHAnsi" w:cstheme="majorHAnsi"/>
        </w:rPr>
      </w:pPr>
      <w:r w:rsidRPr="00770846">
        <w:rPr>
          <w:rFonts w:asciiTheme="majorHAnsi" w:hAnsiTheme="majorHAnsi" w:cstheme="majorHAnsi"/>
          <w:b/>
        </w:rPr>
        <w:t>INTRODUCTION:</w:t>
      </w:r>
    </w:p>
    <w:p w14:paraId="3CB2E674" w14:textId="5DEA2DED" w:rsidR="00C0222E" w:rsidRPr="00770846" w:rsidRDefault="003E190A" w:rsidP="00770846">
      <w:pPr>
        <w:rPr>
          <w:rFonts w:asciiTheme="majorHAnsi" w:hAnsiTheme="majorHAnsi" w:cstheme="majorHAnsi"/>
        </w:rPr>
      </w:pPr>
      <w:r w:rsidRPr="00770846">
        <w:rPr>
          <w:rFonts w:asciiTheme="majorHAnsi" w:hAnsiTheme="majorHAnsi" w:cstheme="majorHAnsi"/>
        </w:rPr>
        <w:t xml:space="preserve">Glioblastoma (GB) is </w:t>
      </w:r>
      <w:r w:rsidR="00DB78E2" w:rsidRPr="00770846">
        <w:rPr>
          <w:rFonts w:asciiTheme="majorHAnsi" w:hAnsiTheme="majorHAnsi" w:cstheme="majorHAnsi"/>
        </w:rPr>
        <w:t xml:space="preserve">a malignant and very aggressive </w:t>
      </w:r>
      <w:r w:rsidRPr="00770846">
        <w:rPr>
          <w:rFonts w:asciiTheme="majorHAnsi" w:hAnsiTheme="majorHAnsi" w:cstheme="majorHAnsi"/>
        </w:rPr>
        <w:t xml:space="preserve">primary brain tumor. GB is a solid </w:t>
      </w:r>
      <w:r w:rsidR="00DB78E2" w:rsidRPr="00770846">
        <w:rPr>
          <w:rFonts w:asciiTheme="majorHAnsi" w:hAnsiTheme="majorHAnsi" w:cstheme="majorHAnsi"/>
        </w:rPr>
        <w:t>heterogen</w:t>
      </w:r>
      <w:r w:rsidR="008C592B" w:rsidRPr="00770846">
        <w:rPr>
          <w:rFonts w:asciiTheme="majorHAnsi" w:hAnsiTheme="majorHAnsi" w:cstheme="majorHAnsi"/>
        </w:rPr>
        <w:t>e</w:t>
      </w:r>
      <w:r w:rsidR="00DB78E2" w:rsidRPr="00770846">
        <w:rPr>
          <w:rFonts w:asciiTheme="majorHAnsi" w:hAnsiTheme="majorHAnsi" w:cstheme="majorHAnsi"/>
        </w:rPr>
        <w:t xml:space="preserve">ous </w:t>
      </w:r>
      <w:r w:rsidRPr="00770846">
        <w:rPr>
          <w:rFonts w:asciiTheme="majorHAnsi" w:hAnsiTheme="majorHAnsi" w:cstheme="majorHAnsi"/>
        </w:rPr>
        <w:t xml:space="preserve">tumor </w:t>
      </w:r>
      <w:r w:rsidR="00FE02F8" w:rsidRPr="00770846">
        <w:rPr>
          <w:rFonts w:asciiTheme="majorHAnsi" w:hAnsiTheme="majorHAnsi" w:cstheme="majorHAnsi"/>
        </w:rPr>
        <w:t xml:space="preserve">typically </w:t>
      </w:r>
      <w:r w:rsidRPr="00770846">
        <w:rPr>
          <w:rFonts w:asciiTheme="majorHAnsi" w:hAnsiTheme="majorHAnsi" w:cstheme="majorHAnsi"/>
        </w:rPr>
        <w:t xml:space="preserve">characterized by infiltrative boundaries, </w:t>
      </w:r>
      <w:r w:rsidR="00DB78E2" w:rsidRPr="00770846">
        <w:rPr>
          <w:rFonts w:asciiTheme="majorHAnsi" w:hAnsiTheme="majorHAnsi" w:cstheme="majorHAnsi"/>
        </w:rPr>
        <w:t>nuclear atypia</w:t>
      </w:r>
      <w:r w:rsidR="008C592B" w:rsidRPr="00770846">
        <w:rPr>
          <w:rFonts w:asciiTheme="majorHAnsi" w:hAnsiTheme="majorHAnsi" w:cstheme="majorHAnsi"/>
        </w:rPr>
        <w:t>,</w:t>
      </w:r>
      <w:r w:rsidR="00DB78E2" w:rsidRPr="00770846">
        <w:rPr>
          <w:rFonts w:asciiTheme="majorHAnsi" w:hAnsiTheme="majorHAnsi" w:cstheme="majorHAnsi"/>
        </w:rPr>
        <w:t xml:space="preserve"> </w:t>
      </w:r>
      <w:r w:rsidRPr="00770846">
        <w:rPr>
          <w:rFonts w:asciiTheme="majorHAnsi" w:hAnsiTheme="majorHAnsi" w:cstheme="majorHAnsi"/>
        </w:rPr>
        <w:t xml:space="preserve">and </w:t>
      </w:r>
      <w:r w:rsidR="0039481B" w:rsidRPr="00770846">
        <w:rPr>
          <w:rFonts w:asciiTheme="majorHAnsi" w:hAnsiTheme="majorHAnsi" w:cstheme="majorHAnsi"/>
        </w:rPr>
        <w:t>necrosis</w:t>
      </w:r>
      <w:r w:rsidR="00CA3BED" w:rsidRPr="00770846">
        <w:rPr>
          <w:rFonts w:asciiTheme="majorHAnsi" w:hAnsiTheme="majorHAnsi" w:cstheme="majorHAnsi"/>
        </w:rPr>
        <w:fldChar w:fldCharType="begin" w:fldLock="1"/>
      </w:r>
      <w:r w:rsidR="00167A7B" w:rsidRPr="00770846">
        <w:rPr>
          <w:rFonts w:asciiTheme="majorHAnsi" w:hAnsiTheme="majorHAnsi" w:cstheme="majorHAnsi"/>
        </w:rPr>
        <w:instrText>ADDIN CSL_CITATION {"citationItems":[{"id":"ITEM-1","itemData":{"DOI":"10.1007/s00401-016-1545-1","ISBN":"0040101615451","ISSN":"14320533","PMID":"27157931","abstract":"The 2016 World Health Organization Classification of Tumors of the Central Nervous System is both a conceptual and practical advance over its 2007 predecessor. For the first time, the WHO classification of CNS tumors uses molecular parameters in addition to histology to define many tumor entities, thus formulating a concept for how CNS tumor diagnoses should be structured in the molecular era. As such, the 2016 CNS WHO presents major restructuring of the diffuse gliomas, medulloblastomas and other embryonal tumors, and incorporates new entities that are defined by both histology and molecular features, including glioblastoma, IDH-wildtype and glioblastoma, IDH-mutant; diffuse midline glioma, H3 K27M-mutant; RELA fusion-positive ependymoma; medulloblastoma, WNT-activated and medulloblastoma, SHH-activated; and embryonal tumour with multilayered rosettes, C19MC-altered. The 2016 edition has added newly recognized neoplasms, and has deleted some entities, variants and patterns that no longer have diagnostic and/or biological relevance. Other notable changes include the addition of brain invasion as a criterion for atypical meningioma and the introduction of a soft tissue-type grading system for the now combined entity of solitary fibrous tumor / hemangiopericytoma-a departure from the manner by which other CNS tumors are graded. Overall, it is hoped that the 2016 CNS WHO will facilitate clinical, experimental and epidemiological studies that will lead to improvements in the lives of patients with brain tumors.","author":[{"dropping-particle":"","family":"Louis","given":"David N.","non-dropping-particle":"","parse-names":false,"suffix":""},{"dropping-particle":"","family":"Perry","given":"Arie","non-dropping-particle":"","parse-names":false,"suffix":""},{"dropping-particle":"","family":"Reifenberger","given":"Guido","non-dropping-particle":"","parse-names":false,"suffix":""},{"dropping-particle":"","family":"Deimling","given":"Andreas","non-dropping-particle":"von","parse-names":false,"suffix":""},{"dropping-particle":"","family":"Figarella-Branger","given":"Dominique","non-dropping-particle":"","parse-names":false,"suffix":""},{"dropping-particle":"","family":"Cavenee","given":"Webster K.","non-dropping-particle":"","parse-names":false,"suffix":""},{"dropping-particle":"","family":"Ohgaki","given":"Hiroko","non-dropping-particle":"","parse-names":false,"suffix":""},{"dropping-particle":"","family":"Wiestler","given":"Otmar D.","non-dropping-particle":"","parse-names":false,"suffix":""},{"dropping-particle":"","family":"Kleihues","given":"Paul","non-dropping-particle":"","parse-names":false,"suffix":""},{"dropping-particle":"","family":"Ellison","given":"David W.","non-dropping-particle":"","parse-names":false,"suffix":""}],"container-title":"Acta Neuropathologica","id":"ITEM-1","issue":"6","issued":{"date-parts":[["2016"]]},"page":"803-820","publisher":"Springer Berlin Heidelberg","title":"The 2016 World Health Organization Classification of Tumors of the Central Nervous System: a summary","type":"article-journal","volume":"131"},"uris":["http://www.mendeley.com/documents/?uuid=94405d76-cbff-42ac-9db0-b51a16020f6f"]}],"mendeley":{"formattedCitation":"&lt;sup&gt;1&lt;/sup&gt;","plainTextFormattedCitation":"1","previouslyFormattedCitation":"&lt;sup&gt;1&lt;/sup&gt;"},"properties":{"noteIndex":0},"schema":"https://github.com/citation-style-language/schema/raw/master/csl-citation.json"}</w:instrText>
      </w:r>
      <w:r w:rsidR="00CA3BED" w:rsidRPr="00770846">
        <w:rPr>
          <w:rFonts w:asciiTheme="majorHAnsi" w:hAnsiTheme="majorHAnsi" w:cstheme="majorHAnsi"/>
        </w:rPr>
        <w:fldChar w:fldCharType="separate"/>
      </w:r>
      <w:r w:rsidR="00886C3B" w:rsidRPr="00770846">
        <w:rPr>
          <w:rFonts w:asciiTheme="majorHAnsi" w:hAnsiTheme="majorHAnsi" w:cstheme="majorHAnsi"/>
          <w:noProof/>
          <w:vertAlign w:val="superscript"/>
        </w:rPr>
        <w:t>1</w:t>
      </w:r>
      <w:r w:rsidR="00CA3BED" w:rsidRPr="00770846">
        <w:rPr>
          <w:rFonts w:asciiTheme="majorHAnsi" w:hAnsiTheme="majorHAnsi" w:cstheme="majorHAnsi"/>
        </w:rPr>
        <w:fldChar w:fldCharType="end"/>
      </w:r>
      <w:r w:rsidRPr="00770846">
        <w:rPr>
          <w:rFonts w:asciiTheme="majorHAnsi" w:hAnsiTheme="majorHAnsi" w:cstheme="majorHAnsi"/>
        </w:rPr>
        <w:t xml:space="preserve">. </w:t>
      </w:r>
      <w:r w:rsidR="00D13753" w:rsidRPr="00770846">
        <w:rPr>
          <w:rFonts w:asciiTheme="majorHAnsi" w:hAnsiTheme="majorHAnsi" w:cstheme="majorHAnsi"/>
        </w:rPr>
        <w:t xml:space="preserve">The </w:t>
      </w:r>
      <w:r w:rsidR="00F61635" w:rsidRPr="00770846">
        <w:rPr>
          <w:rFonts w:asciiTheme="majorHAnsi" w:hAnsiTheme="majorHAnsi" w:cstheme="majorHAnsi"/>
        </w:rPr>
        <w:t xml:space="preserve">presence of the </w:t>
      </w:r>
      <w:r w:rsidR="00D13753" w:rsidRPr="00770846">
        <w:rPr>
          <w:rFonts w:asciiTheme="majorHAnsi" w:hAnsiTheme="majorHAnsi" w:cstheme="majorHAnsi"/>
        </w:rPr>
        <w:t>blood-brain-barrier and the</w:t>
      </w:r>
      <w:r w:rsidR="00DD3C35" w:rsidRPr="00770846">
        <w:rPr>
          <w:rFonts w:asciiTheme="majorHAnsi" w:hAnsiTheme="majorHAnsi" w:cstheme="majorHAnsi"/>
        </w:rPr>
        <w:t xml:space="preserve"> brain’s status as an immune</w:t>
      </w:r>
      <w:r w:rsidR="00E362F7" w:rsidRPr="00770846">
        <w:rPr>
          <w:rFonts w:asciiTheme="majorHAnsi" w:hAnsiTheme="majorHAnsi" w:cstheme="majorHAnsi"/>
        </w:rPr>
        <w:t>-</w:t>
      </w:r>
      <w:r w:rsidR="00DD3C35" w:rsidRPr="00770846">
        <w:rPr>
          <w:rFonts w:asciiTheme="majorHAnsi" w:hAnsiTheme="majorHAnsi" w:cstheme="majorHAnsi"/>
        </w:rPr>
        <w:t xml:space="preserve">privileged </w:t>
      </w:r>
      <w:r w:rsidR="00965192" w:rsidRPr="00770846">
        <w:rPr>
          <w:rFonts w:asciiTheme="majorHAnsi" w:hAnsiTheme="majorHAnsi" w:cstheme="majorHAnsi"/>
        </w:rPr>
        <w:t>site make</w:t>
      </w:r>
      <w:r w:rsidR="00BD6370" w:rsidRPr="00770846">
        <w:rPr>
          <w:rFonts w:asciiTheme="majorHAnsi" w:hAnsiTheme="majorHAnsi" w:cstheme="majorHAnsi"/>
        </w:rPr>
        <w:t>s</w:t>
      </w:r>
      <w:r w:rsidR="00965192" w:rsidRPr="00770846">
        <w:rPr>
          <w:rFonts w:asciiTheme="majorHAnsi" w:hAnsiTheme="majorHAnsi" w:cstheme="majorHAnsi"/>
        </w:rPr>
        <w:t xml:space="preserve"> the discovery of novel targets for chemo- and immunotherapy a daunting task</w:t>
      </w:r>
      <w:r w:rsidR="00403BB8" w:rsidRPr="00770846">
        <w:rPr>
          <w:rFonts w:asciiTheme="majorHAnsi" w:hAnsiTheme="majorHAnsi" w:cstheme="majorHAnsi"/>
        </w:rPr>
        <w:fldChar w:fldCharType="begin" w:fldLock="1"/>
      </w:r>
      <w:r w:rsidR="00167A7B" w:rsidRPr="00770846">
        <w:rPr>
          <w:rFonts w:asciiTheme="majorHAnsi" w:hAnsiTheme="majorHAnsi" w:cstheme="majorHAnsi"/>
        </w:rPr>
        <w:instrText>ADDIN CSL_CITATION {"citationItems":[{"id":"ITEM-1","itemData":{"DOI":"10.1002/wnan.1439","ISSN":"19390041","PMID":"27813323","abstract":"Glioblastoma (GBM) is a highly aggressive and lethal form of primary brain cancer. Numerous barriers exist to the effective treatment of GBM including the tightly controlled interface between the bloodstream and central nervous system termed the 'neurovascular unit,' a narrow and tortuous tumor extracellular space containing a dense meshwork of proteins and glycosaminoglycans, and genomic heterogeneity and instability. A major goal of GBM therapy is achieving sustained drug delivery to glioma cells while minimizing toxicity to adjacent neurons and glia. Targeted nanotherapeutics have emerged as promising drug delivery systems with the potential to improve pharmacokinetic profiles and therapeutic efficacy. Some of the key cell surface molecules that have been identified as GBM targets include the transferrin receptor, low-density lipoprotein receptor-related protein, αv β3 integrin, glucose transporter(s), glial fibrillary acidic protein, connexin 43, epidermal growth factor receptor (EGFR), EGFR variant III, interleukin-13 receptor α chain variant 2, and fibroblast growth factor-inducible factor 14. However, most targeted therapeutic formulations have yet to demonstrate improved efficacy related to disease progression or survival. Potential limitations to current targeted nanotherapeutics include: (1) adhesive interactions with nontarget structures, (2) low density or prevalence of the target, (3) lack of target specificity, and (4) genetic instability resulting in alterations of either the target itself or its expression level in response to treatment. In this review, we address these potential limitations in the context of the key GBM targets with the goal of advancing the understanding and development of targeted nanotherapeutics for GBM. For further resources related to this article, please visit the WIREs website.","author":[{"dropping-particle":"","family":"Wadajkar","given":"Aniket S.","non-dropping-particle":"","parse-names":false,"suffix":""},{"dropping-particle":"","family":"Dancy","given":"Jimena G.","non-dropping-particle":"","parse-names":false,"suffix":""},{"dropping-particle":"","family":"Hersh","given":"David S.","non-dropping-particle":"","parse-names":false,"suffix":""},{"dropping-particle":"","family":"Anastasiadis","given":"Pavlos","non-dropping-particle":"","parse-names":false,"suffix":""},{"dropping-particle":"","family":"Tran","given":"Nhan L.","non-dropping-particle":"","parse-names":false,"suffix":""},{"dropping-particle":"","family":"Woodworth","given":"Graeme F.","non-dropping-particle":"","parse-names":false,"suffix":""},{"dropping-particle":"","family":"Winkles","given":"Jeffrey A.","non-dropping-particle":"","parse-names":false,"suffix":""},{"dropping-particle":"","family":"Kim","given":"Anthony J.","non-dropping-particle":"","parse-names":false,"suffix":""}],"container-title":"Wiley Interdisciplinary Reviews: Nanomedicine and Nanobiotechnology","id":"ITEM-1","issued":{"date-parts":[["2016"]]},"title":"Tumor-targeted nanotherapeutics: Overcoming treatment barriers for glioblastoma","type":"article-journal"},"uris":["http://www.mendeley.com/documents/?uuid=a85f607a-996b-4459-86fd-2182275791e4"]},{"id":"ITEM-2","itemData":{"abstract":"Glioma is the most common primary cancer of the central nervous system, and around 50% of patients present with the most aggressive form of the disease, glioblastoma. Conventional therapies, including surgery, radiotherapy, and pharmacotherapy (typically chemotherapy with temozolomide), have not resulted in major improvements in the survival outcomes of patients with glioblastoma. Reasons for this lack of progress include invasive tumour growth in an essential organ, which limits the utility of local therapy, as well as the protection of tumour cells by the blood–brain barrier, their intrinsic resistance to the induction of cell death, and lack of dependence on single, targetable oncogenic pathways, all of which impose challenges for systemic therapy. Furthermore, the unique immune environment of the central nervous system needs to be considered when pursuing immune-based therapeutic approaches for glioblastoma. Nevertheless, a range of different immunotherapies are currently being actively investigated in patients with this disease, spurred on by advances in immuno-oncology for other tumour types. Herein, we examine the current state of immunotherapy for gliomas, notably glioblastoma, the implications for combining the current standard-of-care treatment modalities with immunotherapies, potential biomarkers of response, and future directions for glioblastoma immuno-oncology. The current standard of care for patients with glioblastoma includes surgery, temozolomide chemotherapy, radiotherapy, and corticosteroids, all of which have immunosuppressive effects; we must be cognizant of this complexity when developing immunotherapies. Evidence for immunostimulatory effects of these treatments in the clinic, including abscopal effects, induction of immunogenic cell death, and depletion of regulatory T cells by temozolomide, remains limited. Vaccination has been considered one of the most promising approaches to improving the outcomes of patients with glioblastoma, although negative results from several phase II and phase III trials challenge the current concept of vaccination as a single-modality immunotherapy. Oncolytic viruses might exert pro-inflammatory responses that could potentially be exploited in future combined modality immunotherapy studies, whereas the future of chimeric antigen receptor (CAR) T cell therapy for glioblastoma depends on the identification of stably expressed and sufficiently tumour-specific antigens. Immune-checkpoint inhibitors have…","author":[{"dropping-particle":"","family":"Lim","given":"Michael","non-dropping-particle":"","parse-names":false,"suffix":""},{"dropping-particle":"","family":"Xia","given":"Yuanxuan","non-dropping-particle":"","parse-names":false,"suffix":""},{"dropping-particle":"","family":"Bettegowda","given":"Chetan","non-dropping-particle":"","parse-names":false,"suffix":""},{"dropping-particle":"","family":"Weller","given":"Michael","non-dropping-particle":"","parse-names":false,"suffix":""}],"container-title":"Nature Reviews Clinical Oncology","id":"ITEM-2","issued":{"date-parts":[["2018"]]},"page":"422-422","title":"Current state of immunotherapy for glioblastoma.","type":"article-journal","volume":"15"},"uris":["http://www.mendeley.com/documents/?uuid=f7933062-e738-411a-b0e6-c49aaa1221b7","http://www.mendeley.com/documents/?uuid=882290ef-95e1-4bc9-8fc5-6ad713baed78"]},{"id":"ITEM-3","itemData":{"DOI":"10.1177/1758834017693750","ISBN":"1758834017693","ISSN":"17588359","abstract":"Malignant brain tumors such as glioblastoma (GBM) and brain metastasis have poor prognosis despite conventional therapies. Successful use of vaccines and checkpoint inhibitors in systemic malignancy has increased the hope that immune therapies could improve survival in patients with brain tumors. Manipulating the immune system to fight malignancy has a long history of both modest breakthroughs and pitfalls that should be considered when applying the current immunotherapy approaches to patients with brain tumors. Therapeutic vaccine trials for GBM date back to the mid 1900s and have taken many forms; from irradiated tumor lysate to cell transfer therapies and peptide vaccines. These therapies were generally well tolerated without significant autoimmune toxicity, however also did not demonstrate significant clinical benefit. In contrast, the newer checkpoint inhibitors have demonstrated durable benefit in some metastatic malignancies, accompanied by significant autoimmune toxicity. While this toxicity was not unexpected, it exceeded what was predicted from pre-clinical studies and in many ways was similar to the prior trials of immunostimulants. This review will discuss the history of these studies and demonstrate that the future use of immune therapy for brain tumors will likely need a personalized approach that balances autoimmune toxicity with the opportunity for significant survival benefit.","author":[{"dropping-particle":"","family":"McGranahan","given":"Tresa","non-dropping-particle":"","parse-names":false,"suffix":""},{"dropping-particle":"","family":"Li","given":"Gordon","non-dropping-particle":"","parse-names":false,"suffix":""},{"dropping-particle":"","family":"Nagpal","given":"Seema","non-dropping-particle":"","parse-names":false,"suffix":""}],"container-title":"Therapeutic Advances in Medical Oncology","id":"ITEM-3","issue":"5","issued":{"date-parts":[["2017"]]},"page":"347-368","title":"History and current state of immunotherapy in glioma and brain metastasis","type":"article-journal","volume":"9"},"uris":["http://www.mendeley.com/documents/?uuid=be30dd75-c711-42d1-8da2-54cf3ce28a02","http://www.mendeley.com/documents/?uuid=c75a8664-b54e-458d-a20d-c5f3fd6bb211"]}],"mendeley":{"formattedCitation":"&lt;sup&gt;2–4&lt;/sup&gt;","plainTextFormattedCitation":"2–4","previouslyFormattedCitation":"&lt;sup&gt;2–4&lt;/sup&gt;"},"properties":{"noteIndex":0},"schema":"https://github.com/citation-style-language/schema/raw/master/csl-citation.json"}</w:instrText>
      </w:r>
      <w:r w:rsidR="00403BB8" w:rsidRPr="00770846">
        <w:rPr>
          <w:rFonts w:asciiTheme="majorHAnsi" w:hAnsiTheme="majorHAnsi" w:cstheme="majorHAnsi"/>
        </w:rPr>
        <w:fldChar w:fldCharType="separate"/>
      </w:r>
      <w:r w:rsidR="00403BB8" w:rsidRPr="00770846">
        <w:rPr>
          <w:rFonts w:asciiTheme="majorHAnsi" w:hAnsiTheme="majorHAnsi" w:cstheme="majorHAnsi"/>
          <w:noProof/>
          <w:vertAlign w:val="superscript"/>
        </w:rPr>
        <w:t>2–4</w:t>
      </w:r>
      <w:r w:rsidR="00403BB8" w:rsidRPr="00770846">
        <w:rPr>
          <w:rFonts w:asciiTheme="majorHAnsi" w:hAnsiTheme="majorHAnsi" w:cstheme="majorHAnsi"/>
        </w:rPr>
        <w:fldChar w:fldCharType="end"/>
      </w:r>
      <w:r w:rsidR="009C1C7E" w:rsidRPr="00770846">
        <w:rPr>
          <w:rStyle w:val="CommentReference"/>
          <w:rFonts w:asciiTheme="majorHAnsi" w:hAnsiTheme="majorHAnsi" w:cstheme="majorHAnsi"/>
          <w:sz w:val="24"/>
          <w:szCs w:val="24"/>
        </w:rPr>
        <w:t>.</w:t>
      </w:r>
      <w:r w:rsidR="008F04A5" w:rsidRPr="00770846">
        <w:rPr>
          <w:rFonts w:asciiTheme="majorHAnsi" w:hAnsiTheme="majorHAnsi" w:cstheme="majorHAnsi"/>
        </w:rPr>
        <w:t xml:space="preserve"> </w:t>
      </w:r>
      <w:r w:rsidR="005C085F" w:rsidRPr="00770846">
        <w:rPr>
          <w:rFonts w:asciiTheme="majorHAnsi" w:hAnsiTheme="majorHAnsi" w:cstheme="majorHAnsi"/>
        </w:rPr>
        <w:t xml:space="preserve">It is noteworthy that </w:t>
      </w:r>
      <w:r w:rsidR="009074B8" w:rsidRPr="00770846">
        <w:rPr>
          <w:rFonts w:asciiTheme="majorHAnsi" w:hAnsiTheme="majorHAnsi" w:cstheme="majorHAnsi"/>
        </w:rPr>
        <w:t xml:space="preserve">the treatment </w:t>
      </w:r>
      <w:r w:rsidR="00D6394F" w:rsidRPr="00770846">
        <w:rPr>
          <w:rFonts w:asciiTheme="majorHAnsi" w:hAnsiTheme="majorHAnsi" w:cstheme="majorHAnsi"/>
        </w:rPr>
        <w:t>of</w:t>
      </w:r>
      <w:r w:rsidR="009074B8" w:rsidRPr="00770846">
        <w:rPr>
          <w:rFonts w:asciiTheme="majorHAnsi" w:hAnsiTheme="majorHAnsi" w:cstheme="majorHAnsi"/>
        </w:rPr>
        <w:t xml:space="preserve"> GB patients </w:t>
      </w:r>
      <w:r w:rsidR="008C592B" w:rsidRPr="00770846">
        <w:rPr>
          <w:rFonts w:asciiTheme="majorHAnsi" w:hAnsiTheme="majorHAnsi" w:cstheme="majorHAnsi"/>
        </w:rPr>
        <w:t xml:space="preserve">has </w:t>
      </w:r>
      <w:r w:rsidR="005C085F" w:rsidRPr="00770846">
        <w:rPr>
          <w:rFonts w:asciiTheme="majorHAnsi" w:hAnsiTheme="majorHAnsi" w:cstheme="majorHAnsi"/>
        </w:rPr>
        <w:t>barely</w:t>
      </w:r>
      <w:r w:rsidR="004E3162" w:rsidRPr="00770846">
        <w:rPr>
          <w:rFonts w:asciiTheme="majorHAnsi" w:hAnsiTheme="majorHAnsi" w:cstheme="majorHAnsi"/>
        </w:rPr>
        <w:t xml:space="preserve"> changed </w:t>
      </w:r>
      <w:r w:rsidR="009074B8" w:rsidRPr="00770846">
        <w:rPr>
          <w:rFonts w:asciiTheme="majorHAnsi" w:hAnsiTheme="majorHAnsi" w:cstheme="majorHAnsi"/>
        </w:rPr>
        <w:t>since the introduction</w:t>
      </w:r>
      <w:r w:rsidR="00591F28" w:rsidRPr="00770846">
        <w:rPr>
          <w:rFonts w:asciiTheme="majorHAnsi" w:hAnsiTheme="majorHAnsi" w:cstheme="majorHAnsi"/>
        </w:rPr>
        <w:t>, in 2005,</w:t>
      </w:r>
      <w:r w:rsidR="009074B8" w:rsidRPr="00770846">
        <w:rPr>
          <w:rFonts w:asciiTheme="majorHAnsi" w:hAnsiTheme="majorHAnsi" w:cstheme="majorHAnsi"/>
        </w:rPr>
        <w:t xml:space="preserve"> of the Stupp protocol </w:t>
      </w:r>
      <w:r w:rsidR="00E4166D" w:rsidRPr="00770846">
        <w:rPr>
          <w:rFonts w:asciiTheme="majorHAnsi" w:hAnsiTheme="majorHAnsi" w:cstheme="majorHAnsi"/>
        </w:rPr>
        <w:t>that</w:t>
      </w:r>
      <w:r w:rsidR="00FC419A" w:rsidRPr="00770846">
        <w:rPr>
          <w:rFonts w:asciiTheme="majorHAnsi" w:hAnsiTheme="majorHAnsi" w:cstheme="majorHAnsi"/>
        </w:rPr>
        <w:t xml:space="preserve"> combine</w:t>
      </w:r>
      <w:r w:rsidR="007A6582" w:rsidRPr="00770846">
        <w:rPr>
          <w:rFonts w:asciiTheme="majorHAnsi" w:hAnsiTheme="majorHAnsi" w:cstheme="majorHAnsi"/>
        </w:rPr>
        <w:t>s</w:t>
      </w:r>
      <w:r w:rsidR="00FC419A" w:rsidRPr="00770846">
        <w:rPr>
          <w:rFonts w:asciiTheme="majorHAnsi" w:hAnsiTheme="majorHAnsi" w:cstheme="majorHAnsi"/>
        </w:rPr>
        <w:t xml:space="preserve"> external beam radiation therapy (RT) </w:t>
      </w:r>
      <w:r w:rsidR="00CF5490" w:rsidRPr="00770846">
        <w:rPr>
          <w:rFonts w:asciiTheme="majorHAnsi" w:hAnsiTheme="majorHAnsi" w:cstheme="majorHAnsi"/>
        </w:rPr>
        <w:t>with</w:t>
      </w:r>
      <w:r w:rsidR="00FC419A" w:rsidRPr="00770846">
        <w:rPr>
          <w:rFonts w:asciiTheme="majorHAnsi" w:hAnsiTheme="majorHAnsi" w:cstheme="majorHAnsi"/>
        </w:rPr>
        <w:t xml:space="preserve"> co</w:t>
      </w:r>
      <w:r w:rsidR="00FB0C71" w:rsidRPr="00770846">
        <w:rPr>
          <w:rFonts w:asciiTheme="majorHAnsi" w:hAnsiTheme="majorHAnsi" w:cstheme="majorHAnsi"/>
        </w:rPr>
        <w:t xml:space="preserve">ncomitant temozolomide, </w:t>
      </w:r>
      <w:r w:rsidR="00DB78E2" w:rsidRPr="00770846">
        <w:rPr>
          <w:rFonts w:asciiTheme="majorHAnsi" w:hAnsiTheme="majorHAnsi" w:cstheme="majorHAnsi"/>
        </w:rPr>
        <w:t xml:space="preserve">usually </w:t>
      </w:r>
      <w:r w:rsidR="00FB0C71" w:rsidRPr="00770846">
        <w:rPr>
          <w:rFonts w:asciiTheme="majorHAnsi" w:hAnsiTheme="majorHAnsi" w:cstheme="majorHAnsi"/>
        </w:rPr>
        <w:t>followed by adjuvant temozolomid</w:t>
      </w:r>
      <w:r w:rsidR="00DB78E2" w:rsidRPr="00770846">
        <w:rPr>
          <w:rFonts w:asciiTheme="majorHAnsi" w:hAnsiTheme="majorHAnsi" w:cstheme="majorHAnsi"/>
        </w:rPr>
        <w:t>e</w:t>
      </w:r>
      <w:r w:rsidR="00C47A59" w:rsidRPr="00770846">
        <w:rPr>
          <w:rFonts w:asciiTheme="majorHAnsi" w:hAnsiTheme="majorHAnsi" w:cstheme="majorHAnsi"/>
        </w:rPr>
        <w:fldChar w:fldCharType="begin" w:fldLock="1"/>
      </w:r>
      <w:r w:rsidR="00167A7B" w:rsidRPr="00770846">
        <w:rPr>
          <w:rFonts w:asciiTheme="majorHAnsi" w:hAnsiTheme="majorHAnsi" w:cstheme="majorHAnsi"/>
        </w:rPr>
        <w:instrText>ADDIN CSL_CITATION {"citationItems":[{"id":"ITEM-1","itemData":{"DOI":"10.1056/NEJMoa043330","ISBN":"1533-4406 (Electronic)\\r0028-4793 (Linking)","ISSN":"0028-4793","PMID":"15758009","abstract":"Background Glioblastoma, the most common primary brain tumor in adults, is usually rapidly fatal. The current standard of care for newly diagnosed glioblastoma is surgical resection to the extent feasible, followed by adjuvant radiotherapy. In this trial we compared radiotherapy alone with radiotherapy plus temozolomide, given concomitantly with and after radiotherapy, in terms of efficacy and safety. Methods Patients with newly diagnosed, histologically confirmed glioblastoma were randomly assigned to receive radiotherapy alone (fractionated focal irradiation in daily fractions of 2 Gy given 5 days per week for 6 weeks, for a total of 60 Gy) or radiotherapy plus continuous daily temozolomide (75 mg per square meter of body-surface area per day, 7 days per week from the first to the last day of radiotherapy), followed by six cycles of adjuvant temozolomide (150 to 200 mg per square meter for 5 days during each 28-day cycle). The primary end point was overall survival. Results A total of 573 patients from ...","author":[{"dropping-particle":"","family":"Stupp","given":"Roger","non-dropping-particle":"","parse-names":false,"suffix":""},{"dropping-particle":"","family":"Mason","given":"Warren P.","non-dropping-particle":"","parse-names":false,"suffix":""},{"dropping-particle":"","family":"Bent","given":"Martin J.","non-dropping-particle":"van den","parse-names":false,"suffix":""},{"dropping-particle":"","family":"Weller","given":"Michael","non-dropping-particle":"","parse-names":false,"suffix":""},{"dropping-particle":"","family":"Fisher","given":"Barbara","non-dropping-particle":"","parse-names":false,"suffix":""},{"dropping-particle":"","family":"Taphoorn","given":"Martin J.B.","non-dropping-particle":"","parse-names":false,"suffix":""},{"dropping-particle":"","family":"Belanger","given":"Karl","non-dropping-particle":"","parse-names":false,"suffix":""},{"dropping-particle":"","family":"Brandes","given":"Alba A.","non-dropping-particle":"","parse-names":false,"suffix":""},{"dropping-particle":"","family":"Marosi","given":"Christine","non-dropping-particle":"","parse-names":false,"suffix":""},{"dropping-particle":"","family":"Bogdahn","given":"Ulrich","non-dropping-particle":"","parse-names":false,"suffix":""},{"dropping-particle":"","family":"Curschmann","given":"Jürgen","non-dropping-particle":"","parse-names":false,"suffix":""},{"dropping-particle":"","family":"Janzer","given":"Robert C.","non-dropping-particle":"","parse-names":false,"suffix":""},{"dropping-particle":"","family":"Ludwin","given":"Samuel K.","non-dropping-particle":"","parse-names":false,"suffix":""},{"dropping-particle":"","family":"Gorlia","given":"Thierry","non-dropping-particle":"","parse-names":false,"suffix":""},{"dropping-particle":"","family":"Allgeier","given":"Anouk","non-dropping-particle":"","parse-names":false,"suffix":""},{"dropping-particle":"","family":"Lacombe","given":"Denis","non-dropping-particle":"","parse-names":false,"suffix":""},{"dropping-particle":"","family":"Cairncross","given":"J. Gregory","non-dropping-particle":"","parse-names":false,"suffix":""},{"dropping-particle":"","family":"Eisenhauer","given":"Elizabeth","non-dropping-particle":"","parse-names":false,"suffix":""},{"dropping-particle":"","family":"Mirimanoff","given":"René O.","non-dropping-particle":"","parse-names":false,"suffix":""}],"container-title":"New England Journal of Medicine","id":"ITEM-1","issue":"10","issued":{"date-parts":[["2005"]]},"page":"987-996","title":"Radiotherapy plus Concomitant and Adjuvant Temozolomide for Glioblastoma","type":"article-journal","volume":"352"},"uris":["http://www.mendeley.com/documents/?uuid=5db91d9d-485c-4f00-af96-9779626c0472"]}],"mendeley":{"formattedCitation":"&lt;sup&gt;5&lt;/sup&gt;","plainTextFormattedCitation":"5","previouslyFormattedCitation":"&lt;sup&gt;5&lt;/sup&gt;"},"properties":{"noteIndex":0},"schema":"https://github.com/citation-style-language/schema/raw/master/csl-citation.json"}</w:instrText>
      </w:r>
      <w:r w:rsidR="00C47A59" w:rsidRPr="00770846">
        <w:rPr>
          <w:rFonts w:asciiTheme="majorHAnsi" w:hAnsiTheme="majorHAnsi" w:cstheme="majorHAnsi"/>
        </w:rPr>
        <w:fldChar w:fldCharType="separate"/>
      </w:r>
      <w:r w:rsidR="00886C3B" w:rsidRPr="00770846">
        <w:rPr>
          <w:rFonts w:asciiTheme="majorHAnsi" w:hAnsiTheme="majorHAnsi" w:cstheme="majorHAnsi"/>
          <w:noProof/>
          <w:vertAlign w:val="superscript"/>
        </w:rPr>
        <w:t>5</w:t>
      </w:r>
      <w:r w:rsidR="00C47A59" w:rsidRPr="00770846">
        <w:rPr>
          <w:rFonts w:asciiTheme="majorHAnsi" w:hAnsiTheme="majorHAnsi" w:cstheme="majorHAnsi"/>
        </w:rPr>
        <w:fldChar w:fldCharType="end"/>
      </w:r>
      <w:r w:rsidR="000A47CB" w:rsidRPr="00770846">
        <w:rPr>
          <w:rFonts w:asciiTheme="majorHAnsi" w:hAnsiTheme="majorHAnsi" w:cstheme="majorHAnsi"/>
        </w:rPr>
        <w:t xml:space="preserve">. </w:t>
      </w:r>
      <w:r w:rsidR="00595DAB" w:rsidRPr="00770846">
        <w:rPr>
          <w:rFonts w:asciiTheme="majorHAnsi" w:hAnsiTheme="majorHAnsi" w:cstheme="majorHAnsi"/>
        </w:rPr>
        <w:t>Typically, the Stupp protocol is pre</w:t>
      </w:r>
      <w:r w:rsidR="00CC60FD" w:rsidRPr="00770846">
        <w:rPr>
          <w:rFonts w:asciiTheme="majorHAnsi" w:hAnsiTheme="majorHAnsi" w:cstheme="majorHAnsi"/>
        </w:rPr>
        <w:t xml:space="preserve">ceded by maximal surgical resection. </w:t>
      </w:r>
      <w:r w:rsidR="000A47CB" w:rsidRPr="00770846">
        <w:rPr>
          <w:rFonts w:asciiTheme="majorHAnsi" w:hAnsiTheme="majorHAnsi" w:cstheme="majorHAnsi"/>
        </w:rPr>
        <w:t xml:space="preserve">Therefore, alternative treatment approaches are </w:t>
      </w:r>
      <w:r w:rsidR="00DB78E2" w:rsidRPr="00770846">
        <w:rPr>
          <w:rFonts w:asciiTheme="majorHAnsi" w:hAnsiTheme="majorHAnsi" w:cstheme="majorHAnsi"/>
        </w:rPr>
        <w:t>of pivotal importance</w:t>
      </w:r>
      <w:r w:rsidR="000A47CB" w:rsidRPr="00770846">
        <w:rPr>
          <w:rFonts w:asciiTheme="majorHAnsi" w:hAnsiTheme="majorHAnsi" w:cstheme="majorHAnsi"/>
        </w:rPr>
        <w:t xml:space="preserve">. </w:t>
      </w:r>
    </w:p>
    <w:p w14:paraId="4A22DD9C" w14:textId="77777777" w:rsidR="00C0222E" w:rsidRPr="00770846" w:rsidRDefault="00C0222E" w:rsidP="00770846">
      <w:pPr>
        <w:rPr>
          <w:rFonts w:asciiTheme="majorHAnsi" w:hAnsiTheme="majorHAnsi" w:cstheme="majorHAnsi"/>
        </w:rPr>
      </w:pPr>
    </w:p>
    <w:p w14:paraId="1CC54A34" w14:textId="608ED6A3" w:rsidR="004F750C" w:rsidRPr="00770846" w:rsidRDefault="00F06A97" w:rsidP="00770846">
      <w:pPr>
        <w:rPr>
          <w:rFonts w:asciiTheme="majorHAnsi" w:hAnsiTheme="majorHAnsi" w:cstheme="majorHAnsi"/>
        </w:rPr>
      </w:pPr>
      <w:r w:rsidRPr="00770846">
        <w:rPr>
          <w:rFonts w:asciiTheme="majorHAnsi" w:hAnsiTheme="majorHAnsi" w:cstheme="majorHAnsi"/>
        </w:rPr>
        <w:t>Current</w:t>
      </w:r>
      <w:r w:rsidR="00142588" w:rsidRPr="00770846">
        <w:rPr>
          <w:rFonts w:asciiTheme="majorHAnsi" w:hAnsiTheme="majorHAnsi" w:cstheme="majorHAnsi"/>
        </w:rPr>
        <w:t xml:space="preserve"> radiation therapy for glioblastoma patients</w:t>
      </w:r>
      <w:r w:rsidR="008E54C3" w:rsidRPr="00770846">
        <w:rPr>
          <w:rFonts w:asciiTheme="majorHAnsi" w:hAnsiTheme="majorHAnsi" w:cstheme="majorHAnsi"/>
        </w:rPr>
        <w:t xml:space="preserve"> delivers a uniform radiation dose to the defined tumor volume. </w:t>
      </w:r>
      <w:r w:rsidR="005C121C" w:rsidRPr="00770846">
        <w:rPr>
          <w:rFonts w:asciiTheme="majorHAnsi" w:hAnsiTheme="majorHAnsi" w:cstheme="majorHAnsi"/>
        </w:rPr>
        <w:t>In radiation oncology</w:t>
      </w:r>
      <w:r w:rsidR="00DC75C8" w:rsidRPr="00770846">
        <w:rPr>
          <w:rFonts w:asciiTheme="majorHAnsi" w:hAnsiTheme="majorHAnsi" w:cstheme="majorHAnsi"/>
        </w:rPr>
        <w:t xml:space="preserve">, there is </w:t>
      </w:r>
      <w:r w:rsidR="00DB78E2" w:rsidRPr="00770846">
        <w:rPr>
          <w:rFonts w:asciiTheme="majorHAnsi" w:hAnsiTheme="majorHAnsi" w:cstheme="majorHAnsi"/>
        </w:rPr>
        <w:t>an important</w:t>
      </w:r>
      <w:r w:rsidR="00E55890" w:rsidRPr="00770846">
        <w:rPr>
          <w:rFonts w:asciiTheme="majorHAnsi" w:hAnsiTheme="majorHAnsi" w:cstheme="majorHAnsi"/>
        </w:rPr>
        <w:t xml:space="preserve"> dose-response </w:t>
      </w:r>
      <w:r w:rsidR="00DB78E2" w:rsidRPr="00770846">
        <w:rPr>
          <w:rFonts w:asciiTheme="majorHAnsi" w:hAnsiTheme="majorHAnsi" w:cstheme="majorHAnsi"/>
        </w:rPr>
        <w:t>correlation</w:t>
      </w:r>
      <w:r w:rsidR="00E55890" w:rsidRPr="00770846">
        <w:rPr>
          <w:rFonts w:asciiTheme="majorHAnsi" w:hAnsiTheme="majorHAnsi" w:cstheme="majorHAnsi"/>
        </w:rPr>
        <w:t xml:space="preserve"> for glioblastoma with increasing dose, </w:t>
      </w:r>
      <w:r w:rsidR="00937823" w:rsidRPr="00770846">
        <w:rPr>
          <w:rFonts w:asciiTheme="majorHAnsi" w:hAnsiTheme="majorHAnsi" w:cstheme="majorHAnsi"/>
        </w:rPr>
        <w:t>which</w:t>
      </w:r>
      <w:r w:rsidR="00E55890" w:rsidRPr="00770846">
        <w:rPr>
          <w:rFonts w:asciiTheme="majorHAnsi" w:hAnsiTheme="majorHAnsi" w:cstheme="majorHAnsi"/>
        </w:rPr>
        <w:t xml:space="preserve"> seems to cap around 60 </w:t>
      </w:r>
      <w:proofErr w:type="spellStart"/>
      <w:r w:rsidR="00E55890" w:rsidRPr="00770846">
        <w:rPr>
          <w:rFonts w:asciiTheme="majorHAnsi" w:hAnsiTheme="majorHAnsi" w:cstheme="majorHAnsi"/>
        </w:rPr>
        <w:t>Gy</w:t>
      </w:r>
      <w:proofErr w:type="spellEnd"/>
      <w:r w:rsidR="00E55890" w:rsidRPr="00770846">
        <w:rPr>
          <w:rFonts w:asciiTheme="majorHAnsi" w:hAnsiTheme="majorHAnsi" w:cstheme="majorHAnsi"/>
        </w:rPr>
        <w:t>, due to increased toxicity to the normal brain</w:t>
      </w:r>
      <w:r w:rsidR="00E55890"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{"citationItems":[{"id":"ITEM-1","itemData":{"DOI":"10.1259/bjr.20150354","ISSN":"00071285","PMID":"26159214","abstract":"Glioblastoma multiforme (GBM) is the most common primary brain tumour in adults. The standard therapy for GBM ismaximal surgical resection followed by radiotherapy with concurrent and adjuvant temozolomide (TMZ). In spite of the extensive treatment, the disease is associated with poor clinical outcome. Further intensification of the standard treatment is limited by the infiltrating growth of the GBM in normal brain areas, the expected neurological toxicities with radiation doses .60Gy and the dose-limiting toxicities induced by systemic therapy. To improve the outcome of patients with GBM, alternative treatment modalities which add low or no additional toxicities to the standard treatment are needed. Many Phase II trials on new chemotherapeutics or targeted drugs have indicated potential efficacy but failed to improve the overall or progression-free survival in Phase III clinical trials. In this review, we will discuss contemporary issues related to recent technical developments and new metabolic strategies for patients with GBM including MR (spectroscopy) imaging, (amino acid) positron emission tomography (PET), amino acid PET, surgery, radiogenomics, particle therapy, radioimmunotherapy and diets.","author":[{"dropping-particle":"","family":"Neubeck","given":"C.","non-dropping-particle":"Von","parse-names":false,"suffix":""},{"dropping-particle":"","family":"Seidlitz","given":"A.","non-dropping-particle":"","parse-names":false,"suffix":""},{"dropping-particle":"","family":"Kitzler","given":"H. H.","non-dropping-particle":"","parse-names":false,"suffix":""},{"dropping-particle":"","family":"Beuthien-Baumann","given":"B.","non-dropping-particle":"","parse-names":false,"suffix":""},{"dropping-particle":"","family":"Krause","given":"M.","non-dropping-particle":"","parse-names":false,"suffix":""}],"container-title":"British Journal of Radiology","id":"ITEM-1","issue":"1053","issued":{"date-parts":[["2015"]]},"title":"Glioblastoma multiforme: Emerging treatments and stratification markers beyond new drugs","type":"article-journal","volume":"88"},"uris":["http://www.mendeley.com/documents/?uuid=851e210c-df26-49f0-9aff-8b251525acb8"]},{"id":"ITEM-2","itemData":{"DOI":"10.3389/fneur.2017.00748","ISSN":"16642295","abstract":"External beam radiotherapy (RT) has long played a crucial role in the treatment of glioblastoma. Over the past several decades, significant advances in RT treatment and image-guidance technology have led to enormous improvements in the ability to optimize definitive and salvage treatments. This review highlights several of the latest developments and controversies related to RT, including the treatment of elderly patients, who continue to be a fragile and vulnerable population; potential salvage options for recurrent disease including reirradiation with chemotherapy; the latest imaging techniques allowing for more accurate and precise delineation of treatment volumes to maximize the therapeutic ratio of conformal RT; the ongoing preclinical and clinical data regarding the combination of immunotherapy with RT; and the increasing evidence of cancer stem-cell niches in the subventricular zone which may provide a potential target for local therapies. Finally, continued development on many fronts have allowed for modestly improved outcomes while at the same time limiting toxicity.","author":[{"dropping-particle":"","family":"Mann","given":"Justin","non-dropping-particle":"","parse-names":false,"suffix":""},{"dropping-particle":"","family":"Ramakrishna","given":"Rohan","non-dropping-particle":"","parse-names":false,"suffix":""},{"dropping-particle":"","family":"Magge","given":"Rajiv","non-dropping-particle":"","parse-names":false,"suffix":""},{"dropping-particle":"","family":"Wernicke","given":"A. Gabriella","non-dropping-particle":"","parse-names":false,"suffix":""}],"container-title":"Frontiers in Neurology","id":"ITEM-2","issue":"JAN","issued":{"date-parts":[["2018"]]},"page":"1-11","title":"Advances in radiotherapy for glioblastoma","type":"article-journal","volume":"8"},"uris":["http://www.mendeley.com/documents/?uuid=eaf4ebee-3152-471a-b0bc-2885cd9e59ba"]}],"mendeley":{"formattedCitation":"&lt;sup&gt;6,7&lt;/sup&gt;","plainTextFormattedCitation":"6,7","previouslyFormattedCitation":"&lt;sup&gt;6,7&lt;/sup&gt;"},"properties":{"noteIndex":0},"schema":"https://github.com/citation-style-language/schema/raw/master/csl-citation.json"}</w:instrText>
      </w:r>
      <w:r w:rsidR="00E55890"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6,7</w:t>
      </w:r>
      <w:r w:rsidR="00E55890" w:rsidRPr="00770846">
        <w:rPr>
          <w:rFonts w:asciiTheme="majorHAnsi" w:hAnsiTheme="majorHAnsi" w:cstheme="majorHAnsi"/>
        </w:rPr>
        <w:fldChar w:fldCharType="end"/>
      </w:r>
      <w:r w:rsidR="00602A37" w:rsidRPr="00770846">
        <w:rPr>
          <w:rFonts w:asciiTheme="majorHAnsi" w:hAnsiTheme="majorHAnsi" w:cstheme="majorHAnsi"/>
        </w:rPr>
        <w:t>.</w:t>
      </w:r>
      <w:r w:rsidR="00E55890" w:rsidRPr="00770846">
        <w:rPr>
          <w:rFonts w:asciiTheme="majorHAnsi" w:hAnsiTheme="majorHAnsi" w:cstheme="majorHAnsi"/>
        </w:rPr>
        <w:t xml:space="preserve"> </w:t>
      </w:r>
      <w:r w:rsidR="008E54C3" w:rsidRPr="00770846">
        <w:rPr>
          <w:rFonts w:asciiTheme="majorHAnsi" w:hAnsiTheme="majorHAnsi" w:cstheme="majorHAnsi"/>
        </w:rPr>
        <w:t xml:space="preserve">However, tumors </w:t>
      </w:r>
      <w:r w:rsidR="00F2559B" w:rsidRPr="00770846">
        <w:rPr>
          <w:rFonts w:asciiTheme="majorHAnsi" w:hAnsiTheme="majorHAnsi" w:cstheme="majorHAnsi"/>
        </w:rPr>
        <w:t>can be very (</w:t>
      </w:r>
      <w:proofErr w:type="spellStart"/>
      <w:r w:rsidR="00AE7C16" w:rsidRPr="00770846">
        <w:rPr>
          <w:rFonts w:asciiTheme="majorHAnsi" w:hAnsiTheme="majorHAnsi" w:cstheme="majorHAnsi"/>
        </w:rPr>
        <w:t>radiobiologically</w:t>
      </w:r>
      <w:proofErr w:type="spellEnd"/>
      <w:r w:rsidR="00AE7C16" w:rsidRPr="00770846">
        <w:rPr>
          <w:rFonts w:asciiTheme="majorHAnsi" w:hAnsiTheme="majorHAnsi" w:cstheme="majorHAnsi"/>
        </w:rPr>
        <w:t xml:space="preserve">) heterogeneous, with gradients of oxygen </w:t>
      </w:r>
      <w:r w:rsidR="00526AE9" w:rsidRPr="00770846">
        <w:rPr>
          <w:rFonts w:asciiTheme="majorHAnsi" w:hAnsiTheme="majorHAnsi" w:cstheme="majorHAnsi"/>
        </w:rPr>
        <w:t>level</w:t>
      </w:r>
      <w:r w:rsidR="00AE7C16" w:rsidRPr="00770846">
        <w:rPr>
          <w:rFonts w:asciiTheme="majorHAnsi" w:hAnsiTheme="majorHAnsi" w:cstheme="majorHAnsi"/>
        </w:rPr>
        <w:t xml:space="preserve"> </w:t>
      </w:r>
      <w:r w:rsidR="00596D3A" w:rsidRPr="00770846">
        <w:rPr>
          <w:rFonts w:asciiTheme="majorHAnsi" w:hAnsiTheme="majorHAnsi" w:cstheme="majorHAnsi"/>
        </w:rPr>
        <w:t>and/</w:t>
      </w:r>
      <w:r w:rsidR="00AE7C16" w:rsidRPr="00770846">
        <w:rPr>
          <w:rFonts w:asciiTheme="majorHAnsi" w:hAnsiTheme="majorHAnsi" w:cstheme="majorHAnsi"/>
        </w:rPr>
        <w:t>or large differences in cellular density</w:t>
      </w:r>
      <w:r w:rsidR="00A566DB" w:rsidRPr="00770846">
        <w:rPr>
          <w:rFonts w:asciiTheme="majorHAnsi" w:hAnsiTheme="majorHAnsi" w:cstheme="majorHAnsi"/>
        </w:rPr>
        <w:t xml:space="preserve">. Metabolic imaging techniques, such as PET, can visualize these </w:t>
      </w:r>
      <w:r w:rsidR="001760B5" w:rsidRPr="00770846">
        <w:rPr>
          <w:rFonts w:asciiTheme="majorHAnsi" w:hAnsiTheme="majorHAnsi" w:cstheme="majorHAnsi"/>
        </w:rPr>
        <w:t xml:space="preserve">biological features and can be utilized to customize the dose prescription. </w:t>
      </w:r>
      <w:r w:rsidR="00EA1454" w:rsidRPr="00770846">
        <w:rPr>
          <w:rFonts w:asciiTheme="majorHAnsi" w:hAnsiTheme="majorHAnsi" w:cstheme="majorHAnsi"/>
        </w:rPr>
        <w:t>This approach is known as dose painting</w:t>
      </w:r>
      <w:r w:rsidR="00150C01" w:rsidRPr="00770846">
        <w:rPr>
          <w:rFonts w:asciiTheme="majorHAnsi" w:hAnsiTheme="majorHAnsi" w:cstheme="majorHAnsi"/>
        </w:rPr>
        <w:t xml:space="preserve"> RT</w:t>
      </w:r>
      <w:r w:rsidR="00EA1454" w:rsidRPr="00770846">
        <w:rPr>
          <w:rFonts w:asciiTheme="majorHAnsi" w:hAnsiTheme="majorHAnsi" w:cstheme="majorHAnsi"/>
        </w:rPr>
        <w:t xml:space="preserve">. </w:t>
      </w:r>
      <w:r w:rsidR="0093104D" w:rsidRPr="00770846">
        <w:rPr>
          <w:rFonts w:asciiTheme="majorHAnsi" w:hAnsiTheme="majorHAnsi" w:cstheme="majorHAnsi"/>
        </w:rPr>
        <w:t xml:space="preserve">This term was introduced </w:t>
      </w:r>
      <w:r w:rsidR="002B784E" w:rsidRPr="00770846">
        <w:rPr>
          <w:rFonts w:asciiTheme="majorHAnsi" w:hAnsiTheme="majorHAnsi" w:cstheme="majorHAnsi"/>
        </w:rPr>
        <w:t xml:space="preserve">by Ling et al. </w:t>
      </w:r>
      <w:r w:rsidR="009157DF" w:rsidRPr="00770846">
        <w:rPr>
          <w:rFonts w:asciiTheme="majorHAnsi" w:hAnsiTheme="majorHAnsi" w:cstheme="majorHAnsi"/>
        </w:rPr>
        <w:t xml:space="preserve">in 2000. </w:t>
      </w:r>
      <w:r w:rsidR="00465828" w:rsidRPr="00770846">
        <w:rPr>
          <w:rFonts w:asciiTheme="majorHAnsi" w:hAnsiTheme="majorHAnsi" w:cstheme="majorHAnsi"/>
        </w:rPr>
        <w:t>The authors defined</w:t>
      </w:r>
      <w:r w:rsidR="009157DF" w:rsidRPr="00770846">
        <w:rPr>
          <w:rFonts w:asciiTheme="majorHAnsi" w:hAnsiTheme="majorHAnsi" w:cstheme="majorHAnsi"/>
        </w:rPr>
        <w:t xml:space="preserve"> dose painting </w:t>
      </w:r>
      <w:r w:rsidR="00D5016D" w:rsidRPr="00770846">
        <w:rPr>
          <w:rFonts w:asciiTheme="majorHAnsi" w:hAnsiTheme="majorHAnsi" w:cstheme="majorHAnsi"/>
        </w:rPr>
        <w:t>RT</w:t>
      </w:r>
      <w:r w:rsidR="009462DB" w:rsidRPr="00770846">
        <w:rPr>
          <w:rFonts w:asciiTheme="majorHAnsi" w:hAnsiTheme="majorHAnsi" w:cstheme="majorHAnsi"/>
        </w:rPr>
        <w:t xml:space="preserve"> as produc</w:t>
      </w:r>
      <w:r w:rsidR="004D7125" w:rsidRPr="00770846">
        <w:rPr>
          <w:rFonts w:asciiTheme="majorHAnsi" w:hAnsiTheme="majorHAnsi" w:cstheme="majorHAnsi"/>
        </w:rPr>
        <w:t>ing</w:t>
      </w:r>
      <w:r w:rsidR="009462DB" w:rsidRPr="00770846">
        <w:rPr>
          <w:rFonts w:asciiTheme="majorHAnsi" w:hAnsiTheme="majorHAnsi" w:cstheme="majorHAnsi"/>
        </w:rPr>
        <w:t xml:space="preserve"> </w:t>
      </w:r>
      <w:r w:rsidR="004D7125" w:rsidRPr="00770846">
        <w:rPr>
          <w:rFonts w:asciiTheme="majorHAnsi" w:hAnsiTheme="majorHAnsi" w:cstheme="majorHAnsi"/>
        </w:rPr>
        <w:t>“</w:t>
      </w:r>
      <w:r w:rsidR="009462DB" w:rsidRPr="00770846">
        <w:rPr>
          <w:rFonts w:asciiTheme="majorHAnsi" w:hAnsiTheme="majorHAnsi" w:cstheme="majorHAnsi"/>
        </w:rPr>
        <w:t>exquisitely conformal dose distributions within the constraints of radiation propagation and scatter”</w:t>
      </w:r>
      <w:r w:rsidR="004B267B"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{"citationItems":[{"id":"ITEM-1","itemData":{"DOI":"10.1016/S0360-3016(00)00467-3","ISSN":"03603016","PMID":"10837935","abstract":"Purpose: The goals of this study were to survey and summarize the advances in imaging that have potential applications in radiation oncology, and to explore the concept of integrating physical and biological conformality in multidimensional conformal radiotherapy (MD-CRT). Methods and Materials: The advances in three-dimensional conformal radiotherapy (3D-CRT) have greatly improved the physical conformality of treatment planning and delivery. The development of intensity-modulated radiotherapy (IMRT) has provided the 'dose painting' or 'dose sculpting' ability to further customize the delivered dose distribution. The improved capabilities of nuclear magnetic resonance imaging and spectroscopy, and of positron emission tomography, are beginning to provide physiological and functional information about the tumor and its surroundings. In addition, molecular imaging promises to reveal tumor biology at the genotype and phenotype level. These developments converge to provide significant opportunities for enhancing the success of radiotherapy. Results: The ability of IMRT to deliver nonuniform dose patterns by design brings to fore the question of how to 'dose paint' and 'dose sculpt', leading to the suggestion that 'biological' images may be of assistance. In contrast to the conventional radiological images that primarily provide anatomical information, biological images reveal metabolic, functional, physiological, genotypic, and phenotypic data. Important for radiotherapy, the new and noninvasive imaging methods may yield three- dimensional radiobiological information. Studies are urgently needed to identify genotypes and phenotypes that affect radiosensitivity, and to devise methods to image them noninvasively. Incremental to the concept of gross, clinical, and planning target volumes (GTV, CTV, and PTV), we propose the concept of 'biological target volume' (BTV) and hypothesize that BTV can be derived from biological images and that their use may incrementally improve target delineation and dose delivery. We emphasize, however, that much basic research and clinical studies are needed before this potential can be realized. Conclusions: Whereas IMRT may have initiated the beginning of the end relative to physical conformality in radiotherapy, biological imaging may launch the beginning of a new era of biological conformality. In combination, these approaches constitute MD-CRT that may further improve the efficacy of cancer radiotherapy in the new millennium.…","author":[{"dropping-particle":"","family":"Ling","given":"C. Clifton","non-dropping-particle":"","parse-names":false,"suffix":""},{"dropping-particle":"","family":"Humm","given":"John","non-dropping-particle":"","parse-names":false,"suffix":""},{"dropping-particle":"","family":"Larson","given":"Steven","non-dropping-particle":"","parse-names":false,"suffix":""},{"dropping-particle":"","family":"Amols","given":"Howard","non-dropping-particle":"","parse-names":false,"suffix":""},{"dropping-particle":"","family":"Fuks","given":"Zvi","non-dropping-particle":"","parse-names":false,"suffix":""},{"dropping-particle":"","family":"Leibel","given":"Steven","non-dropping-particle":"","parse-names":false,"suffix":""},{"dropping-particle":"","family":"Koutcher","given":"Jason A.","non-dropping-particle":"","parse-names":false,"suffix":""}],"container-title":"International Journal of Radiation Oncology Biology Physics","id":"ITEM-1","issue":"3","issued":{"date-parts":[["2000"]]},"page":"551-560","title":"Towards multidimensional radiotherapy (MD-CRT): Biological imaging and biological conformality","type":"article-journal","volume":"47"},"uris":["http://www.mendeley.com/documents/?uuid=0b896496-9054-4bb0-befa-40c3e698430b","http://www.mendeley.com/documents/?uuid=0d59e724-c94d-48e3-b122-fff75952360b"]}],"mendeley":{"formattedCitation":"&lt;sup&gt;8&lt;/sup&gt;","plainTextFormattedCitation":"8","previouslyFormattedCitation":"&lt;sup&gt;8&lt;/sup&gt;"},"properties":{"noteIndex":0},"schema":"https://github.com/citation-style-language/schema/raw/master/csl-citation.json"}</w:instrText>
      </w:r>
      <w:r w:rsidR="004B267B"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8</w:t>
      </w:r>
      <w:r w:rsidR="004B267B" w:rsidRPr="00770846">
        <w:rPr>
          <w:rFonts w:asciiTheme="majorHAnsi" w:hAnsiTheme="majorHAnsi" w:cstheme="majorHAnsi"/>
        </w:rPr>
        <w:fldChar w:fldCharType="end"/>
      </w:r>
      <w:r w:rsidR="004B267B" w:rsidRPr="00770846">
        <w:rPr>
          <w:rFonts w:asciiTheme="majorHAnsi" w:hAnsiTheme="majorHAnsi" w:cstheme="majorHAnsi"/>
        </w:rPr>
        <w:t>.</w:t>
      </w:r>
      <w:r w:rsidR="00E66C13" w:rsidRPr="00770846">
        <w:rPr>
          <w:rFonts w:asciiTheme="majorHAnsi" w:hAnsiTheme="majorHAnsi" w:cstheme="majorHAnsi"/>
        </w:rPr>
        <w:t xml:space="preserve"> </w:t>
      </w:r>
    </w:p>
    <w:p w14:paraId="60F3454C" w14:textId="77777777" w:rsidR="00BD53F8" w:rsidRPr="00770846" w:rsidRDefault="00BD53F8" w:rsidP="00770846">
      <w:pPr>
        <w:rPr>
          <w:rFonts w:asciiTheme="majorHAnsi" w:hAnsiTheme="majorHAnsi" w:cstheme="majorHAnsi"/>
        </w:rPr>
      </w:pPr>
    </w:p>
    <w:p w14:paraId="1D797615" w14:textId="53834A96" w:rsidR="00BD53F8" w:rsidRPr="00770846" w:rsidRDefault="00EE4F7B" w:rsidP="00770846">
      <w:pPr>
        <w:rPr>
          <w:rFonts w:asciiTheme="majorHAnsi" w:hAnsiTheme="majorHAnsi" w:cstheme="majorHAnsi"/>
        </w:rPr>
      </w:pPr>
      <w:r w:rsidRPr="00770846">
        <w:rPr>
          <w:rFonts w:asciiTheme="majorHAnsi" w:hAnsiTheme="majorHAnsi" w:cstheme="majorHAnsi"/>
        </w:rPr>
        <w:t xml:space="preserve">There are two types of dose painting </w:t>
      </w:r>
      <w:r w:rsidR="00D5016D" w:rsidRPr="00770846">
        <w:rPr>
          <w:rFonts w:asciiTheme="majorHAnsi" w:hAnsiTheme="majorHAnsi" w:cstheme="majorHAnsi"/>
        </w:rPr>
        <w:t>RT</w:t>
      </w:r>
      <w:r w:rsidR="00BD53F8" w:rsidRPr="00770846">
        <w:rPr>
          <w:rFonts w:asciiTheme="majorHAnsi" w:hAnsiTheme="majorHAnsi" w:cstheme="majorHAnsi"/>
        </w:rPr>
        <w:t>, dose painting by contours (DPBC)</w:t>
      </w:r>
      <w:r w:rsidR="00666E24" w:rsidRPr="00770846">
        <w:rPr>
          <w:rFonts w:asciiTheme="majorHAnsi" w:hAnsiTheme="majorHAnsi" w:cstheme="majorHAnsi"/>
        </w:rPr>
        <w:t>, by which a dose is prescribed to a set of nested</w:t>
      </w:r>
      <w:r w:rsidR="004B0BB1" w:rsidRPr="00770846">
        <w:rPr>
          <w:rFonts w:asciiTheme="majorHAnsi" w:hAnsiTheme="majorHAnsi" w:cstheme="majorHAnsi"/>
        </w:rPr>
        <w:t xml:space="preserve"> sub-volumes, and dose painting by numbers (DPBN), whereby a dose is prescribed at </w:t>
      </w:r>
      <w:r w:rsidR="00ED4FFA" w:rsidRPr="00770846">
        <w:rPr>
          <w:rFonts w:asciiTheme="majorHAnsi" w:hAnsiTheme="majorHAnsi" w:cstheme="majorHAnsi"/>
        </w:rPr>
        <w:t xml:space="preserve">the </w:t>
      </w:r>
      <w:r w:rsidR="004B0BB1" w:rsidRPr="00770846">
        <w:rPr>
          <w:rFonts w:asciiTheme="majorHAnsi" w:hAnsiTheme="majorHAnsi" w:cstheme="majorHAnsi"/>
        </w:rPr>
        <w:t>voxel level.</w:t>
      </w:r>
      <w:r w:rsidR="004D7125" w:rsidRPr="00770846">
        <w:rPr>
          <w:rFonts w:asciiTheme="majorHAnsi" w:hAnsiTheme="majorHAnsi" w:cstheme="majorHAnsi"/>
        </w:rPr>
        <w:t xml:space="preserve"> </w:t>
      </w:r>
      <w:r w:rsidR="00BD53F8" w:rsidRPr="00770846">
        <w:rPr>
          <w:rFonts w:asciiTheme="majorHAnsi" w:hAnsiTheme="majorHAnsi" w:cstheme="majorHAnsi"/>
        </w:rPr>
        <w:t xml:space="preserve">The dose distribution </w:t>
      </w:r>
      <w:r w:rsidR="00F70FE3" w:rsidRPr="00770846">
        <w:rPr>
          <w:rFonts w:asciiTheme="majorHAnsi" w:hAnsiTheme="majorHAnsi" w:cstheme="majorHAnsi"/>
        </w:rPr>
        <w:t xml:space="preserve">for DPBN </w:t>
      </w:r>
      <w:r w:rsidR="00F91940" w:rsidRPr="00770846">
        <w:rPr>
          <w:rFonts w:asciiTheme="majorHAnsi" w:hAnsiTheme="majorHAnsi" w:cstheme="majorHAnsi"/>
        </w:rPr>
        <w:t>RT</w:t>
      </w:r>
      <w:r w:rsidR="00CF041E" w:rsidRPr="00770846">
        <w:rPr>
          <w:rFonts w:asciiTheme="majorHAnsi" w:hAnsiTheme="majorHAnsi" w:cstheme="majorHAnsi"/>
        </w:rPr>
        <w:t xml:space="preserve"> can be extracted from functional images. </w:t>
      </w:r>
      <w:r w:rsidR="00BD53F8" w:rsidRPr="00770846">
        <w:rPr>
          <w:rFonts w:asciiTheme="majorHAnsi" w:hAnsiTheme="majorHAnsi" w:cstheme="majorHAnsi"/>
        </w:rPr>
        <w:t xml:space="preserve">The dose in each voxel is determined by the intensity </w:t>
      </w:r>
      <m:oMath>
        <m:r>
          <w:rPr>
            <w:rFonts w:ascii="Cambria Math" w:hAnsi="Cambria Math" w:cstheme="majorHAnsi"/>
          </w:rPr>
          <m:t>I</m:t>
        </m:r>
      </m:oMath>
      <w:r w:rsidR="00BD53F8" w:rsidRPr="00770846">
        <w:rPr>
          <w:rFonts w:asciiTheme="majorHAnsi" w:hAnsiTheme="majorHAnsi" w:cstheme="majorHAnsi"/>
        </w:rPr>
        <w:t xml:space="preserve"> of the corresponding voxel in the image, with a lower and upper </w:t>
      </w:r>
      <w:r w:rsidR="00A1683C" w:rsidRPr="00770846">
        <w:rPr>
          <w:rFonts w:asciiTheme="majorHAnsi" w:hAnsiTheme="majorHAnsi" w:cstheme="majorHAnsi"/>
        </w:rPr>
        <w:t>limit</w:t>
      </w:r>
      <w:r w:rsidR="00BD53F8" w:rsidRPr="00770846">
        <w:rPr>
          <w:rFonts w:asciiTheme="majorHAnsi" w:hAnsiTheme="majorHAnsi" w:cstheme="majorHAnsi"/>
        </w:rPr>
        <w:t>, to make sure that</w:t>
      </w:r>
      <w:r w:rsidR="00E07B73" w:rsidRPr="00770846">
        <w:rPr>
          <w:rFonts w:asciiTheme="majorHAnsi" w:hAnsiTheme="majorHAnsi" w:cstheme="majorHAnsi"/>
        </w:rPr>
        <w:t>,</w:t>
      </w:r>
      <w:r w:rsidR="00BD53F8" w:rsidRPr="00770846">
        <w:rPr>
          <w:rFonts w:asciiTheme="majorHAnsi" w:hAnsiTheme="majorHAnsi" w:cstheme="majorHAnsi"/>
        </w:rPr>
        <w:t xml:space="preserve"> on </w:t>
      </w:r>
      <w:r w:rsidR="00A94770" w:rsidRPr="00770846">
        <w:rPr>
          <w:rFonts w:asciiTheme="majorHAnsi" w:hAnsiTheme="majorHAnsi" w:cstheme="majorHAnsi"/>
        </w:rPr>
        <w:t xml:space="preserve">the </w:t>
      </w:r>
      <w:r w:rsidR="00BD53F8" w:rsidRPr="00770846">
        <w:rPr>
          <w:rFonts w:asciiTheme="majorHAnsi" w:hAnsiTheme="majorHAnsi" w:cstheme="majorHAnsi"/>
        </w:rPr>
        <w:t>one hand</w:t>
      </w:r>
      <w:r w:rsidR="00E07B73" w:rsidRPr="00770846">
        <w:rPr>
          <w:rFonts w:asciiTheme="majorHAnsi" w:hAnsiTheme="majorHAnsi" w:cstheme="majorHAnsi"/>
        </w:rPr>
        <w:t>,</w:t>
      </w:r>
      <w:r w:rsidR="00BD53F8" w:rsidRPr="00770846">
        <w:rPr>
          <w:rFonts w:asciiTheme="majorHAnsi" w:hAnsiTheme="majorHAnsi" w:cstheme="majorHAnsi"/>
        </w:rPr>
        <w:t xml:space="preserve"> </w:t>
      </w:r>
      <w:r w:rsidR="00D77346" w:rsidRPr="00770846">
        <w:rPr>
          <w:rFonts w:asciiTheme="majorHAnsi" w:hAnsiTheme="majorHAnsi" w:cstheme="majorHAnsi"/>
        </w:rPr>
        <w:t>a sufficient</w:t>
      </w:r>
      <w:r w:rsidR="00BD53F8" w:rsidRPr="00770846">
        <w:rPr>
          <w:rFonts w:asciiTheme="majorHAnsi" w:hAnsiTheme="majorHAnsi" w:cstheme="majorHAnsi"/>
        </w:rPr>
        <w:t xml:space="preserve"> dose is delivered to every part of the tumor</w:t>
      </w:r>
      <w:r w:rsidR="00BE4055" w:rsidRPr="00770846">
        <w:rPr>
          <w:rFonts w:asciiTheme="majorHAnsi" w:hAnsiTheme="majorHAnsi" w:cstheme="majorHAnsi"/>
        </w:rPr>
        <w:t>. O</w:t>
      </w:r>
      <w:r w:rsidR="00BD53F8" w:rsidRPr="00770846">
        <w:rPr>
          <w:rFonts w:asciiTheme="majorHAnsi" w:hAnsiTheme="majorHAnsi" w:cstheme="majorHAnsi"/>
        </w:rPr>
        <w:t>n the other hand</w:t>
      </w:r>
      <w:r w:rsidR="00E07B73" w:rsidRPr="00770846">
        <w:rPr>
          <w:rFonts w:asciiTheme="majorHAnsi" w:hAnsiTheme="majorHAnsi" w:cstheme="majorHAnsi"/>
        </w:rPr>
        <w:t>,</w:t>
      </w:r>
      <w:r w:rsidR="00A4236B" w:rsidRPr="00770846">
        <w:rPr>
          <w:rFonts w:asciiTheme="majorHAnsi" w:hAnsiTheme="majorHAnsi" w:cstheme="majorHAnsi"/>
        </w:rPr>
        <w:t xml:space="preserve"> doses do not exceed an upper limit to protect organs at risk and avoid toxicity.</w:t>
      </w:r>
      <w:r w:rsidR="00D56CF4" w:rsidRPr="00770846">
        <w:rPr>
          <w:rFonts w:asciiTheme="majorHAnsi" w:hAnsiTheme="majorHAnsi" w:cstheme="majorHAnsi"/>
        </w:rPr>
        <w:t xml:space="preserve"> </w:t>
      </w:r>
      <w:r w:rsidR="00BD53F8" w:rsidRPr="00770846">
        <w:rPr>
          <w:rFonts w:asciiTheme="majorHAnsi" w:hAnsiTheme="majorHAnsi" w:cstheme="majorHAnsi"/>
        </w:rPr>
        <w:t>The</w:t>
      </w:r>
      <w:r w:rsidR="00952A63" w:rsidRPr="00770846">
        <w:rPr>
          <w:rFonts w:asciiTheme="majorHAnsi" w:hAnsiTheme="majorHAnsi" w:cstheme="majorHAnsi"/>
        </w:rPr>
        <w:t xml:space="preserve"> most straightforward method</w:t>
      </w:r>
      <w:r w:rsidR="007B7C5D" w:rsidRPr="00770846">
        <w:rPr>
          <w:rFonts w:asciiTheme="majorHAnsi" w:hAnsiTheme="majorHAnsi" w:cstheme="majorHAnsi"/>
        </w:rPr>
        <w:t xml:space="preserve"> </w:t>
      </w:r>
      <w:r w:rsidR="00BD53F8" w:rsidRPr="00770846">
        <w:rPr>
          <w:rFonts w:asciiTheme="majorHAnsi" w:hAnsiTheme="majorHAnsi" w:cstheme="majorHAnsi"/>
        </w:rPr>
        <w:t xml:space="preserve">is a linear interpolation </w:t>
      </w:r>
      <w:r w:rsidR="00E07B73" w:rsidRPr="00770846">
        <w:rPr>
          <w:rFonts w:asciiTheme="majorHAnsi" w:hAnsiTheme="majorHAnsi" w:cstheme="majorHAnsi"/>
        </w:rPr>
        <w:t xml:space="preserve">(see </w:t>
      </w:r>
      <w:r w:rsidR="00587082" w:rsidRPr="00770846">
        <w:rPr>
          <w:rFonts w:asciiTheme="majorHAnsi" w:hAnsiTheme="majorHAnsi" w:cstheme="majorHAnsi"/>
          <w:b/>
          <w:bCs/>
        </w:rPr>
        <w:t>Eq.</w:t>
      </w:r>
      <w:r w:rsidR="00B72892" w:rsidRPr="00770846">
        <w:rPr>
          <w:rFonts w:asciiTheme="majorHAnsi" w:hAnsiTheme="majorHAnsi" w:cstheme="majorHAnsi"/>
          <w:b/>
          <w:bCs/>
        </w:rPr>
        <w:t xml:space="preserve"> </w:t>
      </w:r>
      <w:r w:rsidR="00587082" w:rsidRPr="00770846">
        <w:rPr>
          <w:rFonts w:asciiTheme="majorHAnsi" w:hAnsiTheme="majorHAnsi" w:cstheme="majorHAnsi"/>
          <w:b/>
          <w:bCs/>
        </w:rPr>
        <w:t>1</w:t>
      </w:r>
      <w:r w:rsidR="00B72892" w:rsidRPr="00770846">
        <w:rPr>
          <w:rFonts w:asciiTheme="majorHAnsi" w:hAnsiTheme="majorHAnsi" w:cstheme="majorHAnsi"/>
          <w:i/>
          <w:iCs/>
        </w:rPr>
        <w:t>)</w:t>
      </w:r>
      <w:r w:rsidR="00587082" w:rsidRPr="00770846">
        <w:rPr>
          <w:rFonts w:asciiTheme="majorHAnsi" w:hAnsiTheme="majorHAnsi" w:cstheme="majorHAnsi"/>
        </w:rPr>
        <w:t xml:space="preserve"> </w:t>
      </w:r>
      <w:r w:rsidR="00BD53F8" w:rsidRPr="00770846">
        <w:rPr>
          <w:rFonts w:asciiTheme="majorHAnsi" w:hAnsiTheme="majorHAnsi" w:cstheme="majorHAnsi"/>
        </w:rPr>
        <w:t xml:space="preserve">between minimum dose </w:t>
      </w:r>
      <m:oMath>
        <m:sSub>
          <m:sSubPr>
            <m:ctrlPr>
              <w:rPr>
                <w:rFonts w:ascii="Cambria Math" w:hAnsi="Cambria Math" w:cstheme="majorHAnsi"/>
                <w:i/>
              </w:rPr>
            </m:ctrlPr>
          </m:sSubPr>
          <m:e>
            <m:r>
              <w:rPr>
                <w:rFonts w:ascii="Cambria Math" w:hAnsi="Cambria Math" w:cstheme="majorHAnsi"/>
              </w:rPr>
              <m:t>D</m:t>
            </m:r>
          </m:e>
          <m:sub>
            <m:r>
              <w:rPr>
                <w:rFonts w:ascii="Cambria Math" w:hAnsi="Cambria Math" w:cstheme="majorHAnsi"/>
              </w:rPr>
              <m:t>min</m:t>
            </m:r>
          </m:sub>
        </m:sSub>
      </m:oMath>
      <w:r w:rsidR="00BD53F8" w:rsidRPr="00770846">
        <w:rPr>
          <w:rFonts w:asciiTheme="majorHAnsi" w:hAnsiTheme="majorHAnsi" w:cstheme="majorHAnsi"/>
        </w:rPr>
        <w:t xml:space="preserve"> and maximum dose </w:t>
      </w:r>
      <m:oMath>
        <m:sSub>
          <m:sSubPr>
            <m:ctrlPr>
              <w:rPr>
                <w:rFonts w:ascii="Cambria Math" w:hAnsi="Cambria Math" w:cstheme="majorHAnsi"/>
                <w:i/>
              </w:rPr>
            </m:ctrlPr>
          </m:sSubPr>
          <m:e>
            <m:r>
              <w:rPr>
                <w:rFonts w:ascii="Cambria Math" w:hAnsi="Cambria Math" w:cstheme="majorHAnsi"/>
              </w:rPr>
              <m:t>D</m:t>
            </m:r>
          </m:e>
          <m:sub>
            <m:r>
              <w:rPr>
                <w:rFonts w:ascii="Cambria Math" w:hAnsi="Cambria Math" w:cstheme="majorHAnsi"/>
              </w:rPr>
              <m:t>max</m:t>
            </m:r>
          </m:sub>
        </m:sSub>
      </m:oMath>
      <w:r w:rsidR="00BD53F8" w:rsidRPr="00770846">
        <w:rPr>
          <w:rFonts w:asciiTheme="majorHAnsi" w:hAnsiTheme="majorHAnsi" w:cstheme="majorHAnsi"/>
        </w:rPr>
        <w:t>, proportional</w:t>
      </w:r>
      <w:proofErr w:type="spellStart"/>
      <w:r w:rsidR="00B72892" w:rsidRPr="00770846">
        <w:rPr>
          <w:rFonts w:asciiTheme="majorHAnsi" w:hAnsiTheme="majorHAnsi" w:cstheme="majorHAnsi"/>
        </w:rPr>
        <w:t>ly</w:t>
      </w:r>
      <w:proofErr w:type="spellEnd"/>
      <w:r w:rsidR="00BD53F8" w:rsidRPr="00770846">
        <w:rPr>
          <w:rFonts w:asciiTheme="majorHAnsi" w:hAnsiTheme="majorHAnsi" w:cstheme="majorHAnsi"/>
        </w:rPr>
        <w:t xml:space="preserve"> varying between minimum intensity </w:t>
      </w:r>
      <m:oMath>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min</m:t>
            </m:r>
          </m:sub>
        </m:sSub>
      </m:oMath>
      <w:r w:rsidR="00BD53F8" w:rsidRPr="00770846">
        <w:rPr>
          <w:rFonts w:asciiTheme="majorHAnsi" w:hAnsiTheme="majorHAnsi" w:cstheme="majorHAnsi"/>
        </w:rPr>
        <w:t xml:space="preserve"> and maximum intensity </w:t>
      </w:r>
      <m:oMath>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max</m:t>
            </m:r>
          </m:sub>
        </m:sSub>
      </m:oMath>
      <w:r w:rsidR="00BD53F8" w:rsidRPr="00770846">
        <w:rPr>
          <w:rFonts w:asciiTheme="majorHAnsi" w:hAnsiTheme="majorHAnsi" w:cstheme="majorHAnsi"/>
        </w:rPr>
        <w:t xml:space="preserve"> within the target volume</w:t>
      </w:r>
      <w:r w:rsidR="003A0AD7"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{"citationItems":[{"id":"ITEM-1","itemData":{"DOI":"10.1016/j.semradonc.2010.10.001","ISBN":"1532-9461 (Electronic)\\n1053-4296 (Linking)","ISSN":"10534296","PMID":"21356478","abstract":"Dose painting is the prescription of a nonuniform radiation dose distribution to the target volume based on functional or molecular images shown to indicate the local risk of relapse. Two prototypical strategies for implementing this novel paradigm in radiation oncology are reviewed: subvolume boosting and dose painting by numbers. Subvolume boosting involves the selection of a \"target within the target,\" defined by image segmentation on the basis of the quantitative information in the image or morphologically, and this is related to image-based target volume selection and delineation. Dose painting by numbers is a voxel-level prescription of dose based on a mathematical transformation of the image intensity of individual pixels. The quantitative use of images to decide both where and how to delivery radiation therapy in an individual case is also called theragnostic imaging. Dose painting targets are imaging surrogates for cellular or microenvironmental phenotypes associated with poor radioresponsiveness. In this review, the focus is on the following positron emission tomography tracers: FDG and choline as surrogates for tumor burden, fluorothymidine as a surrogate for proliferation (or cellular growth fraction) and hypoxia-sensitive tracers, including [18F] fluoromisonidazole, EF3, EF5, and64Cu-labeled copper(II) diacetyl-di(N4-methylthiosemicarbazone) as surrogates of cellular hypoxia. Research advances supporting the clinicobiological rationale for dose painting are reviewed as are studies of the technical feasibility of optimizing and delivering realistic dose painted radiation therapy plans. Challenges and research priorities in this exciting research field are defined and a possible design for a randomized clinical trial of dose painting is presented. © 2011 Elsevier Inc.","author":[{"dropping-particle":"","family":"Bentzen","given":"Søren M.","non-dropping-particle":"","parse-names":false,"suffix":""},{"dropping-particle":"","family":"Gregoire","given":"Vincent","non-dropping-particle":"","parse-names":false,"suffix":""}],"container-title":"Seminars in Radiation Oncology","id":"ITEM-1","issue":"2","issued":{"date-parts":[["2011"]]},"page":"101-110","publisher":"Elsevier Inc.","title":"Molecular Imaging-Based Dose Painting: A Novel Paradigm for Radiation Therapy Prescription","type":"article-journal","volume":"21"},"uris":["http://www.mendeley.com/documents/?uuid=7a31f88d-7910-48a1-a89a-f8500175430c"]},{"id":"ITEM-2","itemData":{"DOI":"10.1016/S1470-2045(05)01737-7","ISSN":"14702045","abstract":"Theragnostic imaging for radiation oncology is the use of molecular and functional imaging to prescribe the distribution of radiation in four dimensions-the three dimensions of space plus time-of radiotherapy alone or combined with other treatment modalities in an individual patient. Several new imaging targets for positron-emission tomography, single-photon-emission CT, and magnetic resonance spectroscopy allow variations in microenvironmental or cellular phenotypes that modulate the effect of radiation to be mapped in three dimensions. Dose-painting by numbers is a strategy by which the dose distribution delivered by inverse planned intensity-modulated radiotherapy is prescribed in four dimensions. This approach will revolutionise the way that radiotherapy is prescribed and planned and, at least in theory, will improve the therapeutic outcome in terms of local tumour control and side-effects to unaffected tissue.","author":[{"dropping-particle":"","family":"Bentzen","given":"Søren M.","non-dropping-particle":"","parse-names":false,"suffix":""}],"container-title":"Lancet Oncology","id":"ITEM-2","issue":"2","issued":{"date-parts":[["2005"]]},"page":"112-117","title":"Theragnostic imaging for radiation oncology: Dose-painting by numbers","type":"article-journal","volume":"6"},"uris":["http://www.mendeley.com/documents/?uuid=20ee8c27-a7a9-485c-9769-72bff95acc95"]}],"mendeley":{"formattedCitation":"&lt;sup&gt;9,10&lt;/sup&gt;","plainTextFormattedCitation":"9,10","previouslyFormattedCitation":"&lt;sup&gt;9,10&lt;/sup&gt;"},"properties":{"noteIndex":0},"schema":"https://github.com/citation-style-language/schema/raw/master/csl-citation.json"}</w:instrText>
      </w:r>
      <w:r w:rsidR="003A0AD7"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9,10</w:t>
      </w:r>
      <w:r w:rsidR="003A0AD7" w:rsidRPr="00770846">
        <w:rPr>
          <w:rFonts w:asciiTheme="majorHAnsi" w:hAnsiTheme="majorHAnsi" w:cstheme="majorHAnsi"/>
        </w:rPr>
        <w:fldChar w:fldCharType="end"/>
      </w:r>
      <w:r w:rsidR="00BD53F8" w:rsidRPr="00770846">
        <w:rPr>
          <w:rFonts w:asciiTheme="majorHAnsi" w:hAnsiTheme="majorHAnsi" w:cstheme="majorHAnsi"/>
        </w:rPr>
        <w:t>:</w:t>
      </w:r>
    </w:p>
    <w:p w14:paraId="4F0ED4C6" w14:textId="1209E71A" w:rsidR="00553029" w:rsidRPr="00770846" w:rsidRDefault="00553029" w:rsidP="00770846">
      <w:pPr>
        <w:pStyle w:val="Caption"/>
        <w:keepNext/>
        <w:spacing w:after="0"/>
        <w:rPr>
          <w:rFonts w:asciiTheme="majorHAnsi" w:hAnsiTheme="majorHAnsi" w:cstheme="majorHAnsi"/>
          <w:color w:val="auto"/>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8050"/>
        <w:gridCol w:w="655"/>
      </w:tblGrid>
      <w:tr w:rsidR="000A7ED6" w:rsidRPr="00770846" w14:paraId="3981806C" w14:textId="77777777" w:rsidTr="00553029">
        <w:tc>
          <w:tcPr>
            <w:tcW w:w="350" w:type="pct"/>
          </w:tcPr>
          <w:p w14:paraId="7D75C992" w14:textId="77777777" w:rsidR="00553029" w:rsidRPr="00770846" w:rsidRDefault="00553029" w:rsidP="00770846">
            <w:pPr>
              <w:rPr>
                <w:rFonts w:asciiTheme="majorHAnsi" w:hAnsiTheme="majorHAnsi" w:cstheme="majorHAnsi"/>
              </w:rPr>
            </w:pPr>
          </w:p>
        </w:tc>
        <w:tc>
          <w:tcPr>
            <w:tcW w:w="4300" w:type="pct"/>
          </w:tcPr>
          <w:p w14:paraId="2AC2E173" w14:textId="3D5A1D52" w:rsidR="00553029" w:rsidRPr="00770846" w:rsidRDefault="00427763" w:rsidP="00770846">
            <w:pPr>
              <w:rPr>
                <w:rFonts w:asciiTheme="majorHAnsi" w:hAnsiTheme="majorHAnsi" w:cstheme="majorHAnsi"/>
              </w:rPr>
            </w:pPr>
            <m:oMathPara>
              <m:oMath>
                <m:sSub>
                  <m:sSubPr>
                    <m:ctrlPr>
                      <w:rPr>
                        <w:rFonts w:ascii="Cambria Math" w:hAnsi="Cambria Math" w:cstheme="majorHAnsi"/>
                        <w:i/>
                      </w:rPr>
                    </m:ctrlPr>
                  </m:sSubPr>
                  <m:e>
                    <m:r>
                      <w:rPr>
                        <w:rFonts w:ascii="Cambria Math" w:hAnsi="Cambria Math" w:cstheme="majorHAnsi"/>
                      </w:rPr>
                      <m:t>D</m:t>
                    </m:r>
                  </m:e>
                  <m:sub>
                    <m:r>
                      <w:rPr>
                        <w:rFonts w:ascii="Cambria Math" w:hAnsi="Cambria Math" w:cstheme="majorHAnsi"/>
                      </w:rPr>
                      <m:t>I</m:t>
                    </m:r>
                  </m:sub>
                </m:sSub>
                <m:r>
                  <w:rPr>
                    <w:rFonts w:ascii="Cambria Math" w:hAnsi="Cambria Math" w:cstheme="majorHAnsi"/>
                  </w:rPr>
                  <m:t xml:space="preserve">= </m:t>
                </m:r>
                <m:sSub>
                  <m:sSubPr>
                    <m:ctrlPr>
                      <w:rPr>
                        <w:rFonts w:ascii="Cambria Math" w:hAnsi="Cambria Math" w:cstheme="majorHAnsi"/>
                        <w:i/>
                      </w:rPr>
                    </m:ctrlPr>
                  </m:sSubPr>
                  <m:e>
                    <m:r>
                      <w:rPr>
                        <w:rFonts w:ascii="Cambria Math" w:hAnsi="Cambria Math" w:cstheme="majorHAnsi"/>
                      </w:rPr>
                      <m:t>D</m:t>
                    </m:r>
                  </m:e>
                  <m:sub>
                    <m:r>
                      <w:rPr>
                        <w:rFonts w:ascii="Cambria Math" w:hAnsi="Cambria Math" w:cstheme="majorHAnsi"/>
                      </w:rPr>
                      <m:t>low</m:t>
                    </m:r>
                  </m:sub>
                </m:sSub>
                <m:r>
                  <w:rPr>
                    <w:rFonts w:ascii="Cambria Math" w:hAnsi="Cambria Math" w:cstheme="majorHAnsi"/>
                  </w:rPr>
                  <m:t xml:space="preserve">+ </m:t>
                </m:r>
                <m:f>
                  <m:fPr>
                    <m:ctrlPr>
                      <w:rPr>
                        <w:rFonts w:ascii="Cambria Math" w:hAnsi="Cambria Math" w:cstheme="majorHAnsi"/>
                        <w:i/>
                      </w:rPr>
                    </m:ctrlPr>
                  </m:fPr>
                  <m:num>
                    <m:r>
                      <w:rPr>
                        <w:rFonts w:ascii="Cambria Math" w:hAnsi="Cambria Math" w:cstheme="majorHAnsi"/>
                      </w:rPr>
                      <m:t xml:space="preserve">I- </m:t>
                    </m:r>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low</m:t>
                        </m:r>
                      </m:sub>
                    </m:sSub>
                  </m:num>
                  <m:den>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high</m:t>
                        </m:r>
                      </m:sub>
                    </m:sSub>
                    <m:r>
                      <w:rPr>
                        <w:rFonts w:ascii="Cambria Math" w:hAnsi="Cambria Math" w:cstheme="majorHAnsi"/>
                      </w:rPr>
                      <m:t xml:space="preserve">- </m:t>
                    </m:r>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low</m:t>
                        </m:r>
                      </m:sub>
                    </m:sSub>
                  </m:den>
                </m:f>
                <m:r>
                  <w:rPr>
                    <w:rFonts w:ascii="Cambria Math" w:hAnsi="Cambria Math" w:cstheme="majorHAnsi"/>
                  </w:rPr>
                  <m:t xml:space="preserve"> </m:t>
                </m:r>
                <m:d>
                  <m:dPr>
                    <m:ctrlPr>
                      <w:rPr>
                        <w:rFonts w:ascii="Cambria Math" w:hAnsi="Cambria Math" w:cstheme="majorHAnsi"/>
                        <w:i/>
                      </w:rPr>
                    </m:ctrlPr>
                  </m:dPr>
                  <m:e>
                    <m:sSub>
                      <m:sSubPr>
                        <m:ctrlPr>
                          <w:rPr>
                            <w:rFonts w:ascii="Cambria Math" w:hAnsi="Cambria Math" w:cstheme="majorHAnsi"/>
                            <w:i/>
                          </w:rPr>
                        </m:ctrlPr>
                      </m:sSubPr>
                      <m:e>
                        <m:r>
                          <w:rPr>
                            <w:rFonts w:ascii="Cambria Math" w:hAnsi="Cambria Math" w:cstheme="majorHAnsi"/>
                          </w:rPr>
                          <m:t>D</m:t>
                        </m:r>
                      </m:e>
                      <m:sub>
                        <m:r>
                          <w:rPr>
                            <w:rFonts w:ascii="Cambria Math" w:hAnsi="Cambria Math" w:cstheme="majorHAnsi"/>
                          </w:rPr>
                          <m:t>high</m:t>
                        </m:r>
                      </m:sub>
                    </m:sSub>
                    <m:r>
                      <w:rPr>
                        <w:rFonts w:ascii="Cambria Math" w:hAnsi="Cambria Math" w:cstheme="majorHAnsi"/>
                      </w:rPr>
                      <m:t xml:space="preserve">- </m:t>
                    </m:r>
                    <m:sSub>
                      <m:sSubPr>
                        <m:ctrlPr>
                          <w:rPr>
                            <w:rFonts w:ascii="Cambria Math" w:hAnsi="Cambria Math" w:cstheme="majorHAnsi"/>
                            <w:i/>
                          </w:rPr>
                        </m:ctrlPr>
                      </m:sSubPr>
                      <m:e>
                        <m:r>
                          <w:rPr>
                            <w:rFonts w:ascii="Cambria Math" w:hAnsi="Cambria Math" w:cstheme="majorHAnsi"/>
                          </w:rPr>
                          <m:t>D</m:t>
                        </m:r>
                      </m:e>
                      <m:sub>
                        <m:r>
                          <w:rPr>
                            <w:rFonts w:ascii="Cambria Math" w:hAnsi="Cambria Math" w:cstheme="majorHAnsi"/>
                          </w:rPr>
                          <m:t>low</m:t>
                        </m:r>
                      </m:sub>
                    </m:sSub>
                  </m:e>
                </m:d>
              </m:oMath>
            </m:oMathPara>
          </w:p>
        </w:tc>
        <w:tc>
          <w:tcPr>
            <w:tcW w:w="350" w:type="pct"/>
            <w:vAlign w:val="center"/>
          </w:tcPr>
          <w:p w14:paraId="114FB28D" w14:textId="76F38568" w:rsidR="00553029" w:rsidRPr="00770846" w:rsidRDefault="00553029" w:rsidP="00770846">
            <w:pPr>
              <w:rPr>
                <w:rFonts w:asciiTheme="majorHAnsi" w:hAnsiTheme="majorHAnsi" w:cstheme="majorHAnsi"/>
              </w:rPr>
            </w:pPr>
            <w:r w:rsidRPr="00770846">
              <w:rPr>
                <w:rFonts w:asciiTheme="majorHAnsi" w:hAnsiTheme="majorHAnsi" w:cstheme="majorHAnsi"/>
              </w:rPr>
              <w:t xml:space="preserve">Eq. </w:t>
            </w:r>
            <w:r w:rsidRPr="00770846">
              <w:rPr>
                <w:rFonts w:asciiTheme="majorHAnsi" w:hAnsiTheme="majorHAnsi" w:cstheme="majorHAnsi"/>
              </w:rPr>
              <w:fldChar w:fldCharType="begin"/>
            </w:r>
            <w:r w:rsidRPr="00770846">
              <w:rPr>
                <w:rFonts w:asciiTheme="majorHAnsi" w:hAnsiTheme="majorHAnsi" w:cstheme="majorHAnsi"/>
              </w:rPr>
              <w:instrText xml:space="preserve"> SEQ Equation \* ARABIC </w:instrText>
            </w:r>
            <w:r w:rsidRPr="00770846">
              <w:rPr>
                <w:rFonts w:asciiTheme="majorHAnsi" w:hAnsiTheme="majorHAnsi" w:cstheme="majorHAnsi"/>
              </w:rPr>
              <w:fldChar w:fldCharType="separate"/>
            </w:r>
            <w:r w:rsidR="006E7D5A" w:rsidRPr="00770846">
              <w:rPr>
                <w:rFonts w:asciiTheme="majorHAnsi" w:hAnsiTheme="majorHAnsi" w:cstheme="majorHAnsi"/>
                <w:noProof/>
              </w:rPr>
              <w:t>1</w:t>
            </w:r>
            <w:r w:rsidRPr="00770846">
              <w:rPr>
                <w:rFonts w:asciiTheme="majorHAnsi" w:hAnsiTheme="majorHAnsi" w:cstheme="majorHAnsi"/>
              </w:rPr>
              <w:fldChar w:fldCharType="end"/>
            </w:r>
          </w:p>
        </w:tc>
      </w:tr>
    </w:tbl>
    <w:p w14:paraId="337D1BFF" w14:textId="77777777" w:rsidR="00BD53F8" w:rsidRPr="00770846" w:rsidRDefault="00BD53F8" w:rsidP="00770846">
      <w:pPr>
        <w:rPr>
          <w:rFonts w:asciiTheme="majorHAnsi" w:hAnsiTheme="majorHAnsi" w:cstheme="majorHAnsi"/>
        </w:rPr>
      </w:pPr>
    </w:p>
    <w:p w14:paraId="3B61F1D5" w14:textId="60C5AED1" w:rsidR="00AF7287" w:rsidRPr="00770846" w:rsidRDefault="00CC3F83" w:rsidP="00770846">
      <w:pPr>
        <w:rPr>
          <w:rFonts w:asciiTheme="majorHAnsi" w:hAnsiTheme="majorHAnsi" w:cstheme="majorHAnsi"/>
        </w:rPr>
      </w:pPr>
      <w:r w:rsidRPr="00770846">
        <w:rPr>
          <w:rFonts w:asciiTheme="majorHAnsi" w:hAnsiTheme="majorHAnsi" w:cstheme="majorHAnsi"/>
        </w:rPr>
        <w:t>Because the</w:t>
      </w:r>
      <w:r w:rsidR="000377B1" w:rsidRPr="00770846">
        <w:rPr>
          <w:rFonts w:asciiTheme="majorHAnsi" w:hAnsiTheme="majorHAnsi" w:cstheme="majorHAnsi"/>
        </w:rPr>
        <w:t xml:space="preserve">re is some </w:t>
      </w:r>
      <w:r w:rsidR="00B94A78" w:rsidRPr="00770846">
        <w:rPr>
          <w:rFonts w:asciiTheme="majorHAnsi" w:hAnsiTheme="majorHAnsi" w:cstheme="majorHAnsi"/>
        </w:rPr>
        <w:t>skepticism</w:t>
      </w:r>
      <w:r w:rsidR="000377B1" w:rsidRPr="00770846">
        <w:rPr>
          <w:rFonts w:asciiTheme="majorHAnsi" w:hAnsiTheme="majorHAnsi" w:cstheme="majorHAnsi"/>
        </w:rPr>
        <w:t xml:space="preserve"> about the quality assurance of DPBN</w:t>
      </w:r>
      <w:r w:rsidR="002037E3" w:rsidRPr="00770846">
        <w:rPr>
          <w:rFonts w:asciiTheme="majorHAnsi" w:hAnsiTheme="majorHAnsi" w:cstheme="majorHAnsi"/>
        </w:rPr>
        <w:t xml:space="preserve"> RT,</w:t>
      </w:r>
      <w:r w:rsidR="000377B1" w:rsidRPr="00770846">
        <w:rPr>
          <w:rFonts w:asciiTheme="majorHAnsi" w:hAnsiTheme="majorHAnsi" w:cstheme="majorHAnsi"/>
        </w:rPr>
        <w:t xml:space="preserve"> the deposition of the dose should be verified through </w:t>
      </w:r>
      <w:r w:rsidR="00081D69" w:rsidRPr="00770846">
        <w:rPr>
          <w:rFonts w:asciiTheme="majorHAnsi" w:hAnsiTheme="majorHAnsi" w:cstheme="majorHAnsi"/>
        </w:rPr>
        <w:t>preclinical and clinical</w:t>
      </w:r>
      <w:r w:rsidR="00560B63" w:rsidRPr="00770846">
        <w:rPr>
          <w:rFonts w:asciiTheme="majorHAnsi" w:hAnsiTheme="majorHAnsi" w:cstheme="majorHAnsi"/>
        </w:rPr>
        <w:t xml:space="preserve"> </w:t>
      </w:r>
      <w:r w:rsidR="000377B1" w:rsidRPr="00770846">
        <w:rPr>
          <w:rFonts w:asciiTheme="majorHAnsi" w:hAnsiTheme="majorHAnsi" w:cstheme="majorHAnsi"/>
        </w:rPr>
        <w:t>research</w:t>
      </w:r>
      <w:r w:rsidR="000377B1"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{"citationItems":[{"id":"ITEM-1","itemData":{"DOI":"10.1016/S1470-2045(05)01737-7","ISSN":"14702045","abstract":"Theragnostic imaging for radiation oncology is the use of molecular and functional imaging to prescribe the distribution of radiation in four dimensions-the three dimensions of space plus time-of radiotherapy alone or combined with other treatment modalities in an individual patient. Several new imaging targets for positron-emission tomography, single-photon-emission CT, and magnetic resonance spectroscopy allow variations in microenvironmental or cellular phenotypes that modulate the effect of radiation to be mapped in three dimensions. Dose-painting by numbers is a strategy by which the dose distribution delivered by inverse planned intensity-modulated radiotherapy is prescribed in four dimensions. This approach will revolutionise the way that radiotherapy is prescribed and planned and, at least in theory, will improve the therapeutic outcome in terms of local tumour control and side-effects to unaffected tissue.","author":[{"dropping-particle":"","family":"Bentzen","given":"Søren M.","non-dropping-particle":"","parse-names":false,"suffix":""}],"container-title":"Lancet Oncology","id":"ITEM-1","issue":"2","issued":{"date-parts":[["2005"]]},"page":"112-117","title":"Theragnostic imaging for radiation oncology: Dose-painting by numbers","type":"article-journal","volume":"6"},"uris":["http://www.mendeley.com/documents/?uuid=20ee8c27-a7a9-485c-9769-72bff95acc95"]}],"mendeley":{"formattedCitation":"&lt;sup&gt;10&lt;/sup&gt;","plainTextFormattedCitation":"10","previouslyFormattedCitation":"&lt;sup&gt;10&lt;/sup&gt;"},"properties":{"noteIndex":0},"schema":"https://github.com/citation-style-language/schema/raw/master/csl-citation.json"}</w:instrText>
      </w:r>
      <w:r w:rsidR="000377B1"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10</w:t>
      </w:r>
      <w:r w:rsidR="000377B1" w:rsidRPr="00770846">
        <w:rPr>
          <w:rFonts w:asciiTheme="majorHAnsi" w:hAnsiTheme="majorHAnsi" w:cstheme="majorHAnsi"/>
        </w:rPr>
        <w:fldChar w:fldCharType="end"/>
      </w:r>
      <w:r w:rsidR="000377B1" w:rsidRPr="00770846">
        <w:rPr>
          <w:rFonts w:asciiTheme="majorHAnsi" w:hAnsiTheme="majorHAnsi" w:cstheme="majorHAnsi"/>
        </w:rPr>
        <w:t xml:space="preserve">. </w:t>
      </w:r>
      <w:r w:rsidR="00311544" w:rsidRPr="00770846">
        <w:rPr>
          <w:rFonts w:asciiTheme="majorHAnsi" w:hAnsiTheme="majorHAnsi" w:cstheme="majorHAnsi"/>
        </w:rPr>
        <w:t xml:space="preserve">However, </w:t>
      </w:r>
      <w:r w:rsidR="00EB7805" w:rsidRPr="00770846">
        <w:rPr>
          <w:rFonts w:asciiTheme="majorHAnsi" w:hAnsiTheme="majorHAnsi" w:cstheme="majorHAnsi"/>
        </w:rPr>
        <w:t>o</w:t>
      </w:r>
      <w:r w:rsidR="00354E50" w:rsidRPr="00770846">
        <w:rPr>
          <w:rFonts w:asciiTheme="majorHAnsi" w:hAnsiTheme="majorHAnsi" w:cstheme="majorHAnsi"/>
        </w:rPr>
        <w:t xml:space="preserve">nly limited </w:t>
      </w:r>
      <w:r w:rsidR="00DB78E2" w:rsidRPr="00770846">
        <w:rPr>
          <w:rFonts w:asciiTheme="majorHAnsi" w:hAnsiTheme="majorHAnsi" w:cstheme="majorHAnsi"/>
        </w:rPr>
        <w:t xml:space="preserve">data </w:t>
      </w:r>
      <w:r w:rsidR="00354E50" w:rsidRPr="00770846">
        <w:rPr>
          <w:rFonts w:asciiTheme="majorHAnsi" w:hAnsiTheme="majorHAnsi" w:cstheme="majorHAnsi"/>
        </w:rPr>
        <w:t xml:space="preserve">can be </w:t>
      </w:r>
      <w:r w:rsidR="00DB78E2" w:rsidRPr="00770846">
        <w:rPr>
          <w:rFonts w:asciiTheme="majorHAnsi" w:hAnsiTheme="majorHAnsi" w:cstheme="majorHAnsi"/>
        </w:rPr>
        <w:t>acquired</w:t>
      </w:r>
      <w:r w:rsidR="00354E50" w:rsidRPr="00770846">
        <w:rPr>
          <w:rFonts w:asciiTheme="majorHAnsi" w:hAnsiTheme="majorHAnsi" w:cstheme="majorHAnsi"/>
        </w:rPr>
        <w:t xml:space="preserve"> </w:t>
      </w:r>
      <w:r w:rsidR="00FE0660" w:rsidRPr="00770846">
        <w:rPr>
          <w:rFonts w:asciiTheme="majorHAnsi" w:hAnsiTheme="majorHAnsi" w:cstheme="majorHAnsi"/>
        </w:rPr>
        <w:t>from</w:t>
      </w:r>
      <w:r w:rsidR="00354E50" w:rsidRPr="00770846">
        <w:rPr>
          <w:rFonts w:asciiTheme="majorHAnsi" w:hAnsiTheme="majorHAnsi" w:cstheme="majorHAnsi"/>
        </w:rPr>
        <w:t xml:space="preserve"> clinical trials</w:t>
      </w:r>
      <w:r w:rsidR="00367141" w:rsidRPr="00770846">
        <w:rPr>
          <w:rFonts w:asciiTheme="majorHAnsi" w:hAnsiTheme="majorHAnsi" w:cstheme="majorHAnsi"/>
        </w:rPr>
        <w:t>,</w:t>
      </w:r>
      <w:r w:rsidR="00354E50" w:rsidRPr="00770846">
        <w:rPr>
          <w:rFonts w:asciiTheme="majorHAnsi" w:hAnsiTheme="majorHAnsi" w:cstheme="majorHAnsi"/>
        </w:rPr>
        <w:t xml:space="preserve"> and </w:t>
      </w:r>
      <w:r w:rsidR="006F571A" w:rsidRPr="00770846">
        <w:rPr>
          <w:rFonts w:asciiTheme="majorHAnsi" w:hAnsiTheme="majorHAnsi" w:cstheme="majorHAnsi"/>
        </w:rPr>
        <w:t xml:space="preserve">it has been hypothesized that </w:t>
      </w:r>
      <w:r w:rsidR="00DB78E2" w:rsidRPr="00770846">
        <w:rPr>
          <w:rFonts w:asciiTheme="majorHAnsi" w:hAnsiTheme="majorHAnsi" w:cstheme="majorHAnsi"/>
        </w:rPr>
        <w:t>more insights</w:t>
      </w:r>
      <w:r w:rsidR="006F571A" w:rsidRPr="00770846">
        <w:rPr>
          <w:rFonts w:asciiTheme="majorHAnsi" w:hAnsiTheme="majorHAnsi" w:cstheme="majorHAnsi"/>
        </w:rPr>
        <w:t xml:space="preserve"> can be obtained </w:t>
      </w:r>
      <w:r w:rsidR="00457825" w:rsidRPr="00770846">
        <w:rPr>
          <w:rFonts w:asciiTheme="majorHAnsi" w:hAnsiTheme="majorHAnsi" w:cstheme="majorHAnsi"/>
        </w:rPr>
        <w:t>by</w:t>
      </w:r>
      <w:r w:rsidR="006F571A" w:rsidRPr="00770846">
        <w:rPr>
          <w:rFonts w:asciiTheme="majorHAnsi" w:hAnsiTheme="majorHAnsi" w:cstheme="majorHAnsi"/>
        </w:rPr>
        <w:t xml:space="preserve"> downscaling to </w:t>
      </w:r>
      <w:r w:rsidR="006668AA" w:rsidRPr="00770846">
        <w:rPr>
          <w:rFonts w:asciiTheme="majorHAnsi" w:hAnsiTheme="majorHAnsi" w:cstheme="majorHAnsi"/>
        </w:rPr>
        <w:t>laboratory</w:t>
      </w:r>
      <w:r w:rsidR="006F571A" w:rsidRPr="00770846">
        <w:rPr>
          <w:rFonts w:asciiTheme="majorHAnsi" w:hAnsiTheme="majorHAnsi" w:cstheme="majorHAnsi"/>
        </w:rPr>
        <w:t xml:space="preserve"> animals</w:t>
      </w:r>
      <w:r w:rsidR="00B4026C"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{"citationItems":[{"id":"ITEM-1","itemData":{"DOI":"10.1016/j.ijrobp.2008.04.025","ISSN":"03603016","PMID":"18640502","abstract":"Purpose: To demonstrate the computed tomography, conformal irradiation, and treatment planning capabilities of a small animal radiation research platform (SARRP). Methods and Materials: The SARRP uses a dual-focal spot, constant voltage X-ray source mounted on a gantry with a source-to-isocenter distance of 35 cm. Gantry rotation is limited to 120° from vertical. X-rays of 80-100 kVp from the smaller 0.4-mm focal spot are used for imaging. Both 0.4-mm and 3.0-mm focal spots operate at 225 kVp for irradiation. Robotic translate/rotate stages are used to position the animal. Cone-beam computed tomography is achieved by rotating the horizontal animal between the stationary X-ray source and a flat-panel detector. The radiation beams range from 0.5 mm in diameter to 60 × 60 mm2. Dosimetry is measured with radiochromic films. Monte Carlo dose calculations are used for treatment planning. The combination of gantry and robotic stage motions facilitate conformal irradiation. Results: The SARRP spans 3 ft × 4 ft × 6 ft (width × length × height). Depending on the filtration, the isocenter dose outputs at a 1-cm depth in water were 22-375 cGy/min from the smallest to the largest radiation fields. The 20-80% dose falloff spanned 0.16 mm. Cone-beam computed tomography with 0.6 × 0.6 × 0.6 mm3 voxel resolution was acquired with a dose of &lt;1 cGy. Treatment planning was performed at submillimeter resolution. Conclusion: The capability of the SARRP to deliver highly focal beams to multiple animal model systems provides new research opportunities that more realistically bridge laboratory research and clinical translation. © 2008 Elsevier Inc. All rights reserved.","author":[{"dropping-particle":"","family":"Wong","given":"John","non-dropping-particle":"","parse-names":false,"suffix":""},{"dropping-particle":"","family":"Armour","given":"Elwood","non-dropping-particle":"","parse-names":false,"suffix":""},{"dropping-particle":"","family":"Kazanzides","given":"Peter","non-dropping-particle":"","parse-names":false,"suffix":""},{"dropping-particle":"","family":"Iordachita","given":"Iulian","non-dropping-particle":"","parse-names":false,"suffix":""},{"dropping-particle":"","family":"Tryggestad","given":"Erik","non-dropping-particle":"","parse-names":false,"suffix":""},{"dropping-particle":"","family":"Deng","given":"Hua","non-dropping-particle":"","parse-names":false,"suffix":""},{"dropping-particle":"","family":"Matinfar","given":"Mohammad","non-dropping-particle":"","parse-names":false,"suffix":""},{"dropping-particle":"","family":"Kennedy","given":"Christopher","non-dropping-particle":"","parse-names":false,"suffix":""},{"dropping-particle":"","family":"Liu","given":"Zejian","non-dropping-particle":"","parse-names":false,"suffix":""},{"dropping-particle":"","family":"Chan","given":"Timothy","non-dropping-particle":"","parse-names":false,"suffix":""},{"dropping-particle":"","family":"Gray","given":"Owen","non-dropping-particle":"","parse-names":false,"suffix":""},{"dropping-particle":"","family":"Verhaegen","given":"Frank","non-dropping-particle":"","parse-names":false,"suffix":""},{"dropping-particle":"","family":"McNutt","given":"Todd","non-dropping-particle":"","parse-names":false,"suffix":""},{"dropping-particle":"","family":"Ford","given":"Eric","non-dropping-particle":"","parse-names":false,"suffix":""},{"dropping-particle":"","family":"DeWeese","given":"Theodore L.","non-dropping-particle":"","parse-names":false,"suffix":""}],"container-title":"International Journal of Radiation Oncology Biology Physics","id":"ITEM-1","issue":"5","issued":{"date-parts":[["2008"]]},"page":"1591-1599","title":"High-Resolution, Small Animal Radiation Research Platform With X-Ray Tomographic Guidance Capabilities","type":"article-journal","volume":"71"},"uris":["http://www.mendeley.com/documents/?uuid=5705f80e-7da8-4762-8c2a-8a2412742c7c","http://www.mendeley.com/documents/?uuid=27389d68-8b70-49de-9038-89b037ae0f5a"]},{"id":"ITEM-2","itemData":{"DOI":"10.1016/j.radonc.2013.10.003","ISSN":"01678140","PMID":"24183860","abstract":"Background and purpose Image-guided equipment for precision irradiation of small animals for pre-clinical radiotherapy research became recently available. To enable downscaled radiotherapy studies that can be translated into human radiotherapy knowledge, a treatment planning system for pre-clinical studies is required. Material and methods A dedicated treatment planning system (SmART-Plan) for small animal radiotherapy studies was developed. It is based on Monte Carlo simulation of particle transport in an animal. The voxel geometry is derived from the onboard cone beam CT imaging panel. SmART-Plan was validated using radiochromic film (RCF) dosimetry in various phantoms: uniform, multislab and a realistic plasticized mouse geometry. Results Good agreement was obtained between SmART-Plan dose calculations and RCF dose measurements in all phantoms. For various delivered plans agreement was obtained within 10% for the majority of the targeted dose region, with larger differences between 10% and 20% near the penumbra regions and for the smallest 1 mm collimator. Absolute depth and lateral dose distributions showed better agreement for 5 and 15-mm collimators than for a 1-mm collimator, indicating that accurate dose prediction for the smallest field sizes is difficult. Conclusion SmART-Plan offers a useful dose calculation tool for pre-clinical small animal irradiation studies. © 2013 Elsevier Ireland Ltd. All rights reserved.","author":[{"dropping-particle":"","family":"Hoof","given":"Stefan J.","non-dropping-particle":"Van","parse-names":false,"suffix":""},{"dropping-particle":"V.","family":"Granton","given":"Patrick","non-dropping-particle":"","parse-names":false,"suffix":""},{"dropping-particle":"","family":"Verhaegen","given":"Frank","non-dropping-particle":"","parse-names":false,"suffix":""}],"container-title":"Radiotherapy and Oncology","id":"ITEM-2","issue":"3","issued":{"date-parts":[["2013"]]},"page":"361-366","publisher":"Elsevier Ireland Ltd","title":"Development and validation of a treatment planning system for small animal radiotherapy: SmART-Plan","type":"article-journal","volume":"109"},"uris":["http://www.mendeley.com/documents/?uuid=69ff56ab-9cd4-4366-89d2-62b3b59b011b","http://www.mendeley.com/documents/?uuid=7da64dd0-b378-40b2-9b14-70091724909c"]}],"mendeley":{"formattedCitation":"&lt;sup&gt;11,12&lt;/sup&gt;","plainTextFormattedCitation":"11,12","previouslyFormattedCitation":"&lt;sup&gt;11,12&lt;/sup&gt;"},"properties":{"noteIndex":0},"schema":"https://github.com/citation-style-language/schema/raw/master/csl-citation.json"}</w:instrText>
      </w:r>
      <w:r w:rsidR="00B4026C"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11,12</w:t>
      </w:r>
      <w:r w:rsidR="00B4026C" w:rsidRPr="00770846">
        <w:rPr>
          <w:rFonts w:asciiTheme="majorHAnsi" w:hAnsiTheme="majorHAnsi" w:cstheme="majorHAnsi"/>
        </w:rPr>
        <w:fldChar w:fldCharType="end"/>
      </w:r>
      <w:r w:rsidR="00D75777" w:rsidRPr="00770846">
        <w:rPr>
          <w:rFonts w:asciiTheme="majorHAnsi" w:hAnsiTheme="majorHAnsi" w:cstheme="majorHAnsi"/>
        </w:rPr>
        <w:t>. Hence</w:t>
      </w:r>
      <w:r w:rsidR="00C13E15" w:rsidRPr="00770846">
        <w:rPr>
          <w:rFonts w:asciiTheme="majorHAnsi" w:hAnsiTheme="majorHAnsi" w:cstheme="majorHAnsi"/>
        </w:rPr>
        <w:t xml:space="preserve">, preclinical studies </w:t>
      </w:r>
      <w:r w:rsidR="00DB78E2" w:rsidRPr="00770846">
        <w:rPr>
          <w:rFonts w:asciiTheme="majorHAnsi" w:hAnsiTheme="majorHAnsi" w:cstheme="majorHAnsi"/>
        </w:rPr>
        <w:t>utilizing</w:t>
      </w:r>
      <w:r w:rsidR="00C13E15" w:rsidRPr="00770846">
        <w:rPr>
          <w:rFonts w:asciiTheme="majorHAnsi" w:hAnsiTheme="majorHAnsi" w:cstheme="majorHAnsi"/>
        </w:rPr>
        <w:t xml:space="preserve"> precision image-guided radiation research platforms</w:t>
      </w:r>
      <w:r w:rsidR="00DB78E2" w:rsidRPr="00770846">
        <w:rPr>
          <w:rFonts w:asciiTheme="majorHAnsi" w:hAnsiTheme="majorHAnsi" w:cstheme="majorHAnsi"/>
        </w:rPr>
        <w:t xml:space="preserve"> that allow coupling with some very specific techniques</w:t>
      </w:r>
      <w:r w:rsidR="00367141" w:rsidRPr="00770846">
        <w:rPr>
          <w:rFonts w:asciiTheme="majorHAnsi" w:hAnsiTheme="majorHAnsi" w:cstheme="majorHAnsi"/>
        </w:rPr>
        <w:t>,</w:t>
      </w:r>
      <w:r w:rsidR="00DB78E2" w:rsidRPr="00770846">
        <w:rPr>
          <w:rFonts w:asciiTheme="majorHAnsi" w:hAnsiTheme="majorHAnsi" w:cstheme="majorHAnsi"/>
        </w:rPr>
        <w:t xml:space="preserve"> such as autoradiography,</w:t>
      </w:r>
      <w:r w:rsidR="00DD04F6" w:rsidRPr="00770846">
        <w:rPr>
          <w:rFonts w:asciiTheme="majorHAnsi" w:hAnsiTheme="majorHAnsi" w:cstheme="majorHAnsi"/>
        </w:rPr>
        <w:t xml:space="preserve"> </w:t>
      </w:r>
      <w:r w:rsidR="00D95738" w:rsidRPr="00770846">
        <w:rPr>
          <w:rFonts w:asciiTheme="majorHAnsi" w:hAnsiTheme="majorHAnsi" w:cstheme="majorHAnsi"/>
        </w:rPr>
        <w:t xml:space="preserve">are </w:t>
      </w:r>
      <w:r w:rsidR="00DB78E2" w:rsidRPr="00770846">
        <w:rPr>
          <w:rFonts w:asciiTheme="majorHAnsi" w:hAnsiTheme="majorHAnsi" w:cstheme="majorHAnsi"/>
        </w:rPr>
        <w:t>suited</w:t>
      </w:r>
      <w:r w:rsidR="00D95738" w:rsidRPr="00770846">
        <w:rPr>
          <w:rFonts w:asciiTheme="majorHAnsi" w:hAnsiTheme="majorHAnsi" w:cstheme="majorHAnsi"/>
        </w:rPr>
        <w:t xml:space="preserve"> for </w:t>
      </w:r>
      <w:r w:rsidR="00DB78E2" w:rsidRPr="00770846">
        <w:rPr>
          <w:rFonts w:asciiTheme="majorHAnsi" w:hAnsiTheme="majorHAnsi" w:cstheme="majorHAnsi"/>
        </w:rPr>
        <w:t xml:space="preserve">examining </w:t>
      </w:r>
      <w:r w:rsidR="00F14F5C" w:rsidRPr="00770846">
        <w:rPr>
          <w:rFonts w:asciiTheme="majorHAnsi" w:hAnsiTheme="majorHAnsi" w:cstheme="majorHAnsi"/>
        </w:rPr>
        <w:t>open issues</w:t>
      </w:r>
      <w:r w:rsidR="00D95738" w:rsidRPr="00770846">
        <w:rPr>
          <w:rFonts w:asciiTheme="majorHAnsi" w:hAnsiTheme="majorHAnsi" w:cstheme="majorHAnsi"/>
        </w:rPr>
        <w:t xml:space="preserve"> </w:t>
      </w:r>
      <w:r w:rsidR="005E6AA0" w:rsidRPr="00770846">
        <w:rPr>
          <w:rFonts w:asciiTheme="majorHAnsi" w:hAnsiTheme="majorHAnsi" w:cstheme="majorHAnsi"/>
        </w:rPr>
        <w:t>and pav</w:t>
      </w:r>
      <w:r w:rsidR="00092F9D" w:rsidRPr="00770846">
        <w:rPr>
          <w:rFonts w:asciiTheme="majorHAnsi" w:hAnsiTheme="majorHAnsi" w:cstheme="majorHAnsi"/>
        </w:rPr>
        <w:t>ing</w:t>
      </w:r>
      <w:r w:rsidR="005E6AA0" w:rsidRPr="00770846">
        <w:rPr>
          <w:rFonts w:asciiTheme="majorHAnsi" w:hAnsiTheme="majorHAnsi" w:cstheme="majorHAnsi"/>
        </w:rPr>
        <w:t xml:space="preserve"> the way </w:t>
      </w:r>
      <w:r w:rsidR="004C5B3E" w:rsidRPr="00770846">
        <w:rPr>
          <w:rFonts w:asciiTheme="majorHAnsi" w:hAnsiTheme="majorHAnsi" w:cstheme="majorHAnsi"/>
        </w:rPr>
        <w:lastRenderedPageBreak/>
        <w:t>towards</w:t>
      </w:r>
      <w:r w:rsidR="00FF56D5" w:rsidRPr="00770846">
        <w:rPr>
          <w:rFonts w:asciiTheme="majorHAnsi" w:hAnsiTheme="majorHAnsi" w:cstheme="majorHAnsi"/>
        </w:rPr>
        <w:t xml:space="preserve"> </w:t>
      </w:r>
      <w:r w:rsidR="00D95738" w:rsidRPr="00770846">
        <w:rPr>
          <w:rFonts w:asciiTheme="majorHAnsi" w:hAnsiTheme="majorHAnsi" w:cstheme="majorHAnsi"/>
        </w:rPr>
        <w:t>personalized medicine and novel treatment strategies</w:t>
      </w:r>
      <w:r w:rsidR="00B52855" w:rsidRPr="00770846">
        <w:rPr>
          <w:rFonts w:asciiTheme="majorHAnsi" w:hAnsiTheme="majorHAnsi" w:cstheme="majorHAnsi"/>
        </w:rPr>
        <w:t>, such as dose painting</w:t>
      </w:r>
      <w:r w:rsidR="00557C8B" w:rsidRPr="00770846">
        <w:rPr>
          <w:rFonts w:asciiTheme="majorHAnsi" w:hAnsiTheme="majorHAnsi" w:cstheme="majorHAnsi"/>
        </w:rPr>
        <w:t xml:space="preserve"> RT</w:t>
      </w:r>
      <w:r w:rsidR="00F402A3"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{"citationItems":[{"id":"ITEM-1","itemData":{"DOI":"10.1088/0031-9155/56/12/R01","ISBN":"1361-6560 (Electronic)\\r0031-9155 (Linking)","ISSN":"0031-9155","PMID":"21617291","abstract":"Advances in conformal radiation therapy and advancements in pre-clinical radiotherapy research have recently stimulated the development of precise micro-irradiators for small animals such as mice and rats. These devices are often kilovolt x-ray radiation sources combined with high-resolution CT imaging equipment for image guidance, as the latter allows precise and accurate beam positioning. This is similar to modern human radiotherapy practice. These devices are considered a major step forward compared to the current standard of animal experimentation in cancer radiobiology research. The availability of this novel equipment enables a wide variety of pre-clinical experiments on the synergy of radiation with other therapies, complex radiation schemes, sub-target boost studies, hypofractionated radiotherapy, contrast-enhanced radiotherapy and studies of relative biological effectiveness, to name just a few examples. In this review we discuss the required irradiation and imaging capabilities of small animal radiation research platforms. We describe the need for improved small animal radiotherapy research and highlight pioneering efforts, some of which led recently to commercially available prototypes. From this, it will be clear that much further development is still needed, on both the irradiation side and imaging side. We discuss at length the need for improved treatment planning tools for small animal platforms, and the current lack of a standard therein. Finally, we mention some recent experimental work using the early animal radiation research platforms, and the potential they offer for advancing radiobiology research.","author":[{"dropping-particle":"","family":"Verhaegen","given":"Frank","non-dropping-particle":"","parse-names":false,"suffix":""},{"dropping-particle":"","family":"Granton","given":"Patrick","non-dropping-particle":"","parse-names":false,"suffix":""},{"dropping-particle":"","family":"Tryggestad","given":"Erik","non-dropping-particle":"","parse-names":false,"suffix":""}],"container-title":"Physics in Medicine and Biology","id":"ITEM-1","issue":"12","issued":{"date-parts":[["2011"]]},"page":"R55-R83","title":"Small animal radiotherapy research platforms","type":"article-journal","volume":"56"},"uris":["http://www.mendeley.com/documents/?uuid=d0e92579-5ba5-4c4e-8d22-a0f37d492f1e"]},{"id":"ITEM-2","itemData":{"DOI":"10.1259/bjr.20140634","ISSN":"1748880X","PMID":"25387486","abstract":"Radiation biology is being transformed by the implementation of small animal image-guided precision radiotherapy into pre-clinical research programmes worldwide. We report on the current status and developments of the small animal radiotherapy field, suggest criteria for the design and execution of effective studies and contend that this powerful emerging technology, used in combination with relevant small animal models, holds much promise for translational impact in radiation oncology.","author":[{"dropping-particle":"","family":"Butterworth","given":"Karl T.","non-dropping-particle":"","parse-names":false,"suffix":""},{"dropping-particle":"","family":"Prise","given":"K. M.","non-dropping-particle":"","parse-names":false,"suffix":""},{"dropping-particle":"","family":"Verhaegen","given":"F.","non-dropping-particle":"","parse-names":false,"suffix":""}],"container-title":"British Journal of Radiology","id":"ITEM-2","issue":"1045","issued":{"date-parts":[["2015"]]},"page":"4-6","title":"Small animal image-guided radiotherapy: Status, considerations and potential for translational impact","type":"article-journal","volume":"88"},"uris":["http://www.mendeley.com/documents/?uuid=9178f714-cefa-4376-9cff-16032bdbee98","http://www.mendeley.com/documents/?uuid=248c9fe8-7a10-4621-9c60-f6fc07c7e3dc"]}],"mendeley":{"formattedCitation":"&lt;sup&gt;13,14&lt;/sup&gt;","plainTextFormattedCitation":"13,14","previouslyFormattedCitation":"&lt;sup&gt;13,14&lt;/sup&gt;"},"properties":{"noteIndex":0},"schema":"https://github.com/citation-style-language/schema/raw/master/csl-citation.json"}</w:instrText>
      </w:r>
      <w:r w:rsidR="00F402A3"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13,14</w:t>
      </w:r>
      <w:r w:rsidR="00F402A3" w:rsidRPr="00770846">
        <w:rPr>
          <w:rFonts w:asciiTheme="majorHAnsi" w:hAnsiTheme="majorHAnsi" w:cstheme="majorHAnsi"/>
        </w:rPr>
        <w:fldChar w:fldCharType="end"/>
      </w:r>
      <w:r w:rsidR="00855717" w:rsidRPr="00770846">
        <w:rPr>
          <w:rStyle w:val="CommentReference"/>
          <w:rFonts w:asciiTheme="majorHAnsi" w:hAnsiTheme="majorHAnsi" w:cstheme="majorHAnsi"/>
          <w:sz w:val="24"/>
          <w:szCs w:val="24"/>
        </w:rPr>
        <w:t>.</w:t>
      </w:r>
      <w:r w:rsidR="0007406B" w:rsidRPr="00770846">
        <w:rPr>
          <w:rFonts w:asciiTheme="majorHAnsi" w:hAnsiTheme="majorHAnsi" w:cstheme="majorHAnsi"/>
        </w:rPr>
        <w:t xml:space="preserve"> </w:t>
      </w:r>
      <w:r w:rsidR="00EC3D87" w:rsidRPr="00770846">
        <w:rPr>
          <w:rFonts w:asciiTheme="majorHAnsi" w:hAnsiTheme="majorHAnsi" w:cstheme="majorHAnsi"/>
        </w:rPr>
        <w:t xml:space="preserve">However, </w:t>
      </w:r>
      <w:r w:rsidR="00201084" w:rsidRPr="00770846">
        <w:rPr>
          <w:rFonts w:asciiTheme="majorHAnsi" w:hAnsiTheme="majorHAnsi" w:cstheme="majorHAnsi"/>
        </w:rPr>
        <w:t xml:space="preserve">the </w:t>
      </w:r>
      <w:r w:rsidR="00DB78E2" w:rsidRPr="00770846">
        <w:rPr>
          <w:rFonts w:asciiTheme="majorHAnsi" w:hAnsiTheme="majorHAnsi" w:cstheme="majorHAnsi"/>
        </w:rPr>
        <w:t xml:space="preserve">interpretation of </w:t>
      </w:r>
      <w:r w:rsidR="00EC3D87" w:rsidRPr="00770846">
        <w:rPr>
          <w:rFonts w:asciiTheme="majorHAnsi" w:hAnsiTheme="majorHAnsi" w:cstheme="majorHAnsi"/>
        </w:rPr>
        <w:t xml:space="preserve">preclinical data must be </w:t>
      </w:r>
      <w:r w:rsidR="00DB78E2" w:rsidRPr="00770846">
        <w:rPr>
          <w:rFonts w:asciiTheme="majorHAnsi" w:hAnsiTheme="majorHAnsi" w:cstheme="majorHAnsi"/>
        </w:rPr>
        <w:t>performed with</w:t>
      </w:r>
      <w:r w:rsidR="000E43C4" w:rsidRPr="00770846">
        <w:rPr>
          <w:rFonts w:asciiTheme="majorHAnsi" w:hAnsiTheme="majorHAnsi" w:cstheme="majorHAnsi"/>
        </w:rPr>
        <w:t xml:space="preserve"> caution</w:t>
      </w:r>
      <w:r w:rsidR="00367141" w:rsidRPr="00770846">
        <w:rPr>
          <w:rFonts w:asciiTheme="majorHAnsi" w:hAnsiTheme="majorHAnsi" w:cstheme="majorHAnsi"/>
        </w:rPr>
        <w:t>,</w:t>
      </w:r>
      <w:r w:rsidR="00EC3D87" w:rsidRPr="00770846">
        <w:rPr>
          <w:rFonts w:asciiTheme="majorHAnsi" w:hAnsiTheme="majorHAnsi" w:cstheme="majorHAnsi"/>
        </w:rPr>
        <w:t xml:space="preserve"> and </w:t>
      </w:r>
      <w:r w:rsidR="00DB78E2" w:rsidRPr="00770846">
        <w:rPr>
          <w:rFonts w:asciiTheme="majorHAnsi" w:hAnsiTheme="majorHAnsi" w:cstheme="majorHAnsi"/>
        </w:rPr>
        <w:t>drawbacks</w:t>
      </w:r>
      <w:r w:rsidR="00EC3D87" w:rsidRPr="00770846">
        <w:rPr>
          <w:rFonts w:asciiTheme="majorHAnsi" w:hAnsiTheme="majorHAnsi" w:cstheme="majorHAnsi"/>
        </w:rPr>
        <w:t xml:space="preserve"> of these preclinical setups have to be considered</w:t>
      </w:r>
      <w:r w:rsidR="00EC3D87"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{"citationItems":[{"id":"ITEM-1","itemData":{"DOI":"10.1259/bjr.20140634","ISSN":"1748880X","PMID":"25387486","abstract":"Radiation biology is being transformed by the implementation of small animal image-guided precision radiotherapy into pre-clinical research programmes worldwide. We report on the current status and developments of the small animal radiotherapy field, suggest criteria for the design and execution of effective studies and contend that this powerful emerging technology, used in combination with relevant small animal models, holds much promise for translational impact in radiation oncology.","author":[{"dropping-particle":"","family":"Butterworth","given":"Karl T.","non-dropping-particle":"","parse-names":false,"suffix":""},{"dropping-particle":"","family":"Prise","given":"K. M.","non-dropping-particle":"","parse-names":false,"suffix":""},{"dropping-particle":"","family":"Verhaegen","given":"F.","non-dropping-particle":"","parse-names":false,"suffix":""}],"container-title":"British Journal of Radiology","id":"ITEM-1","issue":"1045","issued":{"date-parts":[["2015"]]},"page":"4-6","title":"Small animal image-guided radiotherapy: Status, considerations and potential for translational impact","type":"article-journal","volume":"88"},"uris":["http://www.mendeley.com/documents/?uuid=248c9fe8-7a10-4621-9c60-f6fc07c7e3dc","http://www.mendeley.com/documents/?uuid=9178f714-cefa-4376-9cff-16032bdbee98"]}],"mendeley":{"formattedCitation":"&lt;sup&gt;14&lt;/sup&gt;","plainTextFormattedCitation":"14","previouslyFormattedCitation":"&lt;sup&gt;14&lt;/sup&gt;"},"properties":{"noteIndex":0},"schema":"https://github.com/citation-style-language/schema/raw/master/csl-citation.json"}</w:instrText>
      </w:r>
      <w:r w:rsidR="00EC3D87"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14</w:t>
      </w:r>
      <w:r w:rsidR="00EC3D87" w:rsidRPr="00770846">
        <w:rPr>
          <w:rFonts w:asciiTheme="majorHAnsi" w:hAnsiTheme="majorHAnsi" w:cstheme="majorHAnsi"/>
        </w:rPr>
        <w:fldChar w:fldCharType="end"/>
      </w:r>
      <w:r w:rsidR="00EC3D87" w:rsidRPr="00770846">
        <w:rPr>
          <w:rFonts w:asciiTheme="majorHAnsi" w:hAnsiTheme="majorHAnsi" w:cstheme="majorHAnsi"/>
        </w:rPr>
        <w:t>.</w:t>
      </w:r>
      <w:r w:rsidR="00A11B4C" w:rsidRPr="00770846">
        <w:rPr>
          <w:rFonts w:asciiTheme="majorHAnsi" w:hAnsiTheme="majorHAnsi" w:cstheme="majorHAnsi"/>
        </w:rPr>
        <w:t xml:space="preserve"> </w:t>
      </w:r>
    </w:p>
    <w:p w14:paraId="5432A0F5" w14:textId="77777777" w:rsidR="00471063" w:rsidRPr="00770846" w:rsidRDefault="00471063" w:rsidP="00770846">
      <w:pPr>
        <w:rPr>
          <w:rFonts w:asciiTheme="majorHAnsi" w:hAnsiTheme="majorHAnsi" w:cstheme="majorHAnsi"/>
        </w:rPr>
      </w:pPr>
    </w:p>
    <w:p w14:paraId="7AB519AE" w14:textId="0645AC02" w:rsidR="00173036" w:rsidRPr="00770846" w:rsidRDefault="00BD7A6E" w:rsidP="00770846">
      <w:pPr>
        <w:rPr>
          <w:rFonts w:asciiTheme="majorHAnsi" w:hAnsiTheme="majorHAnsi" w:cstheme="majorHAnsi"/>
        </w:rPr>
      </w:pPr>
      <w:r w:rsidRPr="00770846">
        <w:rPr>
          <w:rFonts w:asciiTheme="majorHAnsi" w:hAnsiTheme="majorHAnsi" w:cstheme="majorHAnsi"/>
        </w:rPr>
        <w:t>Micro-irradiation systems</w:t>
      </w:r>
      <w:r w:rsidR="00444487" w:rsidRPr="00770846">
        <w:rPr>
          <w:rFonts w:asciiTheme="majorHAnsi" w:hAnsiTheme="majorHAnsi" w:cstheme="majorHAnsi"/>
        </w:rPr>
        <w:t>, such as the Small Animal Radiation Research Platform</w:t>
      </w:r>
      <w:r w:rsidR="00684DEC" w:rsidRPr="00770846">
        <w:rPr>
          <w:rFonts w:asciiTheme="majorHAnsi" w:hAnsiTheme="majorHAnsi" w:cstheme="majorHAnsi"/>
        </w:rPr>
        <w:t xml:space="preserve"> (SARRP)</w:t>
      </w:r>
      <w:r w:rsidR="00444487" w:rsidRPr="00770846">
        <w:rPr>
          <w:rFonts w:asciiTheme="majorHAnsi" w:hAnsiTheme="majorHAnsi" w:cstheme="majorHAnsi"/>
        </w:rPr>
        <w:t xml:space="preserve">, are equipped with similar technologies </w:t>
      </w:r>
      <w:r w:rsidR="00F04A9C" w:rsidRPr="00770846">
        <w:rPr>
          <w:rFonts w:asciiTheme="majorHAnsi" w:hAnsiTheme="majorHAnsi" w:cstheme="majorHAnsi"/>
        </w:rPr>
        <w:t>as</w:t>
      </w:r>
      <w:r w:rsidR="002D5542" w:rsidRPr="00770846">
        <w:rPr>
          <w:rFonts w:asciiTheme="majorHAnsi" w:hAnsiTheme="majorHAnsi" w:cstheme="majorHAnsi"/>
        </w:rPr>
        <w:t xml:space="preserve"> their clinical counterpart. They include on-board cone-beam </w:t>
      </w:r>
      <w:r w:rsidR="008C030B" w:rsidRPr="00770846">
        <w:rPr>
          <w:rFonts w:asciiTheme="majorHAnsi" w:hAnsiTheme="majorHAnsi" w:cstheme="majorHAnsi"/>
        </w:rPr>
        <w:t>CT</w:t>
      </w:r>
      <w:r w:rsidR="002D5542" w:rsidRPr="00770846">
        <w:rPr>
          <w:rFonts w:asciiTheme="majorHAnsi" w:hAnsiTheme="majorHAnsi" w:cstheme="majorHAnsi"/>
        </w:rPr>
        <w:t xml:space="preserve"> (CBCT) imaging</w:t>
      </w:r>
      <w:r w:rsidR="009D462D" w:rsidRPr="00770846">
        <w:rPr>
          <w:rFonts w:asciiTheme="majorHAnsi" w:hAnsiTheme="majorHAnsi" w:cstheme="majorHAnsi"/>
        </w:rPr>
        <w:t>,</w:t>
      </w:r>
      <w:r w:rsidR="002D5542" w:rsidRPr="00770846">
        <w:rPr>
          <w:rFonts w:asciiTheme="majorHAnsi" w:hAnsiTheme="majorHAnsi" w:cstheme="majorHAnsi"/>
        </w:rPr>
        <w:t xml:space="preserve"> a </w:t>
      </w:r>
      <w:r w:rsidR="006811C2" w:rsidRPr="00770846">
        <w:rPr>
          <w:rFonts w:asciiTheme="majorHAnsi" w:hAnsiTheme="majorHAnsi" w:cstheme="majorHAnsi"/>
        </w:rPr>
        <w:t xml:space="preserve">preclinical </w:t>
      </w:r>
      <w:r w:rsidR="002D5542" w:rsidRPr="00770846">
        <w:rPr>
          <w:rFonts w:asciiTheme="majorHAnsi" w:hAnsiTheme="majorHAnsi" w:cstheme="majorHAnsi"/>
        </w:rPr>
        <w:t>treatment</w:t>
      </w:r>
      <w:r w:rsidR="002316EF" w:rsidRPr="00770846">
        <w:rPr>
          <w:rFonts w:asciiTheme="majorHAnsi" w:hAnsiTheme="majorHAnsi" w:cstheme="majorHAnsi"/>
        </w:rPr>
        <w:t>-</w:t>
      </w:r>
      <w:r w:rsidR="002D5542" w:rsidRPr="00770846">
        <w:rPr>
          <w:rFonts w:asciiTheme="majorHAnsi" w:hAnsiTheme="majorHAnsi" w:cstheme="majorHAnsi"/>
        </w:rPr>
        <w:t>planning system (</w:t>
      </w:r>
      <w:r w:rsidR="006811C2" w:rsidRPr="00770846">
        <w:rPr>
          <w:rFonts w:asciiTheme="majorHAnsi" w:hAnsiTheme="majorHAnsi" w:cstheme="majorHAnsi"/>
        </w:rPr>
        <w:t>PC</w:t>
      </w:r>
      <w:r w:rsidR="002D5542" w:rsidRPr="00770846">
        <w:rPr>
          <w:rFonts w:asciiTheme="majorHAnsi" w:hAnsiTheme="majorHAnsi" w:cstheme="majorHAnsi"/>
        </w:rPr>
        <w:t>TPS)</w:t>
      </w:r>
      <w:r w:rsidR="00F847C0" w:rsidRPr="00770846">
        <w:rPr>
          <w:rFonts w:asciiTheme="majorHAnsi" w:hAnsiTheme="majorHAnsi" w:cstheme="majorHAnsi"/>
        </w:rPr>
        <w:t>,</w:t>
      </w:r>
      <w:r w:rsidR="009D462D" w:rsidRPr="00770846">
        <w:rPr>
          <w:rFonts w:asciiTheme="majorHAnsi" w:hAnsiTheme="majorHAnsi" w:cstheme="majorHAnsi"/>
        </w:rPr>
        <w:t xml:space="preserve"> and</w:t>
      </w:r>
      <w:r w:rsidR="00262BFA" w:rsidRPr="00770846">
        <w:rPr>
          <w:rFonts w:asciiTheme="majorHAnsi" w:hAnsiTheme="majorHAnsi" w:cstheme="majorHAnsi"/>
        </w:rPr>
        <w:t xml:space="preserve"> provide sub-millimet</w:t>
      </w:r>
      <w:r w:rsidR="00F847C0" w:rsidRPr="00770846">
        <w:rPr>
          <w:rFonts w:asciiTheme="majorHAnsi" w:hAnsiTheme="majorHAnsi" w:cstheme="majorHAnsi"/>
        </w:rPr>
        <w:t>er</w:t>
      </w:r>
      <w:r w:rsidR="00262BFA" w:rsidRPr="00770846">
        <w:rPr>
          <w:rFonts w:asciiTheme="majorHAnsi" w:hAnsiTheme="majorHAnsi" w:cstheme="majorHAnsi"/>
        </w:rPr>
        <w:t xml:space="preserve"> precision. </w:t>
      </w:r>
      <w:r w:rsidR="001366CD" w:rsidRPr="00770846">
        <w:rPr>
          <w:rFonts w:asciiTheme="majorHAnsi" w:hAnsiTheme="majorHAnsi" w:cstheme="majorHAnsi"/>
        </w:rPr>
        <w:t>Clinical</w:t>
      </w:r>
      <w:r w:rsidR="00FE7BA8" w:rsidRPr="00770846">
        <w:rPr>
          <w:rFonts w:asciiTheme="majorHAnsi" w:hAnsiTheme="majorHAnsi" w:cstheme="majorHAnsi"/>
        </w:rPr>
        <w:t xml:space="preserve"> dose calculations are </w:t>
      </w:r>
      <w:r w:rsidR="00E563EE" w:rsidRPr="00770846">
        <w:rPr>
          <w:rFonts w:asciiTheme="majorHAnsi" w:hAnsiTheme="majorHAnsi" w:cstheme="majorHAnsi"/>
        </w:rPr>
        <w:t xml:space="preserve">performed </w:t>
      </w:r>
      <w:r w:rsidR="00FE7BA8" w:rsidRPr="00770846">
        <w:rPr>
          <w:rFonts w:asciiTheme="majorHAnsi" w:hAnsiTheme="majorHAnsi" w:cstheme="majorHAnsi"/>
        </w:rPr>
        <w:t>by inverse treatment planning, whereby</w:t>
      </w:r>
      <w:r w:rsidR="00F37CA5" w:rsidRPr="00770846">
        <w:rPr>
          <w:rFonts w:asciiTheme="majorHAnsi" w:hAnsiTheme="majorHAnsi" w:cstheme="majorHAnsi"/>
        </w:rPr>
        <w:t xml:space="preserve"> one </w:t>
      </w:r>
      <w:r w:rsidR="001366CD" w:rsidRPr="00770846">
        <w:rPr>
          <w:rFonts w:asciiTheme="majorHAnsi" w:hAnsiTheme="majorHAnsi" w:cstheme="majorHAnsi"/>
        </w:rPr>
        <w:t>initiates</w:t>
      </w:r>
      <w:r w:rsidR="00F37CA5" w:rsidRPr="00770846">
        <w:rPr>
          <w:rFonts w:asciiTheme="majorHAnsi" w:hAnsiTheme="majorHAnsi" w:cstheme="majorHAnsi"/>
        </w:rPr>
        <w:t xml:space="preserve"> from </w:t>
      </w:r>
      <w:r w:rsidR="00190543" w:rsidRPr="00770846">
        <w:rPr>
          <w:rFonts w:asciiTheme="majorHAnsi" w:hAnsiTheme="majorHAnsi" w:cstheme="majorHAnsi"/>
        </w:rPr>
        <w:t>the</w:t>
      </w:r>
      <w:r w:rsidR="00F37CA5" w:rsidRPr="00770846">
        <w:rPr>
          <w:rFonts w:asciiTheme="majorHAnsi" w:hAnsiTheme="majorHAnsi" w:cstheme="majorHAnsi"/>
        </w:rPr>
        <w:t xml:space="preserve"> desired dose distr</w:t>
      </w:r>
      <w:r w:rsidR="0001708C" w:rsidRPr="00770846">
        <w:rPr>
          <w:rFonts w:asciiTheme="majorHAnsi" w:hAnsiTheme="majorHAnsi" w:cstheme="majorHAnsi"/>
        </w:rPr>
        <w:t>ib</w:t>
      </w:r>
      <w:r w:rsidR="00F37CA5" w:rsidRPr="00770846">
        <w:rPr>
          <w:rFonts w:asciiTheme="majorHAnsi" w:hAnsiTheme="majorHAnsi" w:cstheme="majorHAnsi"/>
        </w:rPr>
        <w:t xml:space="preserve">ution to </w:t>
      </w:r>
      <w:r w:rsidR="001366CD" w:rsidRPr="00770846">
        <w:rPr>
          <w:rFonts w:asciiTheme="majorHAnsi" w:hAnsiTheme="majorHAnsi" w:cstheme="majorHAnsi"/>
        </w:rPr>
        <w:t xml:space="preserve">determine </w:t>
      </w:r>
      <w:r w:rsidR="00F37CA5" w:rsidRPr="00770846">
        <w:rPr>
          <w:rFonts w:asciiTheme="majorHAnsi" w:hAnsiTheme="majorHAnsi" w:cstheme="majorHAnsi"/>
        </w:rPr>
        <w:t>the beams via an iterative algorithm</w:t>
      </w:r>
      <w:r w:rsidR="001366CD" w:rsidRPr="00770846">
        <w:rPr>
          <w:rFonts w:asciiTheme="majorHAnsi" w:hAnsiTheme="majorHAnsi" w:cstheme="majorHAnsi"/>
        </w:rPr>
        <w:t xml:space="preserve">. </w:t>
      </w:r>
      <w:r w:rsidR="000F6962" w:rsidRPr="00770846">
        <w:rPr>
          <w:rFonts w:asciiTheme="majorHAnsi" w:hAnsiTheme="majorHAnsi" w:cstheme="majorHAnsi"/>
        </w:rPr>
        <w:t>P</w:t>
      </w:r>
      <w:r w:rsidR="001366CD" w:rsidRPr="00770846">
        <w:rPr>
          <w:rFonts w:asciiTheme="majorHAnsi" w:hAnsiTheme="majorHAnsi" w:cstheme="majorHAnsi"/>
        </w:rPr>
        <w:t>reclinical</w:t>
      </w:r>
      <w:r w:rsidR="000C5E02" w:rsidRPr="00770846">
        <w:rPr>
          <w:rFonts w:asciiTheme="majorHAnsi" w:hAnsiTheme="majorHAnsi" w:cstheme="majorHAnsi"/>
        </w:rPr>
        <w:t xml:space="preserve"> irradiators often </w:t>
      </w:r>
      <w:r w:rsidR="00086846" w:rsidRPr="00770846">
        <w:rPr>
          <w:rFonts w:asciiTheme="majorHAnsi" w:hAnsiTheme="majorHAnsi" w:cstheme="majorHAnsi"/>
        </w:rPr>
        <w:t>use</w:t>
      </w:r>
      <w:r w:rsidR="000C5E02" w:rsidRPr="00770846">
        <w:rPr>
          <w:rFonts w:asciiTheme="majorHAnsi" w:hAnsiTheme="majorHAnsi" w:cstheme="majorHAnsi"/>
        </w:rPr>
        <w:t xml:space="preserve"> forward planning. In forward planning, the </w:t>
      </w:r>
      <w:r w:rsidR="004E18CE" w:rsidRPr="00770846">
        <w:rPr>
          <w:rFonts w:asciiTheme="majorHAnsi" w:hAnsiTheme="majorHAnsi" w:cstheme="majorHAnsi"/>
        </w:rPr>
        <w:t xml:space="preserve">required </w:t>
      </w:r>
      <w:r w:rsidR="001366CD" w:rsidRPr="00770846">
        <w:rPr>
          <w:rFonts w:asciiTheme="majorHAnsi" w:hAnsiTheme="majorHAnsi" w:cstheme="majorHAnsi"/>
        </w:rPr>
        <w:t>amount</w:t>
      </w:r>
      <w:r w:rsidR="000C5E02" w:rsidRPr="00770846">
        <w:rPr>
          <w:rFonts w:asciiTheme="majorHAnsi" w:hAnsiTheme="majorHAnsi" w:cstheme="majorHAnsi"/>
        </w:rPr>
        <w:t xml:space="preserve"> and angle of </w:t>
      </w:r>
      <w:r w:rsidR="005E5C49" w:rsidRPr="00770846">
        <w:rPr>
          <w:rFonts w:asciiTheme="majorHAnsi" w:hAnsiTheme="majorHAnsi" w:cstheme="majorHAnsi"/>
        </w:rPr>
        <w:t xml:space="preserve">the </w:t>
      </w:r>
      <w:r w:rsidR="000C5E02" w:rsidRPr="00770846">
        <w:rPr>
          <w:rFonts w:asciiTheme="majorHAnsi" w:hAnsiTheme="majorHAnsi" w:cstheme="majorHAnsi"/>
        </w:rPr>
        <w:t>beams</w:t>
      </w:r>
      <w:r w:rsidR="001366CD" w:rsidRPr="00770846">
        <w:rPr>
          <w:rFonts w:asciiTheme="majorHAnsi" w:hAnsiTheme="majorHAnsi" w:cstheme="majorHAnsi"/>
        </w:rPr>
        <w:t xml:space="preserve"> are selected</w:t>
      </w:r>
      <w:r w:rsidR="005E5C49" w:rsidRPr="00770846">
        <w:rPr>
          <w:rFonts w:asciiTheme="majorHAnsi" w:hAnsiTheme="majorHAnsi" w:cstheme="majorHAnsi"/>
        </w:rPr>
        <w:t>, and the PCTPS then calculates</w:t>
      </w:r>
      <w:r w:rsidR="00757CAF" w:rsidRPr="00770846">
        <w:rPr>
          <w:rFonts w:asciiTheme="majorHAnsi" w:hAnsiTheme="majorHAnsi" w:cstheme="majorHAnsi"/>
        </w:rPr>
        <w:t xml:space="preserve"> the dose distribution. </w:t>
      </w:r>
      <w:r w:rsidR="0005786F" w:rsidRPr="00770846">
        <w:rPr>
          <w:rFonts w:asciiTheme="majorHAnsi" w:hAnsiTheme="majorHAnsi" w:cstheme="majorHAnsi"/>
        </w:rPr>
        <w:t>The o</w:t>
      </w:r>
      <w:r w:rsidR="001366CD" w:rsidRPr="00770846">
        <w:rPr>
          <w:rFonts w:asciiTheme="majorHAnsi" w:hAnsiTheme="majorHAnsi" w:cstheme="majorHAnsi"/>
        </w:rPr>
        <w:t>ptimization of the plans is performed by</w:t>
      </w:r>
      <w:r w:rsidR="00757CAF" w:rsidRPr="00770846">
        <w:rPr>
          <w:rFonts w:asciiTheme="majorHAnsi" w:hAnsiTheme="majorHAnsi" w:cstheme="majorHAnsi"/>
        </w:rPr>
        <w:t xml:space="preserve"> manual iteration</w:t>
      </w:r>
      <w:r w:rsidR="00D95D43" w:rsidRPr="00770846">
        <w:rPr>
          <w:rFonts w:asciiTheme="majorHAnsi" w:hAnsiTheme="majorHAnsi" w:cstheme="majorHAnsi"/>
        </w:rPr>
        <w:t>, which is labor</w:t>
      </w:r>
      <w:r w:rsidR="0005786F" w:rsidRPr="00770846">
        <w:rPr>
          <w:rFonts w:asciiTheme="majorHAnsi" w:hAnsiTheme="majorHAnsi" w:cstheme="majorHAnsi"/>
        </w:rPr>
        <w:t>-</w:t>
      </w:r>
      <w:r w:rsidR="00D95D43" w:rsidRPr="00770846">
        <w:rPr>
          <w:rFonts w:asciiTheme="majorHAnsi" w:hAnsiTheme="majorHAnsi" w:cstheme="majorHAnsi"/>
        </w:rPr>
        <w:t>intensive</w:t>
      </w:r>
      <w:r w:rsidR="00E728D9"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{"citationItems":[{"id":"ITEM-1","itemData":{"DOI":"10.1016/j.jnci.2014.03.004","ISSN":"16879996","PMID":"25150127","abstract":"Purpose: Our aim was to investigate if, and to what degree, improvements of IMRT treatment plans generated by forward planning can be achieved with an inverse planning strategy for treatments of head and neck cancer. Methods: Between June 2007 and April 2008, 19 patients with head-and-neck cancers were treated at KAAH and Oncology Center Jeddah, using forward planning intensity modulated radiation therapy (FP-IMRT). They received thirty fractions over six weeks, to simultaneously deliver 66. Gy to the gross tumor (CTV1), 60. Gy to the soft tissue and nodes adjacent to the previous volume (CTV2), and 54. Gy to elective nodes (CTV3). These are biologically equivalent to 70, 60, and 50. Gy, if given 2. Gy per fraction.These were retrospectively re-planned with an inverse planning algorithm (IP-IMRT). The main objective of the optimization process was sparing of the parotid glands, spinal cord, and brainstem beside adequate treatment of the planning target volume. Results: Having 95% and 98% of CTV1 to receive at least 95% and 90% of prescribed dose respectively was fulfilled in all cases in both groups with higher figures in group B (IP-IMRT) than in group A (FR-IMRT), more obvious in CTV2 and CTV3. The average maximum dose to the spinal cord was 45.1. Gy in group A, and 41.6. Gy in group B. The mean dose of both parotid glands was kept below 26. Gy in four patients in group A, but in all cases in group B. Conclusion: IP-IMRT selectively spared critical organs to greater degree with better target coverage and should be considered the standard of treatment in head and neck tumors. © 2014.","author":[{"dropping-particle":"","family":"Nasr","given":"Azza","non-dropping-particle":"","parse-names":false,"suffix":""},{"dropping-particle":"","family":"Habash","given":"Ahmad","non-dropping-particle":"","parse-names":false,"suffix":""}],"container-title":"Journal of the Egyptian National Cancer Institute","id":"ITEM-1","issue":"3","issued":{"date-parts":[["2014"]]},"page":"119-125","publisher":"National Cancer Institute, Cairo University","title":"Dosimetric analytic comparison of inverse and forward planned IMRT techniques in the treatment of head and neck cancer","type":"article-journal","volume":"26"},"uris":["http://www.mendeley.com/documents/?uuid=38bd1763-778c-4428-b8ae-2e7e8b497c30","http://www.mendeley.com/documents/?uuid=e0100d59-f74f-427f-adab-e7ecac7237a7"]}],"mendeley":{"formattedCitation":"&lt;sup&gt;15&lt;/sup&gt;","plainTextFormattedCitation":"15","previouslyFormattedCitation":"&lt;sup&gt;15&lt;/sup&gt;"},"properties":{"noteIndex":0},"schema":"https://github.com/citation-style-language/schema/raw/master/csl-citation.json"}</w:instrText>
      </w:r>
      <w:r w:rsidR="00E728D9"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15</w:t>
      </w:r>
      <w:r w:rsidR="00E728D9" w:rsidRPr="00770846">
        <w:rPr>
          <w:rFonts w:asciiTheme="majorHAnsi" w:hAnsiTheme="majorHAnsi" w:cstheme="majorHAnsi"/>
        </w:rPr>
        <w:fldChar w:fldCharType="end"/>
      </w:r>
      <w:r w:rsidR="009F1A5B" w:rsidRPr="00770846">
        <w:rPr>
          <w:rFonts w:asciiTheme="majorHAnsi" w:hAnsiTheme="majorHAnsi" w:cstheme="majorHAnsi"/>
        </w:rPr>
        <w:t xml:space="preserve">. </w:t>
      </w:r>
    </w:p>
    <w:p w14:paraId="74F3FD4F" w14:textId="77777777" w:rsidR="00173036" w:rsidRPr="00770846" w:rsidRDefault="00173036" w:rsidP="00770846">
      <w:pPr>
        <w:rPr>
          <w:rFonts w:asciiTheme="majorHAnsi" w:hAnsiTheme="majorHAnsi" w:cstheme="majorHAnsi"/>
        </w:rPr>
      </w:pPr>
    </w:p>
    <w:p w14:paraId="63308F52" w14:textId="11D1ECF3" w:rsidR="00211197" w:rsidRPr="00770846" w:rsidRDefault="001366CD" w:rsidP="00770846">
      <w:pPr>
        <w:rPr>
          <w:rFonts w:asciiTheme="majorHAnsi" w:hAnsiTheme="majorHAnsi" w:cstheme="majorHAnsi"/>
        </w:rPr>
      </w:pPr>
      <w:r w:rsidRPr="00770846">
        <w:rPr>
          <w:rFonts w:asciiTheme="majorHAnsi" w:hAnsiTheme="majorHAnsi" w:cstheme="majorHAnsi"/>
        </w:rPr>
        <w:t>After 2009</w:t>
      </w:r>
      <w:r w:rsidR="009F1A5B" w:rsidRPr="00770846">
        <w:rPr>
          <w:rFonts w:asciiTheme="majorHAnsi" w:hAnsiTheme="majorHAnsi" w:cstheme="majorHAnsi"/>
        </w:rPr>
        <w:t xml:space="preserve">, </w:t>
      </w:r>
      <w:r w:rsidRPr="00770846">
        <w:rPr>
          <w:rFonts w:asciiTheme="majorHAnsi" w:hAnsiTheme="majorHAnsi" w:cstheme="majorHAnsi"/>
        </w:rPr>
        <w:t>novel developments have made</w:t>
      </w:r>
      <w:r w:rsidR="00CB553C" w:rsidRPr="00770846">
        <w:rPr>
          <w:rFonts w:asciiTheme="majorHAnsi" w:hAnsiTheme="majorHAnsi" w:cstheme="majorHAnsi"/>
        </w:rPr>
        <w:t xml:space="preserve"> </w:t>
      </w:r>
      <w:r w:rsidR="00275F75" w:rsidRPr="00770846">
        <w:rPr>
          <w:rFonts w:asciiTheme="majorHAnsi" w:hAnsiTheme="majorHAnsi" w:cstheme="majorHAnsi"/>
        </w:rPr>
        <w:t xml:space="preserve">the </w:t>
      </w:r>
      <w:r w:rsidR="00CB553C" w:rsidRPr="00770846">
        <w:rPr>
          <w:rFonts w:asciiTheme="majorHAnsi" w:hAnsiTheme="majorHAnsi" w:cstheme="majorHAnsi"/>
        </w:rPr>
        <w:t>implemen</w:t>
      </w:r>
      <w:r w:rsidRPr="00770846">
        <w:rPr>
          <w:rFonts w:asciiTheme="majorHAnsi" w:hAnsiTheme="majorHAnsi" w:cstheme="majorHAnsi"/>
        </w:rPr>
        <w:t>tation of</w:t>
      </w:r>
      <w:r w:rsidR="00CB553C" w:rsidRPr="00770846">
        <w:rPr>
          <w:rFonts w:asciiTheme="majorHAnsi" w:hAnsiTheme="majorHAnsi" w:cstheme="majorHAnsi"/>
        </w:rPr>
        <w:t xml:space="preserve"> inverse planning on these research platforms</w:t>
      </w:r>
      <w:r w:rsidRPr="00770846">
        <w:rPr>
          <w:rFonts w:asciiTheme="majorHAnsi" w:hAnsiTheme="majorHAnsi" w:cstheme="majorHAnsi"/>
        </w:rPr>
        <w:t xml:space="preserve"> possible</w:t>
      </w:r>
      <w:r w:rsidR="0010220C"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{"citationItems":[{"id":"ITEM-1","itemData":{"DOI":"10.1109/ISBI.2009.5193287","ISBN":"9781424439324","abstract":"The purpose of the Small Animal Radiation Research Platform (SARRP) is to demonstrate computed tomography, conformal irradiation, and treatment planning capabilities for small animals. The SARRP is a portable system for precision irradiation with beam sizes down to approximately 0.5 mm and optimally planned radiation with on-board cone-beam CT (CBCT) guidance. This paper describes the utilization of the precision radiation beam on the SARRP for \"dose painting\" complex structures in the mouse brain. Pencil beam dose painting aims to target the tumor as accurately as possible and give it the highest dose of radiation while sparing normal tissue as much as possible. © 2009 IEEE.","author":[{"dropping-particle":"","family":"Matinfar","given":"Mohammad","non-dropping-particle":"","parse-names":false,"suffix":""},{"dropping-particle":"","family":"Iyer","given":"Santosh","non-dropping-particle":"","parse-names":false,"suffix":""},{"dropping-particle":"","family":"Ford","given":"Eric","non-dropping-particle":"","parse-names":false,"suffix":""},{"dropping-particle":"","family":"Wong","given":"John","non-dropping-particle":"","parse-names":false,"suffix":""},{"dropping-particle":"","family":"Kazanzides","given":"Peter","non-dropping-particle":"","parse-names":false,"suffix":""}],"container-title":"Proceedings - 2009 IEEE International Symposium on Biomedical Imaging: From Nano to Macro, ISBI 2009","id":"ITEM-1","issued":{"date-parts":[["2009"]]},"page":"1243-1246","title":"Image guided complex dose delivery for small animal radiotherapy","type":"article-journal"},"uris":["http://www.mendeley.com/documents/?uuid=fb157655-5ede-4bc6-844d-c2af340ad478","http://www.mendeley.com/documents/?uuid=20f4e03c-efa3-49df-9906-926acbdc4dde"]},{"id":"ITEM-2","itemData":{"DOI":"10.1109/ROBOT.2010.5509898","ISBN":"9781424450381","ISSN":"10504729","abstract":"The Small Animal Radiation Research Platform (SARRP) is a novel and complete system capable of delivering multidirectional (focal), kilo-voltage radiation fields to targets in small animals under robotic control using cone-beam CT (CBCT) image guidance. The capability of the SARRP to deliver highly focused beams to multiple animal models provides new research opportunities that more realistically bridge laboratory research and clinical translation. This paper describes the design and operation of the SARRP for precise radiation delivery. Different delivery procedures are presented which enable the system to radiate through a series of points, representative of a complex shape. A particularly interesting case is shell dose irradiation, where the goal is to deliver a high dose of radiation to the shape surface, with minimal dose to the shape interior. The ability to deliver a dose shell allows mechanistic research of how a tumor interacts with its microenvironment to sustain its growth and lead to its resistance or recurrence. ©2010 IEEE.","author":[{"dropping-particle":"","family":"Matinfar","given":"Mohammad","non-dropping-particle":"","parse-names":false,"suffix":""},{"dropping-particle":"","family":"Iordachita","given":"Iulian","non-dropping-particle":"","parse-names":false,"suffix":""},{"dropping-particle":"","family":"Wong","given":"John","non-dropping-particle":"","parse-names":false,"suffix":""},{"dropping-particle":"","family":"Kazanzides","given":"Peter","non-dropping-particle":"","parse-names":false,"suffix":""}],"container-title":"Proceedings - IEEE International Conference on Robotics and Automation","id":"ITEM-2","issued":{"date-parts":[["2010"]]},"page":"2056-2061","title":"Robotic delivery of complex radiation volumes for small animal research","type":"article-journal"},"uris":["http://www.mendeley.com/documents/?uuid=22cd22ec-c846-4fb8-b3e2-3f18598ac98e","http://www.mendeley.com/documents/?uuid=9ae6b1b4-f4ad-4b79-96d7-b2fd4a03ad21"]},{"id":"ITEM-3","itemData":{"DOI":"10.1088/0031-9155/60/14/5681","ISSN":"13616560","PMID":"26147184","abstract":"Advances in precision small animal radiotherapy hardware enable the delivery of increasingly complicated dose distributions on the millimeter scale. Manual creation and evaluation of treatment plans becomes difficult or even infeasible with an increasing number of degrees of freedom for dose delivery and available image data. The goal of this work is to develop an optimisation model that determines beam-on times for a given beam configuration, and to assess the feasibility and benefits of an automated treatment planning system for small animal radiotherapy. The developed model determines a Pareto optimal solution using operator-defined weights for a multiple-objective treatment planning problem. An interactive approach allows the planner to navigate towards, and to select the Pareto optimal treatment plan that yields the most preferred trade-off of the conflicting objectives. This model was evaluated using four small animal cases based on cone-beam computed tomography images. Resulting treatment plan quality was compared to the quality of manually optimised treatment plans using dose-volume histograms and metrics. Results show that the developed framework is well capable of optimising beam-on times for 3D dose distributions and offers several advantages over manual treatment plan optimisation. For all cases but the simple flank tumour case, a similar amount of time was needed for manual and automated beam-on time optimisation. In this time frame, manual optimisation generates a single treatment plan, while the inverse planning system yields a set of Pareto optimal solutions which provides quantitative insight on the sensitivity of conflicting objectives. Treatment planning automation decreases the dependence on operator experience and allows for the use of class solutions for similar treatment scenarios. This can shorten the time required for treatment planning and therefore increase animal throughput. In addition, this can improve treatment standardisation and comparability of research data within studies and among different institutes.","author":[{"dropping-particle":"","family":"Balvert","given":"Marleen","non-dropping-particle":"","parse-names":false,"suffix":""},{"dropping-particle":"","family":"Hoof","given":"Stefan J.","non-dropping-particle":"Van","parse-names":false,"suffix":""},{"dropping-particle":"V.","family":"Granton","given":"Patrick","non-dropping-particle":"","parse-names":false,"suffix":""},{"dropping-particle":"","family":"Trani","given":"Daniela","non-dropping-particle":"","parse-names":false,"suffix":""},{"dropping-particle":"","family":"Hertog","given":"Dick","non-dropping-particle":"Den","parse-names":false,"suffix":""},{"dropping-particle":"","family":"Hoffmann","given":"Aswin L.","non-dropping-particle":"","parse-names":false,"suffix":""},{"dropping-particle":"","family":"Verhaegen","given":"Frank","non-dropping-particle":"","parse-names":false,"suffix":""}],"container-title":"Physics in Medicine and Biology","id":"ITEM-3","issue":"14","issued":{"date-parts":[["2015"]]},"page":"5681-5698","publisher":"IOP Publishing","title":"A framework for inverse planning of beam-on times for 3D small animal radiotherapy using interactive multi-objective optimisation","type":"article-journal","volume":"60"},"uris":["http://www.mendeley.com/documents/?uuid=84b9c3f2-7b43-4c12-80d3-08e9c4a0e640","http://www.mendeley.com/documents/?uuid=0ae0a177-1587-4c3a-8337-65ad126dd5e2"]}],"mendeley":{"formattedCitation":"&lt;sup&gt;16–18&lt;/sup&gt;","plainTextFormattedCitation":"16–18","previouslyFormattedCitation":"&lt;sup&gt;16–18&lt;/sup&gt;"},"properties":{"noteIndex":0},"schema":"https://github.com/citation-style-language/schema/raw/master/csl-citation.json"}</w:instrText>
      </w:r>
      <w:r w:rsidR="0010220C"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16–18</w:t>
      </w:r>
      <w:r w:rsidR="0010220C" w:rsidRPr="00770846">
        <w:rPr>
          <w:rFonts w:asciiTheme="majorHAnsi" w:hAnsiTheme="majorHAnsi" w:cstheme="majorHAnsi"/>
        </w:rPr>
        <w:fldChar w:fldCharType="end"/>
      </w:r>
      <w:r w:rsidR="00A17DE5" w:rsidRPr="00770846">
        <w:rPr>
          <w:rFonts w:asciiTheme="majorHAnsi" w:hAnsiTheme="majorHAnsi" w:cstheme="majorHAnsi"/>
        </w:rPr>
        <w:t xml:space="preserve">. </w:t>
      </w:r>
      <w:r w:rsidR="00275F75" w:rsidRPr="00770846">
        <w:rPr>
          <w:rFonts w:asciiTheme="majorHAnsi" w:hAnsiTheme="majorHAnsi" w:cstheme="majorHAnsi"/>
        </w:rPr>
        <w:t>T</w:t>
      </w:r>
      <w:r w:rsidRPr="00770846">
        <w:rPr>
          <w:rFonts w:asciiTheme="majorHAnsi" w:hAnsiTheme="majorHAnsi" w:cstheme="majorHAnsi"/>
        </w:rPr>
        <w:t>o</w:t>
      </w:r>
      <w:r w:rsidR="00A17DE5" w:rsidRPr="00770846">
        <w:rPr>
          <w:rFonts w:asciiTheme="majorHAnsi" w:hAnsiTheme="majorHAnsi" w:cstheme="majorHAnsi"/>
        </w:rPr>
        <w:t xml:space="preserve"> increase </w:t>
      </w:r>
      <w:r w:rsidR="00971A25" w:rsidRPr="00770846">
        <w:rPr>
          <w:rFonts w:asciiTheme="majorHAnsi" w:hAnsiTheme="majorHAnsi" w:cstheme="majorHAnsi"/>
        </w:rPr>
        <w:t xml:space="preserve">the </w:t>
      </w:r>
      <w:r w:rsidR="00564346" w:rsidRPr="00770846">
        <w:rPr>
          <w:rFonts w:asciiTheme="majorHAnsi" w:hAnsiTheme="majorHAnsi" w:cstheme="majorHAnsi"/>
        </w:rPr>
        <w:t>similarity</w:t>
      </w:r>
      <w:r w:rsidR="00A17DE5" w:rsidRPr="00770846">
        <w:rPr>
          <w:rFonts w:asciiTheme="majorHAnsi" w:hAnsiTheme="majorHAnsi" w:cstheme="majorHAnsi"/>
        </w:rPr>
        <w:t xml:space="preserve"> with the clin</w:t>
      </w:r>
      <w:r w:rsidRPr="00770846">
        <w:rPr>
          <w:rFonts w:asciiTheme="majorHAnsi" w:hAnsiTheme="majorHAnsi" w:cstheme="majorHAnsi"/>
        </w:rPr>
        <w:t>ic</w:t>
      </w:r>
      <w:r w:rsidR="00B469E6" w:rsidRPr="00770846">
        <w:rPr>
          <w:rFonts w:asciiTheme="majorHAnsi" w:hAnsiTheme="majorHAnsi" w:cstheme="majorHAnsi"/>
        </w:rPr>
        <w:t>al method</w:t>
      </w:r>
      <w:r w:rsidR="00A17DE5" w:rsidRPr="00770846">
        <w:rPr>
          <w:rFonts w:asciiTheme="majorHAnsi" w:hAnsiTheme="majorHAnsi" w:cstheme="majorHAnsi"/>
        </w:rPr>
        <w:t xml:space="preserve">, a motorized variable rectangular collimator </w:t>
      </w:r>
      <w:r w:rsidR="006E48E8" w:rsidRPr="00770846">
        <w:rPr>
          <w:rFonts w:asciiTheme="majorHAnsi" w:hAnsiTheme="majorHAnsi" w:cstheme="majorHAnsi"/>
        </w:rPr>
        <w:t xml:space="preserve">(MVC) </w:t>
      </w:r>
      <w:r w:rsidR="00A17DE5" w:rsidRPr="00770846">
        <w:rPr>
          <w:rFonts w:asciiTheme="majorHAnsi" w:hAnsiTheme="majorHAnsi" w:cstheme="majorHAnsi"/>
        </w:rPr>
        <w:t xml:space="preserve">was developed </w:t>
      </w:r>
      <w:r w:rsidR="00300136" w:rsidRPr="00770846">
        <w:rPr>
          <w:rFonts w:asciiTheme="majorHAnsi" w:hAnsiTheme="majorHAnsi" w:cstheme="majorHAnsi"/>
        </w:rPr>
        <w:t>as a</w:t>
      </w:r>
      <w:r w:rsidR="00A17DE5" w:rsidRPr="00770846">
        <w:rPr>
          <w:rFonts w:asciiTheme="majorHAnsi" w:hAnsiTheme="majorHAnsi" w:cstheme="majorHAnsi"/>
        </w:rPr>
        <w:t xml:space="preserve"> preclinical counterpart of the multi-leaf collimator. </w:t>
      </w:r>
      <w:r w:rsidRPr="00770846">
        <w:rPr>
          <w:rFonts w:asciiTheme="majorHAnsi" w:hAnsiTheme="majorHAnsi" w:cstheme="majorHAnsi"/>
        </w:rPr>
        <w:t xml:space="preserve">A </w:t>
      </w:r>
      <w:r w:rsidR="00B469E6" w:rsidRPr="00770846">
        <w:rPr>
          <w:rFonts w:asciiTheme="majorHAnsi" w:hAnsiTheme="majorHAnsi" w:cstheme="majorHAnsi"/>
        </w:rPr>
        <w:t>two-dimensional</w:t>
      </w:r>
      <w:r w:rsidRPr="00770846">
        <w:rPr>
          <w:rFonts w:asciiTheme="majorHAnsi" w:hAnsiTheme="majorHAnsi" w:cstheme="majorHAnsi"/>
        </w:rPr>
        <w:t xml:space="preserve"> dose painting method utilizing a variable collimator was published by Cho et al.</w:t>
      </w:r>
      <w:r w:rsidR="00A83C63"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{"citationItems":[{"id":"ITEM-1","itemData":{"abstract":"The goal of radiation treatment is to irradiate cancer cells (i.e., a target region) without destroying adjacent healthy tissue. Thus, it is advantageous to form the beam so that it best approximates the target, thereby reducing the amount of dose absorbed in critical regions outside the target area. While multi-leaf collimators are common in human clinical systems, small animal radiotherapy systems are typically limited to a set of fixed-size collimators. For these systems, dose painting can be used for conformal dose delivery, but is significantly slower than a multi-leaf collimator. As a compromise solution, a variable rectangular collimator has been developed for the Small Animal Radiation Research Platform (SARRP). This enables more efficient dose painting via the decomposition of a 2D target region into a minimum number of rectangles of variable size, which is the topic of this paper. The proposed method consists of several distinct steps and was implemented on the SARRP Treatment Planning System (TPS).","author":[{"dropping-particle":"","family":"Cho","given":"Nathan B","non-dropping-particle":"","parse-names":false,"suffix":""},{"dropping-particle":"","family":"Wong","given":"John","non-dropping-particle":"","parse-names":false,"suffix":""},{"dropping-particle":"","family":"Kazanzides","given":"Peter","non-dropping-particle":"","parse-names":false,"suffix":""}],"container-title":"Midas","id":"ITEM-1","issued":{"date-parts":[["2014"]]},"page":"1-8","title":"Dose Painting with a Variable Collimator for the Small Animal Radiation Research Platform (SARRP)","type":"article-journal"},"uris":["http://www.mendeley.com/documents/?uuid=381a98c8-f420-44af-9b21-64b9aa1b4572","http://www.mendeley.com/documents/?uuid=0e60b00e-06b0-4d58-a8d2-48a407399689"]}],"mendeley":{"formattedCitation":"&lt;sup&gt;19&lt;/sup&gt;","plainTextFormattedCitation":"19","previouslyFormattedCitation":"&lt;sup&gt;19&lt;/sup&gt;"},"properties":{"noteIndex":0},"schema":"https://github.com/citation-style-language/schema/raw/master/csl-citation.json"}</w:instrText>
      </w:r>
      <w:r w:rsidR="00A83C63"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19</w:t>
      </w:r>
      <w:r w:rsidR="00A83C63" w:rsidRPr="00770846">
        <w:rPr>
          <w:rFonts w:asciiTheme="majorHAnsi" w:hAnsiTheme="majorHAnsi" w:cstheme="majorHAnsi"/>
        </w:rPr>
        <w:fldChar w:fldCharType="end"/>
      </w:r>
      <w:r w:rsidR="00842600" w:rsidRPr="00770846">
        <w:rPr>
          <w:rFonts w:asciiTheme="majorHAnsi" w:hAnsiTheme="majorHAnsi" w:cstheme="majorHAnsi"/>
        </w:rPr>
        <w:t xml:space="preserve">. </w:t>
      </w:r>
      <w:r w:rsidRPr="00770846">
        <w:rPr>
          <w:rFonts w:asciiTheme="majorHAnsi" w:hAnsiTheme="majorHAnsi" w:cstheme="majorHAnsi"/>
        </w:rPr>
        <w:t>T</w:t>
      </w:r>
      <w:r w:rsidR="00842600" w:rsidRPr="00770846">
        <w:rPr>
          <w:rFonts w:asciiTheme="majorHAnsi" w:hAnsiTheme="majorHAnsi" w:cstheme="majorHAnsi"/>
        </w:rPr>
        <w:t>h</w:t>
      </w:r>
      <w:r w:rsidRPr="00770846">
        <w:rPr>
          <w:rFonts w:asciiTheme="majorHAnsi" w:hAnsiTheme="majorHAnsi" w:cstheme="majorHAnsi"/>
        </w:rPr>
        <w:t>is</w:t>
      </w:r>
      <w:r w:rsidR="00842600" w:rsidRPr="00770846">
        <w:rPr>
          <w:rFonts w:asciiTheme="majorHAnsi" w:hAnsiTheme="majorHAnsi" w:cstheme="majorHAnsi"/>
        </w:rPr>
        <w:t xml:space="preserve"> </w:t>
      </w:r>
      <w:r w:rsidRPr="00770846">
        <w:rPr>
          <w:rFonts w:asciiTheme="majorHAnsi" w:hAnsiTheme="majorHAnsi" w:cstheme="majorHAnsi"/>
        </w:rPr>
        <w:t>research</w:t>
      </w:r>
      <w:r w:rsidR="00A10864" w:rsidRPr="00770846">
        <w:rPr>
          <w:rFonts w:asciiTheme="majorHAnsi" w:hAnsiTheme="majorHAnsi" w:cstheme="majorHAnsi"/>
        </w:rPr>
        <w:t xml:space="preserve"> </w:t>
      </w:r>
      <w:r w:rsidR="00842600" w:rsidRPr="00770846">
        <w:rPr>
          <w:rFonts w:asciiTheme="majorHAnsi" w:hAnsiTheme="majorHAnsi" w:cstheme="majorHAnsi"/>
        </w:rPr>
        <w:t xml:space="preserve">group implemented a </w:t>
      </w:r>
      <w:r w:rsidR="00DD7791" w:rsidRPr="00770846">
        <w:rPr>
          <w:rFonts w:asciiTheme="majorHAnsi" w:hAnsiTheme="majorHAnsi" w:cstheme="majorHAnsi"/>
        </w:rPr>
        <w:t>three-dimensional (</w:t>
      </w:r>
      <w:r w:rsidR="00842600" w:rsidRPr="00770846">
        <w:rPr>
          <w:rFonts w:asciiTheme="majorHAnsi" w:hAnsiTheme="majorHAnsi" w:cstheme="majorHAnsi"/>
        </w:rPr>
        <w:t>3D</w:t>
      </w:r>
      <w:r w:rsidR="00DD7791" w:rsidRPr="00770846">
        <w:rPr>
          <w:rFonts w:asciiTheme="majorHAnsi" w:hAnsiTheme="majorHAnsi" w:cstheme="majorHAnsi"/>
        </w:rPr>
        <w:t>)</w:t>
      </w:r>
      <w:r w:rsidR="00842600" w:rsidRPr="00770846">
        <w:rPr>
          <w:rFonts w:asciiTheme="majorHAnsi" w:hAnsiTheme="majorHAnsi" w:cstheme="majorHAnsi"/>
        </w:rPr>
        <w:t xml:space="preserve"> inverse treatment</w:t>
      </w:r>
      <w:r w:rsidR="002316EF" w:rsidRPr="00770846">
        <w:rPr>
          <w:rFonts w:asciiTheme="majorHAnsi" w:hAnsiTheme="majorHAnsi" w:cstheme="majorHAnsi"/>
        </w:rPr>
        <w:t>-</w:t>
      </w:r>
      <w:r w:rsidR="00842600" w:rsidRPr="00770846">
        <w:rPr>
          <w:rFonts w:asciiTheme="majorHAnsi" w:hAnsiTheme="majorHAnsi" w:cstheme="majorHAnsi"/>
        </w:rPr>
        <w:t>planning pr</w:t>
      </w:r>
      <w:r w:rsidRPr="00770846">
        <w:rPr>
          <w:rFonts w:asciiTheme="majorHAnsi" w:hAnsiTheme="majorHAnsi" w:cstheme="majorHAnsi"/>
        </w:rPr>
        <w:t>otocol</w:t>
      </w:r>
      <w:r w:rsidR="00842600" w:rsidRPr="00770846">
        <w:rPr>
          <w:rFonts w:asciiTheme="majorHAnsi" w:hAnsiTheme="majorHAnsi" w:cstheme="majorHAnsi"/>
        </w:rPr>
        <w:t xml:space="preserve"> on a micro-irradiator and </w:t>
      </w:r>
      <w:r w:rsidRPr="00770846">
        <w:rPr>
          <w:rFonts w:asciiTheme="majorHAnsi" w:hAnsiTheme="majorHAnsi" w:cstheme="majorHAnsi"/>
        </w:rPr>
        <w:t>determined</w:t>
      </w:r>
      <w:r w:rsidR="00842600" w:rsidRPr="00770846">
        <w:rPr>
          <w:rFonts w:asciiTheme="majorHAnsi" w:hAnsiTheme="majorHAnsi" w:cstheme="majorHAnsi"/>
        </w:rPr>
        <w:t xml:space="preserve"> minimum </w:t>
      </w:r>
      <w:r w:rsidRPr="00770846">
        <w:rPr>
          <w:rFonts w:asciiTheme="majorHAnsi" w:hAnsiTheme="majorHAnsi" w:cstheme="majorHAnsi"/>
        </w:rPr>
        <w:t xml:space="preserve">and maximum </w:t>
      </w:r>
      <w:r w:rsidR="00842600" w:rsidRPr="00770846">
        <w:rPr>
          <w:rFonts w:asciiTheme="majorHAnsi" w:hAnsiTheme="majorHAnsi" w:cstheme="majorHAnsi"/>
        </w:rPr>
        <w:t>dose</w:t>
      </w:r>
      <w:r w:rsidR="00E52F0B" w:rsidRPr="00770846">
        <w:rPr>
          <w:rFonts w:asciiTheme="majorHAnsi" w:hAnsiTheme="majorHAnsi" w:cstheme="majorHAnsi"/>
        </w:rPr>
        <w:t>s</w:t>
      </w:r>
      <w:r w:rsidR="00842600" w:rsidRPr="00770846">
        <w:rPr>
          <w:rFonts w:asciiTheme="majorHAnsi" w:hAnsiTheme="majorHAnsi" w:cstheme="majorHAnsi"/>
        </w:rPr>
        <w:t xml:space="preserve"> for the target volume </w:t>
      </w:r>
      <w:r w:rsidR="00C230AB" w:rsidRPr="00770846">
        <w:rPr>
          <w:rFonts w:asciiTheme="majorHAnsi" w:hAnsiTheme="majorHAnsi" w:cstheme="majorHAnsi"/>
        </w:rPr>
        <w:t>and a maximum dose for the organs at risk. These techniques have m</w:t>
      </w:r>
      <w:r w:rsidR="00DB3610" w:rsidRPr="00770846">
        <w:rPr>
          <w:rFonts w:asciiTheme="majorHAnsi" w:hAnsiTheme="majorHAnsi" w:cstheme="majorHAnsi"/>
        </w:rPr>
        <w:t>ainly</w:t>
      </w:r>
      <w:r w:rsidR="00C230AB" w:rsidRPr="00770846">
        <w:rPr>
          <w:rFonts w:asciiTheme="majorHAnsi" w:hAnsiTheme="majorHAnsi" w:cstheme="majorHAnsi"/>
        </w:rPr>
        <w:t xml:space="preserve"> been evaluated </w:t>
      </w:r>
      <w:r w:rsidR="00C230AB" w:rsidRPr="00770846">
        <w:rPr>
          <w:rFonts w:asciiTheme="majorHAnsi" w:hAnsiTheme="majorHAnsi" w:cstheme="majorHAnsi"/>
          <w:i/>
          <w:iCs/>
        </w:rPr>
        <w:t>in silic</w:t>
      </w:r>
      <w:r w:rsidR="00300136" w:rsidRPr="00770846">
        <w:rPr>
          <w:rFonts w:asciiTheme="majorHAnsi" w:hAnsiTheme="majorHAnsi" w:cstheme="majorHAnsi"/>
          <w:i/>
          <w:iCs/>
        </w:rPr>
        <w:t>o</w:t>
      </w:r>
      <w:r w:rsidR="00E52F0B" w:rsidRPr="00770846">
        <w:rPr>
          <w:rFonts w:asciiTheme="majorHAnsi" w:hAnsiTheme="majorHAnsi" w:cstheme="majorHAnsi"/>
        </w:rPr>
        <w:t>,</w:t>
      </w:r>
      <w:r w:rsidR="00C230AB" w:rsidRPr="00770846">
        <w:rPr>
          <w:rFonts w:asciiTheme="majorHAnsi" w:hAnsiTheme="majorHAnsi" w:cstheme="majorHAnsi"/>
        </w:rPr>
        <w:t xml:space="preserve"> and </w:t>
      </w:r>
      <w:r w:rsidR="00E52F0B" w:rsidRPr="00770846">
        <w:rPr>
          <w:rFonts w:asciiTheme="majorHAnsi" w:hAnsiTheme="majorHAnsi" w:cstheme="majorHAnsi"/>
        </w:rPr>
        <w:t xml:space="preserve">their </w:t>
      </w:r>
      <w:r w:rsidRPr="00770846">
        <w:rPr>
          <w:rFonts w:asciiTheme="majorHAnsi" w:hAnsiTheme="majorHAnsi" w:cstheme="majorHAnsi"/>
        </w:rPr>
        <w:t xml:space="preserve">preclinical </w:t>
      </w:r>
      <w:r w:rsidR="00C230AB" w:rsidRPr="00770846">
        <w:rPr>
          <w:rFonts w:asciiTheme="majorHAnsi" w:hAnsiTheme="majorHAnsi" w:cstheme="majorHAnsi"/>
        </w:rPr>
        <w:t>application</w:t>
      </w:r>
      <w:r w:rsidRPr="00770846">
        <w:rPr>
          <w:rFonts w:asciiTheme="majorHAnsi" w:hAnsiTheme="majorHAnsi" w:cstheme="majorHAnsi"/>
        </w:rPr>
        <w:t>s</w:t>
      </w:r>
      <w:r w:rsidR="00C230AB" w:rsidRPr="00770846">
        <w:rPr>
          <w:rFonts w:asciiTheme="majorHAnsi" w:hAnsiTheme="majorHAnsi" w:cstheme="majorHAnsi"/>
        </w:rPr>
        <w:t xml:space="preserve"> </w:t>
      </w:r>
      <w:r w:rsidRPr="00770846">
        <w:rPr>
          <w:rFonts w:asciiTheme="majorHAnsi" w:hAnsiTheme="majorHAnsi" w:cstheme="majorHAnsi"/>
        </w:rPr>
        <w:t>need to be explored</w:t>
      </w:r>
      <w:r w:rsidR="00C230AB" w:rsidRPr="00770846">
        <w:rPr>
          <w:rFonts w:asciiTheme="majorHAnsi" w:hAnsiTheme="majorHAnsi" w:cstheme="majorHAnsi"/>
        </w:rPr>
        <w:t>.</w:t>
      </w:r>
      <w:r w:rsidR="004863A2" w:rsidRPr="00770846">
        <w:rPr>
          <w:rFonts w:asciiTheme="majorHAnsi" w:hAnsiTheme="majorHAnsi" w:cstheme="majorHAnsi"/>
        </w:rPr>
        <w:t xml:space="preserve"> </w:t>
      </w:r>
    </w:p>
    <w:p w14:paraId="35F3A6BA" w14:textId="77777777" w:rsidR="00A10864" w:rsidRPr="00770846" w:rsidRDefault="00A10864" w:rsidP="00770846">
      <w:pPr>
        <w:rPr>
          <w:rFonts w:asciiTheme="majorHAnsi" w:hAnsiTheme="majorHAnsi" w:cstheme="majorHAnsi"/>
        </w:rPr>
      </w:pPr>
    </w:p>
    <w:p w14:paraId="62D8DA9C" w14:textId="2E1A142F" w:rsidR="00AD3338" w:rsidRPr="00770846" w:rsidRDefault="00B578A7" w:rsidP="00770846">
      <w:pPr>
        <w:rPr>
          <w:rFonts w:asciiTheme="majorHAnsi" w:hAnsiTheme="majorHAnsi" w:cstheme="majorHAnsi"/>
        </w:rPr>
      </w:pPr>
      <w:r w:rsidRPr="00770846">
        <w:rPr>
          <w:rFonts w:asciiTheme="majorHAnsi" w:hAnsiTheme="majorHAnsi" w:cstheme="majorHAnsi"/>
        </w:rPr>
        <w:t>T</w:t>
      </w:r>
      <w:r w:rsidR="006D4061" w:rsidRPr="00770846">
        <w:rPr>
          <w:rFonts w:asciiTheme="majorHAnsi" w:hAnsiTheme="majorHAnsi" w:cstheme="majorHAnsi"/>
        </w:rPr>
        <w:t>his paper</w:t>
      </w:r>
      <w:r w:rsidRPr="00770846">
        <w:rPr>
          <w:rFonts w:asciiTheme="majorHAnsi" w:hAnsiTheme="majorHAnsi" w:cstheme="majorHAnsi"/>
        </w:rPr>
        <w:t xml:space="preserve"> presents </w:t>
      </w:r>
      <w:r w:rsidR="006D4061" w:rsidRPr="00770846">
        <w:rPr>
          <w:rFonts w:asciiTheme="majorHAnsi" w:hAnsiTheme="majorHAnsi" w:cstheme="majorHAnsi"/>
        </w:rPr>
        <w:t xml:space="preserve">an </w:t>
      </w:r>
      <w:r w:rsidR="006D4061" w:rsidRPr="00770846">
        <w:rPr>
          <w:rFonts w:asciiTheme="majorHAnsi" w:hAnsiTheme="majorHAnsi" w:cstheme="majorHAnsi"/>
          <w:i/>
          <w:iCs/>
        </w:rPr>
        <w:t>in silico</w:t>
      </w:r>
      <w:r w:rsidR="006D4061" w:rsidRPr="00770846">
        <w:rPr>
          <w:rFonts w:asciiTheme="majorHAnsi" w:hAnsiTheme="majorHAnsi" w:cstheme="majorHAnsi"/>
        </w:rPr>
        <w:t xml:space="preserve"> study to compare two methodologies for [</w:t>
      </w:r>
      <w:r w:rsidR="006D4061" w:rsidRPr="00770846">
        <w:rPr>
          <w:rFonts w:asciiTheme="majorHAnsi" w:hAnsiTheme="majorHAnsi" w:cstheme="majorHAnsi"/>
          <w:vertAlign w:val="superscript"/>
        </w:rPr>
        <w:t>18</w:t>
      </w:r>
      <w:r w:rsidR="006D4061" w:rsidRPr="00770846">
        <w:rPr>
          <w:rFonts w:asciiTheme="majorHAnsi" w:hAnsiTheme="majorHAnsi" w:cstheme="majorHAnsi"/>
        </w:rPr>
        <w:t>F]-</w:t>
      </w:r>
      <w:proofErr w:type="spellStart"/>
      <w:r w:rsidR="006D4061" w:rsidRPr="00770846">
        <w:rPr>
          <w:rFonts w:asciiTheme="majorHAnsi" w:hAnsiTheme="majorHAnsi" w:cstheme="majorHAnsi"/>
        </w:rPr>
        <w:t>fluoro</w:t>
      </w:r>
      <w:proofErr w:type="spellEnd"/>
      <w:r w:rsidR="006D4061" w:rsidRPr="00770846">
        <w:rPr>
          <w:rFonts w:asciiTheme="majorHAnsi" w:hAnsiTheme="majorHAnsi" w:cstheme="majorHAnsi"/>
        </w:rPr>
        <w:t>-ethyl-</w:t>
      </w:r>
      <w:r w:rsidR="006D4061" w:rsidRPr="00770846">
        <w:rPr>
          <w:rFonts w:asciiTheme="majorHAnsi" w:hAnsiTheme="majorHAnsi" w:cstheme="majorHAnsi"/>
          <w:smallCaps/>
        </w:rPr>
        <w:t>L</w:t>
      </w:r>
      <w:r w:rsidR="006D4061" w:rsidRPr="00770846">
        <w:rPr>
          <w:rFonts w:asciiTheme="majorHAnsi" w:hAnsiTheme="majorHAnsi" w:cstheme="majorHAnsi"/>
        </w:rPr>
        <w:t>-tyrosine ([</w:t>
      </w:r>
      <w:r w:rsidR="006D4061" w:rsidRPr="00770846">
        <w:rPr>
          <w:rFonts w:asciiTheme="majorHAnsi" w:hAnsiTheme="majorHAnsi" w:cstheme="majorHAnsi"/>
          <w:vertAlign w:val="superscript"/>
        </w:rPr>
        <w:t>18</w:t>
      </w:r>
      <w:r w:rsidR="006D4061" w:rsidRPr="00770846">
        <w:rPr>
          <w:rFonts w:asciiTheme="majorHAnsi" w:hAnsiTheme="majorHAnsi" w:cstheme="majorHAnsi"/>
        </w:rPr>
        <w:t>F]FET) PET-based dose painting in a GB rat model</w:t>
      </w:r>
      <w:r w:rsidR="006D4061" w:rsidRPr="00770846">
        <w:rPr>
          <w:rFonts w:asciiTheme="majorHAnsi" w:hAnsiTheme="majorHAnsi" w:cstheme="majorHAnsi"/>
        </w:rPr>
        <w:fldChar w:fldCharType="begin" w:fldLock="1"/>
      </w:r>
      <w:r w:rsidR="006D4061" w:rsidRPr="00770846">
        <w:rPr>
          <w:rFonts w:asciiTheme="majorHAnsi" w:hAnsiTheme="majorHAnsi" w:cstheme="majorHAnsi"/>
        </w:rPr>
        <w:instrText>ADDIN CSL_CITATION {"citationItems":[{"id":"ITEM-1","itemData":{"DOI":"10.1007/s11060-014-1552-9","ISSN":"1573-7373","PMID":"25069566","abstract":"Current glioblastoma (GB) small animal models for cranial radiation therapy (RT) use simple single beam technologies, which differ from the advanced conformal image-guided radiation techniques used in clinical practice. This technological disparity presents a major disadvantage for the development of new therapeutic approaches. Hence, we established a F98 GB rat model using magnetic resonance imaging (MRI)-guided three-dimensional (3D)-conformal arc RT with the Small Animal Radiation Research Platform (SARRP). Ten Fischer rats were inoculated with F98 tumor cells. When the tumor reached a volume of approximately 27 mm(3) on T2-weighted MR images, the animals were randomized into a treatment group (n = 5) receiving RT and concomitant temozolomide, and a sham group (n = 5) receiving control injections. For the treated animals, contrast-enhanced T1-weighted MR images were acquired followed by a cone-beam computed tomography (CBCT) on the SARRP system. Both scans were co-registered; MRI was used to define the target whereas CBCT was used for calculating a dose plan (20 Gy, three non-coplanar arc beams, 3 × 3 mm collimator). Tumor volumes were evaluated on follow-up contrast-enhanced T1-weighted MR images. Verification of treatment accuracy with γH2AX immunohistochemical staining was performed. Tumors in the control animals showed rapid proliferation during follow-up, encompassing almost the entire right cerebral hemisphere at day 12-15. Treated animals showed no significant tumor growth from 2 to 9 days post RT. γH2AX results confirmed the accuracy of dose delivery. This model, which is quite similar to the approach in the clinic, is valid for combined RT and chemotherapy of GB in rats.","author":[{"dropping-particle":"","family":"Bolcaen","given":"Julie","non-dropping-particle":"","parse-names":false,"suffix":""},{"dropping-particle":"","family":"Descamps","given":"Benedicte","non-dropping-particle":"","parse-names":false,"suffix":""},{"dropping-particle":"","family":"Deblaere","given":"Karel","non-dropping-particle":"","parse-names":false,"suffix":""},{"dropping-particle":"","family":"Boterberg","given":"Tom","non-dropping-particle":"","parse-names":false,"suffix":""},{"dropping-particle":"","family":"Hallaert","given":"Giorgio","non-dropping-particle":"","parse-names":false,"suffix":""},{"dropping-particle":"","family":"Broecke","given":"Caroline","non-dropping-particle":"Van den","parse-names":false,"suffix":""},{"dropping-particle":"","family":"Decrock","given":"Elke","non-dropping-particle":"","parse-names":false,"suffix":""},{"dropping-particle":"","family":"Vral","given":"Anne","non-dropping-particle":"","parse-names":false,"suffix":""},{"dropping-particle":"","family":"Leybaert","given":"Luc","non-dropping-particle":"","parse-names":false,"suffix":""},{"dropping-particle":"","family":"Vanhove","given":"Christian","non-dropping-particle":"","parse-names":false,"suffix":""},{"dropping-particle":"","family":"Goethals","given":"Ingeborg","non-dropping-particle":"","parse-names":false,"suffix":""}],"container-title":"Journal of neuro-oncology","id":"ITEM-1","issue":"2","issued":{"date-parts":[["2014","11"]]},"page":"257-66","title":"MRI-guided 3D conformal arc micro-irradiation of a F98 glioblastoma rat model using the Small Animal Radiation Research Platform (SARRP).","type":"article-journal","volume":"120"},"uris":["http://www.mendeley.com/documents/?uuid=2644fe47-8dbf-46aa-b4d0-10a7d636faf7"]},{"id":"ITEM-2","itemData":{"DOI":"10.3791/56601","ISSN":"1940-087X","abstract":"© 2017, Journal of Visualized Experiments. All rights reserved. For decades, small animal radiation research was mostly performed using fairly crude experimental setups applying simple single-beam techniques without the ability to target a specific or well-delineated tumor volume. The delivery of radiation was achieved using fixed radiation sources or linear accelerators producing megavoltage (MV) X-rays. These devices are unable to achieve sub-millimeter precision required for small animals. Furthermore, the high doses delivered to healthy surrounding tissue hamper response assessment. To increase the translation between small animal studies and humans, our goal was to mimic the treatment of human glioblastoma in a rat model. To enable a more accurate irradiation in a preclinical setting, recently, precision image-guided small animal radiation research platforms were developed. Similar to human planning systems, treatment planning on these micro-irradiators is based on computed tomography (CT). However, low soft-tissue contrast on CT makes it very challenging to localize targets in certain tissues, such as the brain. Therefore, incorporating magnetic resonance imaging (MRI), which has excellent soft-tissue contrast compared to CT, would enable a more precise delineation of the target for irradiation. In the last decade also biological imaging techniques, such as positron emission tomography (PET) gained interest for radiation therapy treatment guidance. PET enables the visualization of e.g., glucose consumption, amino-acid transport, or hypoxia, present in the tumor. Targeting those highly proliferative or radio-resistant parts of the tumor with a higher dose could give a survival benefit. This hypothesis led to the introduction of the biological tumor volume (BTV), besides the conventional gross target volume (GTV), clinical target volume (CTV), and planned target volume (PTV). At the preclinical imaging lab of Ghent University, a micro-irradiator, a small animal PET, and a 7 T small animal MRI are available. The goal was to incorporate MRI-guided irradiation and PET-guided sub-volume boosting in a glioblastoma rat model.","author":[{"dropping-particle":"","family":"Bolcaen","given":"Julie","non-dropping-particle":"","parse-names":false,"suffix":""},{"dropping-particle":"","family":"Descamps","given":"Benedicte","non-dropping-particle":"","parse-names":false,"suffix":""},{"dropping-particle":"","family":"Boterberg","given":"Tom","non-dropping-particle":"","parse-names":false,"suffix":""},{"dropping-particle":"","family":"Vanhove","given":"Christian","non-dropping-particle":"","parse-names":false,"suffix":""},{"dropping-particle":"","family":"Goethals","given":"Ingeborg","non-dropping-particle":"","parse-names":false,"suffix":""}],"container-title":"Journal of Visualized Experiments","id":"ITEM-2","issue":"130","issued":{"date-parts":[["2017"]]},"page":"1-10","title":"PET and MRI Guided Irradiation of a Glioblastoma Rat Model Using a Micro-irradiator","type":"article-journal"},"uris":["http://www.mendeley.com/documents/?uuid=76745ea2-6d36-4fa7-9363-418bece7db83"]},{"id":"ITEM-3","itemData":{"DOI":"10.1186/s13014-019-1290-4","ISSN":"1748717X","abstract":"© 2019 The Author(s). Background: Glioblastoma (GB) is the most common primary malignant brain tumor. Standard medical treatment consists of a maximal safe surgical resection, subsequently radiation therapy (RT) and chemotherapy with temozolomide (TMZ). An accurate definition of the tumor volume is of utmost importance for guiding RT. In this project we investigated the feasibility and treatment response of subvolume boosting to a PET-defined tumor part. Method: F98 GB cells inoculated in the rat brain were imaged using T2- and contrast-enhanced T1-weighted (T1w) MRI. A dose of 20 Gy (5 × 5 mm2) was delivered to the target volume delineated based on T1w MRI for three treatment groups. Two of those treatment groups received an additional radiation boost of 5 Gy (1 × 1 mm2) delivered to the region either with maximum [18F]FET or [18F]FAZA PET tracer uptake, respectively. All therapy groups received intraperitoneal (IP) injections of TMZ. Finally, a control group received no RT and only control IP injections. The average, minimum and maximum dose, as well as the D90-, D50- and D2- values were calculated for nine rats using both RT plans. To evaluate response to therapy, follow-up tumor volumes were delineated based on T1w MRI. Results: When comparing the dose volume histograms, a significant difference was found exclusively between the D2-values. A significant difference in tumor growth was only found between active therapy and sham therapy respectively, while no significant differences were found when comparing the three treatment groups. Conclusion: In this study we showed the feasibility of PET guided subvolume boosting of F98 glioblastoma in rats. No evidence was found for a beneficial effect regarding tumor response. However, improvements for dose targeting in rodents and studies investigating new targeted drugs for GB treatment are mandatory.","author":[{"dropping-particle":"","family":"Verhoeven","given":"J.","non-dropping-particle":"","parse-names":false,"suffix":""},{"dropping-particle":"","family":"Bolcaen","given":"J.","non-dropping-particle":"","parse-names":false,"suffix":""},{"dropping-particle":"","family":"Meulenaere","given":"V.","non-dropping-particle":"De","parse-names":false,"suffix":""},{"dropping-particle":"","family":"Kersemans","given":"K.","non-dropping-particle":"","parse-names":false,"suffix":""},{"dropping-particle":"","family":"Descamps","given":"B.","non-dropping-particle":"","parse-names":false,"suffix":""},{"dropping-particle":"","family":"Donche","given":"S.","non-dropping-particle":"","parse-names":false,"suffix":""},{"dropping-particle":"","family":"Broecke","given":"C.","non-dropping-particle":"Van Den","parse-names":false,"suffix":""},{"dropping-particle":"","family":"Boterberg","given":"T.","non-dropping-particle":"","parse-names":false,"suffix":""},{"dropping-particle":"","family":"Kalala","given":"J.-P.","non-dropping-particle":"","parse-names":false,"suffix":""},{"dropping-particle":"","family":"Deblaere","given":"K.","non-dropping-particle":"","parse-names":false,"suffix":""},{"dropping-particle":"","family":"Vanhove","given":"C.","non-dropping-particle":"","parse-names":false,"suffix":""},{"dropping-particle":"","family":"Vos","given":"F.","non-dropping-particle":"De","parse-names":false,"suffix":""},{"dropping-particle":"","family":"Goethals","given":"I.","non-dropping-particle":"","parse-names":false,"suffix":""}],"container-title":"Radiation Oncology","id":"ITEM-3","issue":"1","issued":{"date-parts":[["2019"]]},"title":"Technical feasibility of [&lt;sup&gt;18&lt;/sup&gt;F]FET and [&lt;sup&gt;18&lt;/sup&gt;F]FAZA PET guided radiotherapy in a F98 glioblastoma rat model","type":"article-journal","volume":"14"},"uris":["http://www.mendeley.com/documents/?uuid=579295ad-8f4d-3f75-884e-ad23f2c9660b"]}],"mendeley":{"formattedCitation":"&lt;sup&gt;20–22&lt;/sup&gt;","plainTextFormattedCitation":"20–22","previouslyFormattedCitation":"&lt;sup&gt;20–22&lt;/sup&gt;"},"properties":{"noteIndex":0},"schema":"https://github.com/citation-style-language/schema/raw/master/csl-citation.json"}</w:instrText>
      </w:r>
      <w:r w:rsidR="006D4061" w:rsidRPr="00770846">
        <w:rPr>
          <w:rFonts w:asciiTheme="majorHAnsi" w:hAnsiTheme="majorHAnsi" w:cstheme="majorHAnsi"/>
        </w:rPr>
        <w:fldChar w:fldCharType="separate"/>
      </w:r>
      <w:r w:rsidR="006D4061" w:rsidRPr="00770846">
        <w:rPr>
          <w:rFonts w:asciiTheme="majorHAnsi" w:hAnsiTheme="majorHAnsi" w:cstheme="majorHAnsi"/>
          <w:noProof/>
          <w:vertAlign w:val="superscript"/>
        </w:rPr>
        <w:t>20–22</w:t>
      </w:r>
      <w:r w:rsidR="006D4061" w:rsidRPr="00770846">
        <w:rPr>
          <w:rFonts w:asciiTheme="majorHAnsi" w:hAnsiTheme="majorHAnsi" w:cstheme="majorHAnsi"/>
        </w:rPr>
        <w:fldChar w:fldCharType="end"/>
      </w:r>
      <w:r w:rsidR="006D4061" w:rsidRPr="00770846">
        <w:rPr>
          <w:rFonts w:asciiTheme="majorHAnsi" w:hAnsiTheme="majorHAnsi" w:cstheme="majorHAnsi"/>
        </w:rPr>
        <w:t xml:space="preserve"> using a small animal radiation research platform</w:t>
      </w:r>
      <w:r w:rsidR="0092392C" w:rsidRPr="00770846">
        <w:rPr>
          <w:rFonts w:asciiTheme="majorHAnsi" w:hAnsiTheme="majorHAnsi" w:cstheme="majorHAnsi"/>
        </w:rPr>
        <w:t>. These two methodologies are</w:t>
      </w:r>
      <w:r w:rsidR="006D4061" w:rsidRPr="00770846">
        <w:rPr>
          <w:rFonts w:asciiTheme="majorHAnsi" w:hAnsiTheme="majorHAnsi" w:cstheme="majorHAnsi"/>
        </w:rPr>
        <w:t xml:space="preserve"> (1) sub-volume boosting using predefined beam sizes and (2) dose painting using a </w:t>
      </w:r>
      <w:r w:rsidR="00B94A78" w:rsidRPr="00770846">
        <w:rPr>
          <w:rFonts w:asciiTheme="majorHAnsi" w:hAnsiTheme="majorHAnsi" w:cstheme="majorHAnsi"/>
        </w:rPr>
        <w:t>motorized</w:t>
      </w:r>
      <w:r w:rsidR="006D4061" w:rsidRPr="00770846">
        <w:rPr>
          <w:rFonts w:asciiTheme="majorHAnsi" w:hAnsiTheme="majorHAnsi" w:cstheme="majorHAnsi"/>
        </w:rPr>
        <w:t xml:space="preserve"> variable collimator where jaw dimensions are modified based on the PET tracer uptake in the </w:t>
      </w:r>
      <w:r w:rsidR="00B94A78" w:rsidRPr="00770846">
        <w:rPr>
          <w:rFonts w:asciiTheme="majorHAnsi" w:hAnsiTheme="majorHAnsi" w:cstheme="majorHAnsi"/>
        </w:rPr>
        <w:t>tumor</w:t>
      </w:r>
      <w:r w:rsidR="006D4061" w:rsidRPr="00770846">
        <w:rPr>
          <w:rFonts w:asciiTheme="majorHAnsi" w:hAnsiTheme="majorHAnsi" w:cstheme="majorHAnsi"/>
        </w:rPr>
        <w:t xml:space="preserve"> volume. </w:t>
      </w:r>
      <w:r w:rsidR="00FA61ED" w:rsidRPr="00770846">
        <w:rPr>
          <w:rFonts w:asciiTheme="majorHAnsi" w:hAnsiTheme="majorHAnsi" w:cstheme="majorHAnsi"/>
        </w:rPr>
        <w:t>[</w:t>
      </w:r>
      <w:r w:rsidR="00FA61ED" w:rsidRPr="00770846">
        <w:rPr>
          <w:rFonts w:asciiTheme="majorHAnsi" w:hAnsiTheme="majorHAnsi" w:cstheme="majorHAnsi"/>
          <w:vertAlign w:val="superscript"/>
        </w:rPr>
        <w:t>18</w:t>
      </w:r>
      <w:r w:rsidR="00FA61ED" w:rsidRPr="00770846">
        <w:rPr>
          <w:rFonts w:asciiTheme="majorHAnsi" w:hAnsiTheme="majorHAnsi" w:cstheme="majorHAnsi"/>
        </w:rPr>
        <w:t>F]FET is a PET tracer often used in neuro-oncology because of its ability to detect brain tumors</w:t>
      </w:r>
      <w:r w:rsidR="00FA61ED" w:rsidRPr="00770846">
        <w:rPr>
          <w:rFonts w:asciiTheme="majorHAnsi" w:hAnsiTheme="majorHAnsi" w:cstheme="majorHAnsi"/>
        </w:rPr>
        <w:fldChar w:fldCharType="begin" w:fldLock="1"/>
      </w:r>
      <w:r w:rsidR="00E576E6" w:rsidRPr="00770846">
        <w:rPr>
          <w:rFonts w:asciiTheme="majorHAnsi" w:hAnsiTheme="majorHAnsi" w:cstheme="majorHAnsi"/>
        </w:rPr>
        <w:instrText>ADDIN CSL_CITATION {"citationItems":[{"id":"ITEM-1","itemData":{"DOI":"10.1093/neuonc/nos300","author":[{"dropping-particle":"","family":"Hutterer","given":"Markus","non-dropping-particle":"","parse-names":false,"suffix":""},{"dropping-particle":"","family":"Nowosielski","given":"Martha","non-dropping-particle":"","parse-names":false,"suffix":""},{"dropping-particle":"","family":"Putzer","given":"Daniel","non-dropping-particle":"","parse-names":false,"suffix":""},{"dropping-particle":"","family":"Jansen","given":"Nathalie L","non-dropping-particle":"","parse-names":false,"suffix":""},{"dropping-particle":"","family":"Fouge","given":"Christian","non-dropping-particle":"","parse-names":false,"suffix":""},{"dropping-particle":"","family":"Seiz","given":"Marcel","non-dropping-particle":"","parse-names":false,"suffix":""},{"dropping-particle":"","family":"Schocke","given":"Michael","non-dropping-particle":"","parse-names":false,"suffix":""},{"dropping-particle":"","family":"Mccoy","given":"Mark","non-dropping-particle":"","parse-names":false,"suffix":""},{"dropping-particle":"","family":"Go","given":"Georg","non-dropping-particle":"","parse-names":false,"suffix":""},{"dropping-particle":"","family":"Virgolini","given":"Irene J","non-dropping-particle":"","parse-names":false,"suffix":""},{"dropping-particle":"","family":"Trinka","given":"Eugen","non-dropping-particle":"","parse-names":false,"suffix":""},{"dropping-particle":"","family":"Jacobs","given":"Andreas H","non-dropping-particle":"","parse-names":false,"suffix":""}],"container-title":"Neuro-Oncology","id":"ITEM-1","issue":"3","issued":{"date-parts":[["2013"]]},"page":"341-351","title":"FET PET: a valuable diagnostic tool in neuro-oncology, but not all that glitters is glioma","type":"article-journal","volume":"15"},"uris":["http://www.mendeley.com/documents/?uuid=3bef7a96-5226-46fc-9acb-2ae53b4e580e"]}],"mendeley":{"formattedCitation":"&lt;sup&gt;23&lt;/sup&gt;","plainTextFormattedCitation":"23","previouslyFormattedCitation":"&lt;sup&gt;23&lt;/sup&gt;"},"properties":{"noteIndex":0},"schema":"https://github.com/citation-style-language/schema/raw/master/csl-citation.json"}</w:instrText>
      </w:r>
      <w:r w:rsidR="00FA61ED" w:rsidRPr="00770846">
        <w:rPr>
          <w:rFonts w:asciiTheme="majorHAnsi" w:hAnsiTheme="majorHAnsi" w:cstheme="majorHAnsi"/>
        </w:rPr>
        <w:fldChar w:fldCharType="separate"/>
      </w:r>
      <w:r w:rsidR="00FA61ED" w:rsidRPr="00770846">
        <w:rPr>
          <w:rFonts w:asciiTheme="majorHAnsi" w:hAnsiTheme="majorHAnsi" w:cstheme="majorHAnsi"/>
          <w:noProof/>
          <w:vertAlign w:val="superscript"/>
        </w:rPr>
        <w:t>23</w:t>
      </w:r>
      <w:r w:rsidR="00FA61ED" w:rsidRPr="00770846">
        <w:rPr>
          <w:rFonts w:asciiTheme="majorHAnsi" w:hAnsiTheme="majorHAnsi" w:cstheme="majorHAnsi"/>
        </w:rPr>
        <w:fldChar w:fldCharType="end"/>
      </w:r>
      <w:r w:rsidR="00FA61ED" w:rsidRPr="00770846">
        <w:rPr>
          <w:rFonts w:asciiTheme="majorHAnsi" w:hAnsiTheme="majorHAnsi" w:cstheme="majorHAnsi"/>
        </w:rPr>
        <w:t xml:space="preserve">. </w:t>
      </w:r>
      <w:r w:rsidR="00E576E6" w:rsidRPr="00770846">
        <w:rPr>
          <w:rFonts w:asciiTheme="majorHAnsi" w:hAnsiTheme="majorHAnsi" w:cstheme="majorHAnsi"/>
        </w:rPr>
        <w:t>[</w:t>
      </w:r>
      <w:r w:rsidR="00E576E6" w:rsidRPr="00770846">
        <w:rPr>
          <w:rFonts w:asciiTheme="majorHAnsi" w:hAnsiTheme="majorHAnsi" w:cstheme="majorHAnsi"/>
          <w:vertAlign w:val="superscript"/>
        </w:rPr>
        <w:t>18</w:t>
      </w:r>
      <w:proofErr w:type="gramStart"/>
      <w:r w:rsidR="00E576E6" w:rsidRPr="00770846">
        <w:rPr>
          <w:rFonts w:asciiTheme="majorHAnsi" w:hAnsiTheme="majorHAnsi" w:cstheme="majorHAnsi"/>
        </w:rPr>
        <w:t>F]</w:t>
      </w:r>
      <w:r w:rsidR="00FA61ED" w:rsidRPr="00770846">
        <w:rPr>
          <w:rFonts w:asciiTheme="majorHAnsi" w:hAnsiTheme="majorHAnsi" w:cstheme="majorHAnsi"/>
        </w:rPr>
        <w:t>FET</w:t>
      </w:r>
      <w:proofErr w:type="gramEnd"/>
      <w:r w:rsidR="00FA61ED" w:rsidRPr="00770846">
        <w:rPr>
          <w:rFonts w:asciiTheme="majorHAnsi" w:hAnsiTheme="majorHAnsi" w:cstheme="majorHAnsi"/>
        </w:rPr>
        <w:t xml:space="preserve"> is an artificial amino acid that is internali</w:t>
      </w:r>
      <w:r w:rsidR="000C59D6" w:rsidRPr="00770846">
        <w:rPr>
          <w:rFonts w:asciiTheme="majorHAnsi" w:hAnsiTheme="majorHAnsi" w:cstheme="majorHAnsi"/>
        </w:rPr>
        <w:t>z</w:t>
      </w:r>
      <w:r w:rsidR="00FA61ED" w:rsidRPr="00770846">
        <w:rPr>
          <w:rFonts w:asciiTheme="majorHAnsi" w:hAnsiTheme="majorHAnsi" w:cstheme="majorHAnsi"/>
        </w:rPr>
        <w:t>ed in</w:t>
      </w:r>
      <w:r w:rsidR="000C59D6" w:rsidRPr="00770846">
        <w:rPr>
          <w:rFonts w:asciiTheme="majorHAnsi" w:hAnsiTheme="majorHAnsi" w:cstheme="majorHAnsi"/>
        </w:rPr>
        <w:t>to</w:t>
      </w:r>
      <w:r w:rsidR="00FA61ED" w:rsidRPr="00770846">
        <w:rPr>
          <w:rFonts w:asciiTheme="majorHAnsi" w:hAnsiTheme="majorHAnsi" w:cstheme="majorHAnsi"/>
        </w:rPr>
        <w:t xml:space="preserve"> tumoral cells but not incorporated into cell proteins. [</w:t>
      </w:r>
      <w:r w:rsidR="00FA61ED" w:rsidRPr="00770846">
        <w:rPr>
          <w:rFonts w:asciiTheme="majorHAnsi" w:hAnsiTheme="majorHAnsi" w:cstheme="majorHAnsi"/>
          <w:vertAlign w:val="superscript"/>
        </w:rPr>
        <w:t>18</w:t>
      </w:r>
      <w:r w:rsidR="00FA61ED" w:rsidRPr="00770846">
        <w:rPr>
          <w:rFonts w:asciiTheme="majorHAnsi" w:hAnsiTheme="majorHAnsi" w:cstheme="majorHAnsi"/>
        </w:rPr>
        <w:t>F]FET uptake corresponds with cell proliferation rate, tumor cell density</w:t>
      </w:r>
      <w:r w:rsidR="000C59D6" w:rsidRPr="00770846">
        <w:rPr>
          <w:rFonts w:asciiTheme="majorHAnsi" w:hAnsiTheme="majorHAnsi" w:cstheme="majorHAnsi"/>
        </w:rPr>
        <w:t>,</w:t>
      </w:r>
      <w:r w:rsidR="00FA61ED" w:rsidRPr="00770846">
        <w:rPr>
          <w:rFonts w:asciiTheme="majorHAnsi" w:hAnsiTheme="majorHAnsi" w:cstheme="majorHAnsi"/>
        </w:rPr>
        <w:t xml:space="preserve"> and angiogenesis</w:t>
      </w:r>
      <w:r w:rsidR="00E576E6" w:rsidRPr="00770846">
        <w:rPr>
          <w:rFonts w:asciiTheme="majorHAnsi" w:hAnsiTheme="majorHAnsi" w:cstheme="majorHAnsi"/>
        </w:rPr>
        <w:fldChar w:fldCharType="begin" w:fldLock="1"/>
      </w:r>
      <w:r w:rsidR="00E576E6" w:rsidRPr="00770846">
        <w:rPr>
          <w:rFonts w:asciiTheme="majorHAnsi" w:hAnsiTheme="majorHAnsi" w:cstheme="majorHAnsi"/>
        </w:rPr>
        <w:instrText>ADDIN CSL_CITATION {"citationItems":[{"id":"ITEM-1","itemData":{"DOI":"10.1007/s11060-008-9551-3","ISSN":"0167594X","PMID":"18317691","abstract":"Objective: Even without contrast enhancement on MRI scans gliomas can show histological features of anaplasia. These tumors are heterogeneous regarding anaplastic and non-anaplastic areas. Increased amino acid uptake was shown to be associated with dismal prognosis in gliomas. We investigated histological correlates of tumor grading in biopsies obtained from regions with maximum amino acid uptake revealed by F-18-fluoro-ethyl-tyrosin positron emission tomography (FET-PET). Methods: We included 22 patients with non-contrast enhancing lesions on MRI scans. PET was performed 10 min after FET injection, and the area of maximum FET uptake was chosen as the biopsy target. In 13 patients neuronavigated biopsies were obtained during tumor resection. Nine patients had a stereotactic biopsy. The ratio of maximum standardized uptake value (SUV) to background was calculated. Histological specimens were classified and graded according to world health organization (WHO) criteria. We investigated cell and vascular density, mitotic activity, proliferation index, microvascular proliferation, nuclear pleomorphism, necrosis and immunoreactivity of LAT1 (SLC7A5), an amino acid transporter with prognostic impact in gliomas. Results: 12 of the 22 non-contrast enhancing gliomas corresponded to anaplastic astrocytomas WHO grade III. Vascular and cellular density was correlated highly to the SUV ratio (P = 0.0015 and P = 0.0021, respectively), but with no nuclear pleomorphism, mitotic activity, Mib-1 immunoreactivity, or microvascular proliferation. Thus, no correlation was found between FET uptake and tumor grade. Conclusion: FET-PET correlates with vascular and cell density in non-contrast enhancing gliomas. Although tumor grade cannot be predicted, clinical use of FET PET as an indicator for neovascularization should be addressed in future studies. © Springer Science+Business Media, LLC. 2008.","author":[{"dropping-particle":"","family":"Stockhammer","given":"Florian","non-dropping-particle":"","parse-names":false,"suffix":""},{"dropping-particle":"","family":"Plotkin","given":"Michail","non-dropping-particle":"","parse-names":false,"suffix":""},{"dropping-particle":"","family":"Amthauer","given":"Holger","non-dropping-particle":"","parse-names":false,"suffix":""},{"dropping-particle":"","family":"Landeghem","given":"Frank K.H.","non-dropping-particle":"","parse-names":false,"suffix":""},{"dropping-particle":"","family":"Woiciechowsky","given":"Christian","non-dropping-particle":"","parse-names":false,"suffix":""}],"container-title":"Journal of Neuro-Oncology","id":"ITEM-1","issue":"2","issued":{"date-parts":[["2008"]]},"page":"205-210","title":"Correlation of F-18-fluoro-ethyl-tyrosin uptake with vascular and cell density in non-contrast-enhancing gliomas","type":"article-journal","volume":"88"},"uris":["http://www.mendeley.com/documents/?uuid=f855e017-3599-40df-b374-7906270024f4"]}],"mendeley":{"formattedCitation":"&lt;sup&gt;24&lt;/sup&gt;","plainTextFormattedCitation":"24"},"properties":{"noteIndex":0},"schema":"https://github.com/citation-style-language/schema/raw/master/csl-citation.json"}</w:instrText>
      </w:r>
      <w:r w:rsidR="00E576E6" w:rsidRPr="00770846">
        <w:rPr>
          <w:rFonts w:asciiTheme="majorHAnsi" w:hAnsiTheme="majorHAnsi" w:cstheme="majorHAnsi"/>
        </w:rPr>
        <w:fldChar w:fldCharType="separate"/>
      </w:r>
      <w:r w:rsidR="00E576E6" w:rsidRPr="00770846">
        <w:rPr>
          <w:rFonts w:asciiTheme="majorHAnsi" w:hAnsiTheme="majorHAnsi" w:cstheme="majorHAnsi"/>
          <w:noProof/>
          <w:vertAlign w:val="superscript"/>
        </w:rPr>
        <w:t>24</w:t>
      </w:r>
      <w:r w:rsidR="00E576E6" w:rsidRPr="00770846">
        <w:rPr>
          <w:rFonts w:asciiTheme="majorHAnsi" w:hAnsiTheme="majorHAnsi" w:cstheme="majorHAnsi"/>
        </w:rPr>
        <w:fldChar w:fldCharType="end"/>
      </w:r>
      <w:r w:rsidR="004E4B31" w:rsidRPr="00770846">
        <w:rPr>
          <w:rFonts w:asciiTheme="majorHAnsi" w:hAnsiTheme="majorHAnsi" w:cstheme="majorHAnsi"/>
        </w:rPr>
        <w:t>.</w:t>
      </w:r>
      <w:r w:rsidR="00230E3F" w:rsidRPr="00770846">
        <w:rPr>
          <w:rFonts w:asciiTheme="majorHAnsi" w:hAnsiTheme="majorHAnsi" w:cstheme="majorHAnsi"/>
        </w:rPr>
        <w:t xml:space="preserve"> </w:t>
      </w:r>
      <w:r w:rsidR="00D066E2" w:rsidRPr="00770846">
        <w:rPr>
          <w:rFonts w:asciiTheme="majorHAnsi" w:hAnsiTheme="majorHAnsi" w:cstheme="majorHAnsi"/>
        </w:rPr>
        <w:t xml:space="preserve">As this is the </w:t>
      </w:r>
      <w:proofErr w:type="gramStart"/>
      <w:r w:rsidR="00D066E2" w:rsidRPr="00770846">
        <w:rPr>
          <w:rFonts w:asciiTheme="majorHAnsi" w:hAnsiTheme="majorHAnsi" w:cstheme="majorHAnsi"/>
        </w:rPr>
        <w:t xml:space="preserve">most </w:t>
      </w:r>
      <w:r w:rsidR="000C59D6" w:rsidRPr="00770846">
        <w:rPr>
          <w:rFonts w:asciiTheme="majorHAnsi" w:hAnsiTheme="majorHAnsi" w:cstheme="majorHAnsi"/>
        </w:rPr>
        <w:t xml:space="preserve">commonly </w:t>
      </w:r>
      <w:r w:rsidR="00D066E2" w:rsidRPr="00770846">
        <w:rPr>
          <w:rFonts w:asciiTheme="majorHAnsi" w:hAnsiTheme="majorHAnsi" w:cstheme="majorHAnsi"/>
        </w:rPr>
        <w:t>used</w:t>
      </w:r>
      <w:proofErr w:type="gramEnd"/>
      <w:r w:rsidR="00D066E2" w:rsidRPr="00770846">
        <w:rPr>
          <w:rFonts w:asciiTheme="majorHAnsi" w:hAnsiTheme="majorHAnsi" w:cstheme="majorHAnsi"/>
        </w:rPr>
        <w:t xml:space="preserve"> oncologic brain PET tracer in </w:t>
      </w:r>
      <w:r w:rsidR="000C59D6" w:rsidRPr="00770846">
        <w:rPr>
          <w:rFonts w:asciiTheme="majorHAnsi" w:hAnsiTheme="majorHAnsi" w:cstheme="majorHAnsi"/>
        </w:rPr>
        <w:t>these authors’</w:t>
      </w:r>
      <w:r w:rsidR="00D066E2" w:rsidRPr="00770846">
        <w:rPr>
          <w:rFonts w:asciiTheme="majorHAnsi" w:hAnsiTheme="majorHAnsi" w:cstheme="majorHAnsi"/>
        </w:rPr>
        <w:t xml:space="preserve"> institute, this radiotracer was chosen to evaluate </w:t>
      </w:r>
      <w:r w:rsidR="000C59D6" w:rsidRPr="00770846">
        <w:rPr>
          <w:rFonts w:asciiTheme="majorHAnsi" w:hAnsiTheme="majorHAnsi" w:cstheme="majorHAnsi"/>
        </w:rPr>
        <w:t>the</w:t>
      </w:r>
      <w:r w:rsidR="00D066E2" w:rsidRPr="00770846">
        <w:rPr>
          <w:rFonts w:asciiTheme="majorHAnsi" w:hAnsiTheme="majorHAnsi" w:cstheme="majorHAnsi"/>
        </w:rPr>
        <w:t xml:space="preserve"> new workflow.</w:t>
      </w:r>
    </w:p>
    <w:p w14:paraId="48BA6B0A" w14:textId="77777777" w:rsidR="006E4797" w:rsidRPr="00770846" w:rsidRDefault="006E4797" w:rsidP="00770846">
      <w:pPr>
        <w:rPr>
          <w:rFonts w:asciiTheme="majorHAnsi" w:hAnsiTheme="majorHAnsi" w:cstheme="majorHAnsi"/>
          <w:b/>
        </w:rPr>
      </w:pPr>
    </w:p>
    <w:p w14:paraId="32A92E82" w14:textId="34A1292F" w:rsidR="006E4797" w:rsidRPr="00770846" w:rsidRDefault="00551D82" w:rsidP="00770846">
      <w:pPr>
        <w:rPr>
          <w:rFonts w:asciiTheme="majorHAnsi" w:hAnsiTheme="majorHAnsi" w:cstheme="majorHAnsi"/>
          <w:b/>
        </w:rPr>
      </w:pPr>
      <w:r w:rsidRPr="00770846">
        <w:rPr>
          <w:rFonts w:asciiTheme="majorHAnsi" w:hAnsiTheme="majorHAnsi" w:cstheme="majorHAnsi"/>
          <w:b/>
        </w:rPr>
        <w:t>PROTOCOL:</w:t>
      </w:r>
    </w:p>
    <w:p w14:paraId="25B5CCEA" w14:textId="77777777" w:rsidR="00325250" w:rsidRPr="00770846" w:rsidRDefault="00325250" w:rsidP="00770846">
      <w:pPr>
        <w:rPr>
          <w:rFonts w:asciiTheme="majorHAnsi" w:hAnsiTheme="majorHAnsi" w:cstheme="majorHAnsi"/>
          <w:b/>
        </w:rPr>
      </w:pPr>
    </w:p>
    <w:p w14:paraId="20C43DD9" w14:textId="505929EB" w:rsidR="0034389D" w:rsidRPr="00770846" w:rsidRDefault="0034389D" w:rsidP="00770846">
      <w:pPr>
        <w:rPr>
          <w:rFonts w:asciiTheme="majorHAnsi" w:hAnsiTheme="majorHAnsi" w:cstheme="majorHAnsi"/>
          <w:bCs/>
        </w:rPr>
      </w:pPr>
      <w:r w:rsidRPr="00770846">
        <w:rPr>
          <w:rFonts w:asciiTheme="majorHAnsi" w:hAnsiTheme="majorHAnsi" w:cstheme="majorHAnsi"/>
          <w:bCs/>
        </w:rPr>
        <w:t xml:space="preserve">The study was approved by the local ethics committee for animal experiments (ECD </w:t>
      </w:r>
      <w:r w:rsidR="004A3FAB" w:rsidRPr="00770846">
        <w:rPr>
          <w:rFonts w:asciiTheme="majorHAnsi" w:hAnsiTheme="majorHAnsi" w:cstheme="majorHAnsi"/>
          <w:bCs/>
        </w:rPr>
        <w:t>18/21).</w:t>
      </w:r>
    </w:p>
    <w:p w14:paraId="07AA043A" w14:textId="77777777" w:rsidR="004A3FAB" w:rsidRPr="00770846" w:rsidRDefault="004A3FAB" w:rsidP="00770846">
      <w:pPr>
        <w:rPr>
          <w:rFonts w:asciiTheme="majorHAnsi" w:hAnsiTheme="majorHAnsi" w:cstheme="majorHAnsi"/>
          <w:bCs/>
        </w:rPr>
      </w:pPr>
    </w:p>
    <w:p w14:paraId="329A01F0" w14:textId="52578165" w:rsidR="009254CF" w:rsidRPr="00770846" w:rsidRDefault="00432AF8" w:rsidP="00770846">
      <w:pPr>
        <w:pStyle w:val="ListParagraph"/>
        <w:numPr>
          <w:ilvl w:val="0"/>
          <w:numId w:val="13"/>
        </w:numPr>
        <w:ind w:left="0" w:firstLine="0"/>
        <w:rPr>
          <w:rFonts w:asciiTheme="majorHAnsi" w:hAnsiTheme="majorHAnsi" w:cstheme="majorHAnsi"/>
          <w:b/>
          <w:bCs/>
        </w:rPr>
      </w:pPr>
      <w:r w:rsidRPr="00770846">
        <w:rPr>
          <w:rFonts w:asciiTheme="majorHAnsi" w:hAnsiTheme="majorHAnsi" w:cstheme="majorHAnsi"/>
          <w:b/>
          <w:bCs/>
        </w:rPr>
        <w:t>F98 GB rat cell model</w:t>
      </w:r>
    </w:p>
    <w:p w14:paraId="020BF449" w14:textId="77777777" w:rsidR="00C93CDF" w:rsidRPr="00770846" w:rsidRDefault="00C93CDF" w:rsidP="00770846">
      <w:pPr>
        <w:pStyle w:val="ListParagraph"/>
        <w:ind w:left="0"/>
        <w:rPr>
          <w:rFonts w:asciiTheme="majorHAnsi" w:hAnsiTheme="majorHAnsi" w:cstheme="majorHAnsi"/>
          <w:b/>
          <w:bCs/>
        </w:rPr>
      </w:pPr>
    </w:p>
    <w:p w14:paraId="16BA4338" w14:textId="38EA4ED9" w:rsidR="001366CD" w:rsidRPr="00770846" w:rsidRDefault="00775C33" w:rsidP="00770846">
      <w:pPr>
        <w:pStyle w:val="ListParagraph"/>
        <w:numPr>
          <w:ilvl w:val="1"/>
          <w:numId w:val="13"/>
        </w:numPr>
        <w:ind w:left="0" w:firstLine="0"/>
        <w:rPr>
          <w:rFonts w:asciiTheme="majorHAnsi" w:hAnsiTheme="majorHAnsi" w:cstheme="majorHAnsi"/>
        </w:rPr>
      </w:pPr>
      <w:r w:rsidRPr="00770846">
        <w:rPr>
          <w:rFonts w:asciiTheme="majorHAnsi" w:hAnsiTheme="majorHAnsi" w:cstheme="majorHAnsi"/>
        </w:rPr>
        <w:t xml:space="preserve">Culture the F98 GB cells in </w:t>
      </w:r>
      <w:r w:rsidR="00EE1661" w:rsidRPr="00770846">
        <w:rPr>
          <w:rFonts w:asciiTheme="majorHAnsi" w:hAnsiTheme="majorHAnsi" w:cstheme="majorHAnsi"/>
        </w:rPr>
        <w:t xml:space="preserve">a </w:t>
      </w:r>
      <w:r w:rsidRPr="00770846">
        <w:rPr>
          <w:rFonts w:asciiTheme="majorHAnsi" w:hAnsiTheme="majorHAnsi" w:cstheme="majorHAnsi"/>
        </w:rPr>
        <w:t>monolayer using Dulbecco’s Modified Eagle Medium</w:t>
      </w:r>
      <w:r w:rsidR="00EE1661" w:rsidRPr="00770846">
        <w:rPr>
          <w:rFonts w:asciiTheme="majorHAnsi" w:hAnsiTheme="majorHAnsi" w:cstheme="majorHAnsi"/>
        </w:rPr>
        <w:t xml:space="preserve">, supplemented with </w:t>
      </w:r>
      <w:r w:rsidRPr="00770846">
        <w:rPr>
          <w:rFonts w:asciiTheme="majorHAnsi" w:hAnsiTheme="majorHAnsi" w:cstheme="majorHAnsi"/>
        </w:rPr>
        <w:t>10%</w:t>
      </w:r>
      <w:r w:rsidR="00A94CA0" w:rsidRPr="00770846">
        <w:rPr>
          <w:rFonts w:asciiTheme="majorHAnsi" w:hAnsiTheme="majorHAnsi" w:cstheme="majorHAnsi"/>
        </w:rPr>
        <w:t xml:space="preserve"> calf serum, 1% penicillin, 1% streptomycin, </w:t>
      </w:r>
      <w:r w:rsidR="00EE1661" w:rsidRPr="00770846">
        <w:rPr>
          <w:rFonts w:asciiTheme="majorHAnsi" w:hAnsiTheme="majorHAnsi" w:cstheme="majorHAnsi"/>
        </w:rPr>
        <w:t xml:space="preserve">and </w:t>
      </w:r>
      <w:r w:rsidR="00A94CA0" w:rsidRPr="00770846">
        <w:rPr>
          <w:rFonts w:asciiTheme="majorHAnsi" w:hAnsiTheme="majorHAnsi" w:cstheme="majorHAnsi"/>
        </w:rPr>
        <w:t>1% L-glutamine</w:t>
      </w:r>
      <w:r w:rsidR="00EE1661" w:rsidRPr="00770846">
        <w:rPr>
          <w:rFonts w:asciiTheme="majorHAnsi" w:hAnsiTheme="majorHAnsi" w:cstheme="majorHAnsi"/>
        </w:rPr>
        <w:t>,</w:t>
      </w:r>
      <w:r w:rsidR="00734900" w:rsidRPr="00770846">
        <w:rPr>
          <w:rFonts w:asciiTheme="majorHAnsi" w:hAnsiTheme="majorHAnsi" w:cstheme="majorHAnsi"/>
        </w:rPr>
        <w:t xml:space="preserve"> and place</w:t>
      </w:r>
      <w:r w:rsidR="00EE1661" w:rsidRPr="00770846">
        <w:rPr>
          <w:rFonts w:asciiTheme="majorHAnsi" w:hAnsiTheme="majorHAnsi" w:cstheme="majorHAnsi"/>
        </w:rPr>
        <w:t xml:space="preserve"> them</w:t>
      </w:r>
      <w:r w:rsidR="00734900" w:rsidRPr="00770846">
        <w:rPr>
          <w:rFonts w:asciiTheme="majorHAnsi" w:hAnsiTheme="majorHAnsi" w:cstheme="majorHAnsi"/>
        </w:rPr>
        <w:t xml:space="preserve"> in a CO</w:t>
      </w:r>
      <w:r w:rsidR="00734900" w:rsidRPr="00770846">
        <w:rPr>
          <w:rFonts w:asciiTheme="majorHAnsi" w:hAnsiTheme="majorHAnsi" w:cstheme="majorHAnsi"/>
          <w:vertAlign w:val="subscript"/>
        </w:rPr>
        <w:t>2</w:t>
      </w:r>
      <w:r w:rsidR="00734900" w:rsidRPr="00770846">
        <w:rPr>
          <w:rFonts w:asciiTheme="majorHAnsi" w:hAnsiTheme="majorHAnsi" w:cstheme="majorHAnsi"/>
        </w:rPr>
        <w:t xml:space="preserve"> incubator (5% CO</w:t>
      </w:r>
      <w:r w:rsidR="00734900" w:rsidRPr="00770846">
        <w:rPr>
          <w:rFonts w:asciiTheme="majorHAnsi" w:hAnsiTheme="majorHAnsi" w:cstheme="majorHAnsi"/>
          <w:vertAlign w:val="subscript"/>
        </w:rPr>
        <w:t>2</w:t>
      </w:r>
      <w:r w:rsidR="00734900" w:rsidRPr="00770846">
        <w:rPr>
          <w:rFonts w:asciiTheme="majorHAnsi" w:hAnsiTheme="majorHAnsi" w:cstheme="majorHAnsi"/>
        </w:rPr>
        <w:t xml:space="preserve"> and 37 °C)</w:t>
      </w:r>
      <w:r w:rsidR="00B90C33" w:rsidRPr="00770846">
        <w:rPr>
          <w:rFonts w:asciiTheme="majorHAnsi" w:hAnsiTheme="majorHAnsi" w:cstheme="majorHAnsi"/>
        </w:rPr>
        <w:t>.</w:t>
      </w:r>
    </w:p>
    <w:p w14:paraId="020DD8CA" w14:textId="77777777" w:rsidR="006D4061" w:rsidRPr="00770846" w:rsidRDefault="006D4061" w:rsidP="00770846">
      <w:pPr>
        <w:pStyle w:val="ListParagraph"/>
        <w:ind w:left="0"/>
        <w:rPr>
          <w:rFonts w:asciiTheme="majorHAnsi" w:hAnsiTheme="majorHAnsi" w:cstheme="majorHAnsi"/>
        </w:rPr>
      </w:pPr>
    </w:p>
    <w:p w14:paraId="120AC194" w14:textId="448EBB81" w:rsidR="00B90C33" w:rsidRPr="00770846" w:rsidRDefault="00B90C33" w:rsidP="00770846">
      <w:pPr>
        <w:pStyle w:val="ListParagraph"/>
        <w:numPr>
          <w:ilvl w:val="1"/>
          <w:numId w:val="13"/>
        </w:numPr>
        <w:ind w:left="0" w:firstLine="0"/>
        <w:rPr>
          <w:rFonts w:asciiTheme="majorHAnsi" w:hAnsiTheme="majorHAnsi" w:cstheme="majorHAnsi"/>
        </w:rPr>
      </w:pPr>
      <w:r w:rsidRPr="00770846">
        <w:rPr>
          <w:rFonts w:asciiTheme="majorHAnsi" w:hAnsiTheme="majorHAnsi" w:cstheme="majorHAnsi"/>
        </w:rPr>
        <w:t>Inoculate the glioma cells in</w:t>
      </w:r>
      <w:r w:rsidR="004B289E" w:rsidRPr="00770846">
        <w:rPr>
          <w:rFonts w:asciiTheme="majorHAnsi" w:hAnsiTheme="majorHAnsi" w:cstheme="majorHAnsi"/>
        </w:rPr>
        <w:t>to</w:t>
      </w:r>
      <w:r w:rsidRPr="00770846">
        <w:rPr>
          <w:rFonts w:asciiTheme="majorHAnsi" w:hAnsiTheme="majorHAnsi" w:cstheme="majorHAnsi"/>
        </w:rPr>
        <w:t xml:space="preserve"> the brain of female Fischer F344 rats (body weight 170 g).</w:t>
      </w:r>
    </w:p>
    <w:p w14:paraId="4DE8BE5E" w14:textId="53B50E3D" w:rsidR="00B90C33" w:rsidRPr="00770846" w:rsidRDefault="00976143" w:rsidP="00770846">
      <w:pPr>
        <w:pStyle w:val="ListParagraph"/>
        <w:ind w:left="0"/>
        <w:rPr>
          <w:rFonts w:asciiTheme="majorHAnsi" w:hAnsiTheme="majorHAnsi" w:cstheme="majorHAnsi"/>
        </w:rPr>
      </w:pPr>
      <w:r w:rsidRPr="00770846">
        <w:rPr>
          <w:rFonts w:asciiTheme="majorHAnsi" w:hAnsiTheme="majorHAnsi" w:cstheme="majorHAnsi"/>
        </w:rPr>
        <w:lastRenderedPageBreak/>
        <w:t xml:space="preserve">NOTE: </w:t>
      </w:r>
      <w:r w:rsidR="00C45192" w:rsidRPr="00770846">
        <w:rPr>
          <w:rFonts w:asciiTheme="majorHAnsi" w:hAnsiTheme="majorHAnsi" w:cstheme="majorHAnsi"/>
        </w:rPr>
        <w:t xml:space="preserve">Use sterile instruments and </w:t>
      </w:r>
      <w:proofErr w:type="gramStart"/>
      <w:r w:rsidR="00C45192" w:rsidRPr="00770846">
        <w:rPr>
          <w:rFonts w:asciiTheme="majorHAnsi" w:hAnsiTheme="majorHAnsi" w:cstheme="majorHAnsi"/>
        </w:rPr>
        <w:t>wear sterile gloves at all times</w:t>
      </w:r>
      <w:proofErr w:type="gramEnd"/>
      <w:r w:rsidR="00C45192" w:rsidRPr="00770846">
        <w:rPr>
          <w:rFonts w:asciiTheme="majorHAnsi" w:hAnsiTheme="majorHAnsi" w:cstheme="majorHAnsi"/>
        </w:rPr>
        <w:t>.</w:t>
      </w:r>
    </w:p>
    <w:p w14:paraId="46524345" w14:textId="77777777" w:rsidR="006D4061" w:rsidRPr="00770846" w:rsidRDefault="006D4061" w:rsidP="00770846">
      <w:pPr>
        <w:pStyle w:val="ListParagraph"/>
        <w:ind w:left="0"/>
        <w:rPr>
          <w:rFonts w:asciiTheme="majorHAnsi" w:hAnsiTheme="majorHAnsi" w:cstheme="majorHAnsi"/>
        </w:rPr>
      </w:pPr>
    </w:p>
    <w:p w14:paraId="394C0A06" w14:textId="3FD7CE81" w:rsidR="00A50255" w:rsidRPr="00770846" w:rsidRDefault="00A50255" w:rsidP="00770846">
      <w:pPr>
        <w:pStyle w:val="ListParagraph"/>
        <w:numPr>
          <w:ilvl w:val="2"/>
          <w:numId w:val="28"/>
        </w:numPr>
        <w:ind w:left="0" w:firstLine="0"/>
        <w:rPr>
          <w:rFonts w:asciiTheme="majorHAnsi" w:hAnsiTheme="majorHAnsi" w:cstheme="majorHAnsi"/>
        </w:rPr>
      </w:pPr>
      <w:bookmarkStart w:id="0" w:name="_Hlk60691440"/>
      <w:r w:rsidRPr="00770846">
        <w:rPr>
          <w:rFonts w:asciiTheme="majorHAnsi" w:hAnsiTheme="majorHAnsi" w:cstheme="majorHAnsi"/>
        </w:rPr>
        <w:t>Anesthetize the rats through</w:t>
      </w:r>
      <w:r w:rsidR="00A429B2" w:rsidRPr="00770846">
        <w:rPr>
          <w:rFonts w:asciiTheme="majorHAnsi" w:hAnsiTheme="majorHAnsi" w:cstheme="majorHAnsi"/>
        </w:rPr>
        <w:t xml:space="preserve"> the</w:t>
      </w:r>
      <w:r w:rsidRPr="00770846">
        <w:rPr>
          <w:rFonts w:asciiTheme="majorHAnsi" w:hAnsiTheme="majorHAnsi" w:cstheme="majorHAnsi"/>
        </w:rPr>
        <w:t xml:space="preserve"> inhalation of isoflurane (5% induction, 2% maintenance) mixed with oxygen (0.3 mL/min) through a nose cone. </w:t>
      </w:r>
      <w:bookmarkEnd w:id="0"/>
      <w:r w:rsidRPr="00770846">
        <w:rPr>
          <w:rFonts w:asciiTheme="majorHAnsi" w:hAnsiTheme="majorHAnsi" w:cstheme="majorHAnsi"/>
        </w:rPr>
        <w:t xml:space="preserve">Confirm the anesthetization by the absence of withdrawal reflex of the </w:t>
      </w:r>
      <w:proofErr w:type="gramStart"/>
      <w:r w:rsidRPr="00770846">
        <w:rPr>
          <w:rFonts w:asciiTheme="majorHAnsi" w:hAnsiTheme="majorHAnsi" w:cstheme="majorHAnsi"/>
        </w:rPr>
        <w:t>limb</w:t>
      </w:r>
      <w:r w:rsidR="005A53BA" w:rsidRPr="00770846">
        <w:rPr>
          <w:rFonts w:asciiTheme="majorHAnsi" w:hAnsiTheme="majorHAnsi" w:cstheme="majorHAnsi"/>
        </w:rPr>
        <w:t>, and</w:t>
      </w:r>
      <w:proofErr w:type="gramEnd"/>
      <w:r w:rsidR="005A53BA" w:rsidRPr="00770846">
        <w:rPr>
          <w:rFonts w:asciiTheme="majorHAnsi" w:hAnsiTheme="majorHAnsi" w:cstheme="majorHAnsi"/>
        </w:rPr>
        <w:t xml:space="preserve"> i</w:t>
      </w:r>
      <w:r w:rsidRPr="00770846">
        <w:rPr>
          <w:rFonts w:asciiTheme="majorHAnsi" w:hAnsiTheme="majorHAnsi" w:cstheme="majorHAnsi"/>
        </w:rPr>
        <w:t xml:space="preserve">mmobilize the rats in a stereotactic device using fixation points for </w:t>
      </w:r>
      <w:r w:rsidR="005A53BA" w:rsidRPr="00770846">
        <w:rPr>
          <w:rFonts w:asciiTheme="majorHAnsi" w:hAnsiTheme="majorHAnsi" w:cstheme="majorHAnsi"/>
        </w:rPr>
        <w:t xml:space="preserve">the </w:t>
      </w:r>
      <w:r w:rsidRPr="00770846">
        <w:rPr>
          <w:rFonts w:asciiTheme="majorHAnsi" w:hAnsiTheme="majorHAnsi" w:cstheme="majorHAnsi"/>
        </w:rPr>
        <w:t xml:space="preserve">nose and ears. Apply a carbomer eye gel to prevent dry eyes under anesthesia. Maintain the body temperature by a thermoregulated heating pad and rectal probe at 37 °C. </w:t>
      </w:r>
    </w:p>
    <w:p w14:paraId="0A5CBFF5" w14:textId="77777777" w:rsidR="006D4061" w:rsidRPr="00770846" w:rsidRDefault="006D4061" w:rsidP="00770846">
      <w:pPr>
        <w:rPr>
          <w:rFonts w:asciiTheme="majorHAnsi" w:hAnsiTheme="majorHAnsi" w:cstheme="majorHAnsi"/>
        </w:rPr>
      </w:pPr>
    </w:p>
    <w:p w14:paraId="1C58D03C" w14:textId="551A0C1F" w:rsidR="00417C5D" w:rsidRPr="00770846" w:rsidRDefault="00417C5D" w:rsidP="00770846">
      <w:pPr>
        <w:pStyle w:val="ListParagraph"/>
        <w:numPr>
          <w:ilvl w:val="2"/>
          <w:numId w:val="28"/>
        </w:numPr>
        <w:ind w:left="0" w:firstLine="0"/>
        <w:rPr>
          <w:rFonts w:asciiTheme="majorHAnsi" w:hAnsiTheme="majorHAnsi" w:cstheme="majorHAnsi"/>
        </w:rPr>
      </w:pPr>
      <w:r w:rsidRPr="00770846">
        <w:rPr>
          <w:rFonts w:asciiTheme="majorHAnsi" w:hAnsiTheme="majorHAnsi" w:cstheme="majorHAnsi"/>
        </w:rPr>
        <w:t xml:space="preserve">Shave the rat from </w:t>
      </w:r>
      <w:r w:rsidR="005A53BA" w:rsidRPr="00770846">
        <w:rPr>
          <w:rFonts w:asciiTheme="majorHAnsi" w:hAnsiTheme="majorHAnsi" w:cstheme="majorHAnsi"/>
        </w:rPr>
        <w:t xml:space="preserve">the </w:t>
      </w:r>
      <w:r w:rsidRPr="00770846">
        <w:rPr>
          <w:rFonts w:asciiTheme="majorHAnsi" w:hAnsiTheme="majorHAnsi" w:cstheme="majorHAnsi"/>
        </w:rPr>
        <w:t xml:space="preserve">eye level to the back of the </w:t>
      </w:r>
      <w:proofErr w:type="gramStart"/>
      <w:r w:rsidRPr="00770846">
        <w:rPr>
          <w:rFonts w:asciiTheme="majorHAnsi" w:hAnsiTheme="majorHAnsi" w:cstheme="majorHAnsi"/>
        </w:rPr>
        <w:t>skull</w:t>
      </w:r>
      <w:r w:rsidR="005A53BA" w:rsidRPr="00770846">
        <w:rPr>
          <w:rFonts w:asciiTheme="majorHAnsi" w:hAnsiTheme="majorHAnsi" w:cstheme="majorHAnsi"/>
        </w:rPr>
        <w:t>,</w:t>
      </w:r>
      <w:r w:rsidRPr="00770846">
        <w:rPr>
          <w:rFonts w:asciiTheme="majorHAnsi" w:hAnsiTheme="majorHAnsi" w:cstheme="majorHAnsi"/>
        </w:rPr>
        <w:t xml:space="preserve"> and</w:t>
      </w:r>
      <w:proofErr w:type="gramEnd"/>
      <w:r w:rsidRPr="00770846">
        <w:rPr>
          <w:rFonts w:asciiTheme="majorHAnsi" w:hAnsiTheme="majorHAnsi" w:cstheme="majorHAnsi"/>
        </w:rPr>
        <w:t xml:space="preserve"> disinfect the skin with </w:t>
      </w:r>
      <w:proofErr w:type="spellStart"/>
      <w:r w:rsidRPr="00770846">
        <w:rPr>
          <w:rFonts w:asciiTheme="majorHAnsi" w:hAnsiTheme="majorHAnsi" w:cstheme="majorHAnsi"/>
        </w:rPr>
        <w:t>isobetadine</w:t>
      </w:r>
      <w:proofErr w:type="spellEnd"/>
      <w:r w:rsidRPr="00770846">
        <w:rPr>
          <w:rFonts w:asciiTheme="majorHAnsi" w:hAnsiTheme="majorHAnsi" w:cstheme="majorHAnsi"/>
        </w:rPr>
        <w:t>. Inject xylocaine (with adrenaline 1:200000, 0.1 mL) subcutaneous</w:t>
      </w:r>
      <w:r w:rsidR="005A53BA" w:rsidRPr="00770846">
        <w:rPr>
          <w:rFonts w:asciiTheme="majorHAnsi" w:hAnsiTheme="majorHAnsi" w:cstheme="majorHAnsi"/>
        </w:rPr>
        <w:t>ly</w:t>
      </w:r>
      <w:r w:rsidRPr="00770846">
        <w:rPr>
          <w:rFonts w:asciiTheme="majorHAnsi" w:hAnsiTheme="majorHAnsi" w:cstheme="majorHAnsi"/>
        </w:rPr>
        <w:t xml:space="preserve"> for local anesthesia. </w:t>
      </w:r>
    </w:p>
    <w:p w14:paraId="121117CB" w14:textId="77777777" w:rsidR="006D4061" w:rsidRPr="00770846" w:rsidRDefault="006D4061" w:rsidP="00770846">
      <w:pPr>
        <w:rPr>
          <w:rFonts w:asciiTheme="majorHAnsi" w:hAnsiTheme="majorHAnsi" w:cstheme="majorHAnsi"/>
        </w:rPr>
      </w:pPr>
    </w:p>
    <w:p w14:paraId="774D6024" w14:textId="06FF70AE" w:rsidR="00417C5D" w:rsidRPr="00770846" w:rsidRDefault="00417C5D" w:rsidP="00770846">
      <w:pPr>
        <w:pStyle w:val="ListParagraph"/>
        <w:numPr>
          <w:ilvl w:val="2"/>
          <w:numId w:val="28"/>
        </w:numPr>
        <w:ind w:left="0" w:firstLine="0"/>
        <w:rPr>
          <w:rFonts w:asciiTheme="majorHAnsi" w:hAnsiTheme="majorHAnsi" w:cstheme="majorHAnsi"/>
        </w:rPr>
      </w:pPr>
      <w:r w:rsidRPr="00770846">
        <w:rPr>
          <w:rFonts w:asciiTheme="majorHAnsi" w:hAnsiTheme="majorHAnsi" w:cstheme="majorHAnsi"/>
        </w:rPr>
        <w:t xml:space="preserve">Expose the skull through a midline scalp incision and make a small hole with </w:t>
      </w:r>
      <w:r w:rsidR="00FC4500" w:rsidRPr="00770846">
        <w:rPr>
          <w:rFonts w:asciiTheme="majorHAnsi" w:hAnsiTheme="majorHAnsi" w:cstheme="majorHAnsi"/>
        </w:rPr>
        <w:t xml:space="preserve">a </w:t>
      </w:r>
      <w:r w:rsidRPr="00770846">
        <w:rPr>
          <w:rFonts w:asciiTheme="majorHAnsi" w:hAnsiTheme="majorHAnsi" w:cstheme="majorHAnsi"/>
        </w:rPr>
        <w:t xml:space="preserve">drill tool 3 mm posterior and 3 mm lateral to </w:t>
      </w:r>
      <w:r w:rsidR="004C27EA" w:rsidRPr="00770846">
        <w:rPr>
          <w:rFonts w:asciiTheme="majorHAnsi" w:hAnsiTheme="majorHAnsi" w:cstheme="majorHAnsi"/>
        </w:rPr>
        <w:t xml:space="preserve">the </w:t>
      </w:r>
      <w:r w:rsidRPr="00770846">
        <w:rPr>
          <w:rFonts w:asciiTheme="majorHAnsi" w:hAnsiTheme="majorHAnsi" w:cstheme="majorHAnsi"/>
        </w:rPr>
        <w:t xml:space="preserve">bregma in the right hemisphere. </w:t>
      </w:r>
    </w:p>
    <w:p w14:paraId="10C79EBD" w14:textId="77777777" w:rsidR="006D4061" w:rsidRPr="00770846" w:rsidRDefault="006D4061" w:rsidP="00770846">
      <w:pPr>
        <w:rPr>
          <w:rFonts w:asciiTheme="majorHAnsi" w:hAnsiTheme="majorHAnsi" w:cstheme="majorHAnsi"/>
        </w:rPr>
      </w:pPr>
    </w:p>
    <w:p w14:paraId="69C9C17D" w14:textId="6A3AF730" w:rsidR="00417C5D" w:rsidRPr="00770846" w:rsidRDefault="00417C5D" w:rsidP="00770846">
      <w:pPr>
        <w:pStyle w:val="ListParagraph"/>
        <w:numPr>
          <w:ilvl w:val="2"/>
          <w:numId w:val="28"/>
        </w:numPr>
        <w:ind w:left="0" w:firstLine="0"/>
        <w:rPr>
          <w:rFonts w:asciiTheme="majorHAnsi" w:hAnsiTheme="majorHAnsi" w:cstheme="majorHAnsi"/>
        </w:rPr>
      </w:pPr>
      <w:r w:rsidRPr="00770846">
        <w:rPr>
          <w:rFonts w:asciiTheme="majorHAnsi" w:hAnsiTheme="majorHAnsi" w:cstheme="majorHAnsi"/>
        </w:rPr>
        <w:t xml:space="preserve">Insert a stereotactically guided insulin needle (29 G) and inject 5 µL </w:t>
      </w:r>
      <w:r w:rsidR="004C27EA" w:rsidRPr="00770846">
        <w:rPr>
          <w:rFonts w:asciiTheme="majorHAnsi" w:hAnsiTheme="majorHAnsi" w:cstheme="majorHAnsi"/>
        </w:rPr>
        <w:t xml:space="preserve">of </w:t>
      </w:r>
      <w:r w:rsidRPr="00770846">
        <w:rPr>
          <w:rFonts w:asciiTheme="majorHAnsi" w:hAnsiTheme="majorHAnsi" w:cstheme="majorHAnsi"/>
        </w:rPr>
        <w:t>cell suspension (20</w:t>
      </w:r>
      <w:r w:rsidR="004C27EA" w:rsidRPr="00770846">
        <w:rPr>
          <w:rFonts w:asciiTheme="majorHAnsi" w:hAnsiTheme="majorHAnsi" w:cstheme="majorHAnsi"/>
        </w:rPr>
        <w:t>,</w:t>
      </w:r>
      <w:r w:rsidRPr="00770846">
        <w:rPr>
          <w:rFonts w:asciiTheme="majorHAnsi" w:hAnsiTheme="majorHAnsi" w:cstheme="majorHAnsi"/>
        </w:rPr>
        <w:t xml:space="preserve">000 F98 GB cells) 3 mm deep using a microsyringe pump controller. Leave the needle in place for </w:t>
      </w:r>
      <w:r w:rsidR="004C27EA" w:rsidRPr="00770846">
        <w:rPr>
          <w:rFonts w:asciiTheme="majorHAnsi" w:hAnsiTheme="majorHAnsi" w:cstheme="majorHAnsi"/>
        </w:rPr>
        <w:t>5</w:t>
      </w:r>
      <w:r w:rsidRPr="00770846">
        <w:rPr>
          <w:rFonts w:asciiTheme="majorHAnsi" w:hAnsiTheme="majorHAnsi" w:cstheme="majorHAnsi"/>
        </w:rPr>
        <w:t xml:space="preserve"> min, giving the cell suspension time to diffuse into the tissue.</w:t>
      </w:r>
    </w:p>
    <w:p w14:paraId="78946DCC" w14:textId="77777777" w:rsidR="006D4061" w:rsidRPr="00770846" w:rsidRDefault="006D4061" w:rsidP="00770846">
      <w:pPr>
        <w:rPr>
          <w:rFonts w:asciiTheme="majorHAnsi" w:hAnsiTheme="majorHAnsi" w:cstheme="majorHAnsi"/>
        </w:rPr>
      </w:pPr>
    </w:p>
    <w:p w14:paraId="22F6BBD4" w14:textId="2DB6D915" w:rsidR="00417C5D" w:rsidRPr="00770846" w:rsidRDefault="00417C5D" w:rsidP="00770846">
      <w:pPr>
        <w:pStyle w:val="ListParagraph"/>
        <w:numPr>
          <w:ilvl w:val="2"/>
          <w:numId w:val="28"/>
        </w:numPr>
        <w:ind w:left="0" w:firstLine="0"/>
        <w:rPr>
          <w:rFonts w:asciiTheme="majorHAnsi" w:hAnsiTheme="majorHAnsi" w:cstheme="majorHAnsi"/>
        </w:rPr>
      </w:pPr>
      <w:r w:rsidRPr="00770846">
        <w:rPr>
          <w:rFonts w:asciiTheme="majorHAnsi" w:hAnsiTheme="majorHAnsi" w:cstheme="majorHAnsi"/>
        </w:rPr>
        <w:t>Withdraw the syringe slowly and close the hole in the skull with bone wax. Suture the skin</w:t>
      </w:r>
      <w:r w:rsidR="001366CD" w:rsidRPr="00770846">
        <w:rPr>
          <w:rFonts w:asciiTheme="majorHAnsi" w:hAnsiTheme="majorHAnsi" w:cstheme="majorHAnsi"/>
        </w:rPr>
        <w:t xml:space="preserve"> (polyamide 6, thi</w:t>
      </w:r>
      <w:r w:rsidR="00D21CFE" w:rsidRPr="00770846">
        <w:rPr>
          <w:rFonts w:asciiTheme="majorHAnsi" w:hAnsiTheme="majorHAnsi" w:cstheme="majorHAnsi"/>
        </w:rPr>
        <w:t>c</w:t>
      </w:r>
      <w:r w:rsidR="001366CD" w:rsidRPr="00770846">
        <w:rPr>
          <w:rFonts w:asciiTheme="majorHAnsi" w:hAnsiTheme="majorHAnsi" w:cstheme="majorHAnsi"/>
        </w:rPr>
        <w:t>kness 4-0)</w:t>
      </w:r>
      <w:r w:rsidRPr="00770846">
        <w:rPr>
          <w:rFonts w:asciiTheme="majorHAnsi" w:hAnsiTheme="majorHAnsi" w:cstheme="majorHAnsi"/>
        </w:rPr>
        <w:t xml:space="preserve"> and inject meloxicam subcutaneously (1 mg/kg, 2 mg/mL). Apply xylocaine gel.</w:t>
      </w:r>
    </w:p>
    <w:p w14:paraId="72D49C2C" w14:textId="77777777" w:rsidR="00C50973" w:rsidRPr="00770846" w:rsidRDefault="00C50973" w:rsidP="00770846">
      <w:pPr>
        <w:rPr>
          <w:rFonts w:asciiTheme="majorHAnsi" w:hAnsiTheme="majorHAnsi" w:cstheme="majorHAnsi"/>
        </w:rPr>
      </w:pPr>
    </w:p>
    <w:p w14:paraId="5D20F50C" w14:textId="19BA0D31" w:rsidR="009E0907" w:rsidRPr="00770846" w:rsidRDefault="00417C5D" w:rsidP="00770846">
      <w:pPr>
        <w:pStyle w:val="ListParagraph"/>
        <w:numPr>
          <w:ilvl w:val="2"/>
          <w:numId w:val="28"/>
        </w:numPr>
        <w:ind w:left="0" w:firstLine="0"/>
        <w:rPr>
          <w:rFonts w:asciiTheme="majorHAnsi" w:hAnsiTheme="majorHAnsi" w:cstheme="majorHAnsi"/>
        </w:rPr>
      </w:pPr>
      <w:r w:rsidRPr="00770846">
        <w:rPr>
          <w:rFonts w:asciiTheme="majorHAnsi" w:hAnsiTheme="majorHAnsi" w:cstheme="majorHAnsi"/>
        </w:rPr>
        <w:t xml:space="preserve">Stabilize the body temperature of the animal post-surgery using a red lamp. Monitor the awakening of the rat until it has regained sufficient consciousness. Do not return the animal to the company of other animals until fully recovered. </w:t>
      </w:r>
      <w:r w:rsidR="00E8762F" w:rsidRPr="00770846">
        <w:rPr>
          <w:rFonts w:asciiTheme="majorHAnsi" w:hAnsiTheme="majorHAnsi" w:cstheme="majorHAnsi"/>
        </w:rPr>
        <w:t>House all</w:t>
      </w:r>
      <w:r w:rsidRPr="00770846">
        <w:rPr>
          <w:rFonts w:asciiTheme="majorHAnsi" w:hAnsiTheme="majorHAnsi" w:cstheme="majorHAnsi"/>
        </w:rPr>
        <w:t xml:space="preserve"> animals under environmentally controlled conditions (12</w:t>
      </w:r>
      <w:r w:rsidR="009E0907" w:rsidRPr="00770846">
        <w:rPr>
          <w:rFonts w:asciiTheme="majorHAnsi" w:hAnsiTheme="majorHAnsi" w:cstheme="majorHAnsi"/>
        </w:rPr>
        <w:t xml:space="preserve"> </w:t>
      </w:r>
      <w:r w:rsidRPr="00770846">
        <w:rPr>
          <w:rFonts w:asciiTheme="majorHAnsi" w:hAnsiTheme="majorHAnsi" w:cstheme="majorHAnsi"/>
        </w:rPr>
        <w:t>h light/dark cycle, 20</w:t>
      </w:r>
      <w:r w:rsidR="009E0907" w:rsidRPr="00770846">
        <w:rPr>
          <w:rFonts w:asciiTheme="majorHAnsi" w:hAnsiTheme="majorHAnsi" w:cstheme="majorHAnsi"/>
        </w:rPr>
        <w:t>–</w:t>
      </w:r>
      <w:r w:rsidRPr="00770846">
        <w:rPr>
          <w:rFonts w:asciiTheme="majorHAnsi" w:hAnsiTheme="majorHAnsi" w:cstheme="majorHAnsi"/>
        </w:rPr>
        <w:t>24 °C</w:t>
      </w:r>
      <w:r w:rsidR="009E0907" w:rsidRPr="00770846">
        <w:rPr>
          <w:rFonts w:asciiTheme="majorHAnsi" w:hAnsiTheme="majorHAnsi" w:cstheme="majorHAnsi"/>
        </w:rPr>
        <w:t>,</w:t>
      </w:r>
      <w:r w:rsidRPr="00770846">
        <w:rPr>
          <w:rFonts w:asciiTheme="majorHAnsi" w:hAnsiTheme="majorHAnsi" w:cstheme="majorHAnsi"/>
        </w:rPr>
        <w:t xml:space="preserve"> and 40</w:t>
      </w:r>
      <w:r w:rsidR="009E0907" w:rsidRPr="00770846">
        <w:rPr>
          <w:rFonts w:asciiTheme="majorHAnsi" w:hAnsiTheme="majorHAnsi" w:cstheme="majorHAnsi"/>
        </w:rPr>
        <w:t>–</w:t>
      </w:r>
      <w:r w:rsidRPr="00770846">
        <w:rPr>
          <w:rFonts w:asciiTheme="majorHAnsi" w:hAnsiTheme="majorHAnsi" w:cstheme="majorHAnsi"/>
        </w:rPr>
        <w:t xml:space="preserve">70% relative humidity) with food and water </w:t>
      </w:r>
      <w:r w:rsidRPr="00770846">
        <w:rPr>
          <w:rFonts w:asciiTheme="majorHAnsi" w:hAnsiTheme="majorHAnsi" w:cstheme="majorHAnsi"/>
          <w:i/>
          <w:iCs/>
        </w:rPr>
        <w:t>ad libitum</w:t>
      </w:r>
      <w:r w:rsidRPr="00770846">
        <w:rPr>
          <w:rFonts w:asciiTheme="majorHAnsi" w:hAnsiTheme="majorHAnsi" w:cstheme="majorHAnsi"/>
        </w:rPr>
        <w:t xml:space="preserve">. </w:t>
      </w:r>
    </w:p>
    <w:p w14:paraId="3354A77F" w14:textId="77777777" w:rsidR="009E0907" w:rsidRPr="00770846" w:rsidRDefault="009E0907" w:rsidP="00770846">
      <w:pPr>
        <w:pStyle w:val="ListParagraph"/>
        <w:ind w:left="0"/>
        <w:rPr>
          <w:rFonts w:asciiTheme="majorHAnsi" w:hAnsiTheme="majorHAnsi" w:cstheme="majorHAnsi"/>
        </w:rPr>
      </w:pPr>
    </w:p>
    <w:p w14:paraId="46D05F53" w14:textId="2A9E90D4" w:rsidR="00A50255" w:rsidRPr="00770846" w:rsidRDefault="009E0907" w:rsidP="00770846">
      <w:pPr>
        <w:pStyle w:val="ListParagraph"/>
        <w:numPr>
          <w:ilvl w:val="2"/>
          <w:numId w:val="28"/>
        </w:numPr>
        <w:ind w:left="0" w:firstLine="0"/>
        <w:rPr>
          <w:rFonts w:asciiTheme="majorHAnsi" w:hAnsiTheme="majorHAnsi" w:cstheme="majorHAnsi"/>
        </w:rPr>
      </w:pPr>
      <w:r w:rsidRPr="00770846">
        <w:rPr>
          <w:rFonts w:asciiTheme="majorHAnsi" w:hAnsiTheme="majorHAnsi" w:cstheme="majorHAnsi"/>
        </w:rPr>
        <w:t>Be</w:t>
      </w:r>
      <w:r w:rsidR="00417C5D" w:rsidRPr="00770846">
        <w:rPr>
          <w:rFonts w:asciiTheme="majorHAnsi" w:hAnsiTheme="majorHAnsi" w:cstheme="majorHAnsi"/>
        </w:rPr>
        <w:t xml:space="preserve"> sure to monitor the animals </w:t>
      </w:r>
      <w:r w:rsidR="00E8762F" w:rsidRPr="00770846">
        <w:rPr>
          <w:rFonts w:asciiTheme="majorHAnsi" w:hAnsiTheme="majorHAnsi" w:cstheme="majorHAnsi"/>
        </w:rPr>
        <w:t>daily</w:t>
      </w:r>
      <w:r w:rsidR="007F6F2E" w:rsidRPr="00770846">
        <w:rPr>
          <w:rFonts w:asciiTheme="majorHAnsi" w:hAnsiTheme="majorHAnsi" w:cstheme="majorHAnsi"/>
        </w:rPr>
        <w:t xml:space="preserve"> </w:t>
      </w:r>
      <w:r w:rsidRPr="00770846">
        <w:rPr>
          <w:rFonts w:asciiTheme="majorHAnsi" w:hAnsiTheme="majorHAnsi" w:cstheme="majorHAnsi"/>
        </w:rPr>
        <w:t>and maintain</w:t>
      </w:r>
      <w:r w:rsidR="007F6F2E" w:rsidRPr="00770846">
        <w:rPr>
          <w:rFonts w:asciiTheme="majorHAnsi" w:hAnsiTheme="majorHAnsi" w:cstheme="majorHAnsi"/>
        </w:rPr>
        <w:t xml:space="preserve"> a daily health status log</w:t>
      </w:r>
      <w:r w:rsidR="00E8762F" w:rsidRPr="00770846">
        <w:rPr>
          <w:rFonts w:asciiTheme="majorHAnsi" w:hAnsiTheme="majorHAnsi" w:cstheme="majorHAnsi"/>
        </w:rPr>
        <w:t xml:space="preserve"> </w:t>
      </w:r>
      <w:r w:rsidR="00417C5D" w:rsidRPr="00770846">
        <w:rPr>
          <w:rFonts w:asciiTheme="majorHAnsi" w:hAnsiTheme="majorHAnsi" w:cstheme="majorHAnsi"/>
        </w:rPr>
        <w:t xml:space="preserve">by checking their body weight, food, water intake, and their activity and behavior. Use a lethal dose of pentobarbital sodium to euthanize the animals (160 mg/kg) if a decline of 20% body weight is observed or when the normal </w:t>
      </w:r>
      <w:r w:rsidR="00B94A78" w:rsidRPr="00770846">
        <w:rPr>
          <w:rFonts w:asciiTheme="majorHAnsi" w:hAnsiTheme="majorHAnsi" w:cstheme="majorHAnsi"/>
        </w:rPr>
        <w:t>behavior</w:t>
      </w:r>
      <w:r w:rsidR="00417C5D" w:rsidRPr="00770846">
        <w:rPr>
          <w:rFonts w:asciiTheme="majorHAnsi" w:hAnsiTheme="majorHAnsi" w:cstheme="majorHAnsi"/>
        </w:rPr>
        <w:t xml:space="preserve"> severely deteriorates (e.g.</w:t>
      </w:r>
      <w:r w:rsidRPr="00770846">
        <w:rPr>
          <w:rFonts w:asciiTheme="majorHAnsi" w:hAnsiTheme="majorHAnsi" w:cstheme="majorHAnsi"/>
        </w:rPr>
        <w:t>,</w:t>
      </w:r>
      <w:r w:rsidR="00417C5D" w:rsidRPr="00770846">
        <w:rPr>
          <w:rFonts w:asciiTheme="majorHAnsi" w:hAnsiTheme="majorHAnsi" w:cstheme="majorHAnsi"/>
        </w:rPr>
        <w:t xml:space="preserve"> lack of grooming). </w:t>
      </w:r>
    </w:p>
    <w:p w14:paraId="05442E10" w14:textId="77777777" w:rsidR="00A91CDA" w:rsidRPr="00770846" w:rsidRDefault="00A91CDA" w:rsidP="00770846">
      <w:pPr>
        <w:rPr>
          <w:rFonts w:asciiTheme="majorHAnsi" w:hAnsiTheme="majorHAnsi" w:cstheme="majorHAnsi"/>
        </w:rPr>
      </w:pPr>
    </w:p>
    <w:p w14:paraId="78C73578" w14:textId="35DB223F" w:rsidR="00432AF8" w:rsidRPr="00770846" w:rsidRDefault="00432AF8" w:rsidP="00770846">
      <w:pPr>
        <w:pStyle w:val="ListParagraph"/>
        <w:numPr>
          <w:ilvl w:val="0"/>
          <w:numId w:val="13"/>
        </w:numPr>
        <w:ind w:left="0" w:firstLine="0"/>
        <w:rPr>
          <w:rFonts w:asciiTheme="majorHAnsi" w:hAnsiTheme="majorHAnsi" w:cstheme="majorHAnsi"/>
          <w:b/>
          <w:bCs/>
        </w:rPr>
      </w:pPr>
      <w:r w:rsidRPr="00770846">
        <w:rPr>
          <w:rFonts w:asciiTheme="majorHAnsi" w:hAnsiTheme="majorHAnsi" w:cstheme="majorHAnsi"/>
          <w:b/>
          <w:bCs/>
        </w:rPr>
        <w:t xml:space="preserve">Confirmation of </w:t>
      </w:r>
      <w:r w:rsidR="00EE6B11" w:rsidRPr="00770846">
        <w:rPr>
          <w:rFonts w:asciiTheme="majorHAnsi" w:hAnsiTheme="majorHAnsi" w:cstheme="majorHAnsi"/>
          <w:b/>
          <w:bCs/>
        </w:rPr>
        <w:t>tumor growth</w:t>
      </w:r>
    </w:p>
    <w:p w14:paraId="6D656B9F" w14:textId="77777777" w:rsidR="00C93CDF" w:rsidRPr="00770846" w:rsidRDefault="00C93CDF" w:rsidP="00770846">
      <w:pPr>
        <w:pStyle w:val="ListParagraph"/>
        <w:ind w:left="0"/>
        <w:rPr>
          <w:rFonts w:asciiTheme="majorHAnsi" w:hAnsiTheme="majorHAnsi" w:cstheme="majorHAnsi"/>
          <w:b/>
          <w:bCs/>
        </w:rPr>
      </w:pPr>
    </w:p>
    <w:p w14:paraId="05D1E7A7" w14:textId="0FD7F191" w:rsidR="00C50973" w:rsidRPr="00770846" w:rsidRDefault="007F3132" w:rsidP="00770846">
      <w:pPr>
        <w:pStyle w:val="ListParagraph"/>
        <w:numPr>
          <w:ilvl w:val="1"/>
          <w:numId w:val="13"/>
        </w:numPr>
        <w:ind w:left="0" w:firstLine="0"/>
        <w:rPr>
          <w:rFonts w:asciiTheme="majorHAnsi" w:hAnsiTheme="majorHAnsi" w:cstheme="majorHAnsi"/>
        </w:rPr>
      </w:pPr>
      <w:r w:rsidRPr="00770846">
        <w:rPr>
          <w:rFonts w:asciiTheme="majorHAnsi" w:hAnsiTheme="majorHAnsi" w:cstheme="majorHAnsi"/>
        </w:rPr>
        <w:t>Evaluate tumor growth 8 days post-inoculation</w:t>
      </w:r>
      <w:r w:rsidR="005D1751" w:rsidRPr="00770846">
        <w:rPr>
          <w:rFonts w:asciiTheme="majorHAnsi" w:hAnsiTheme="majorHAnsi" w:cstheme="majorHAnsi"/>
        </w:rPr>
        <w:t xml:space="preserve">. </w:t>
      </w:r>
      <w:r w:rsidR="00935061" w:rsidRPr="00770846">
        <w:rPr>
          <w:rFonts w:asciiTheme="majorHAnsi" w:hAnsiTheme="majorHAnsi" w:cstheme="majorHAnsi"/>
        </w:rPr>
        <w:t xml:space="preserve">Anesthetize the rats through </w:t>
      </w:r>
      <w:r w:rsidR="0016410E" w:rsidRPr="00770846">
        <w:rPr>
          <w:rFonts w:asciiTheme="majorHAnsi" w:hAnsiTheme="majorHAnsi" w:cstheme="majorHAnsi"/>
        </w:rPr>
        <w:t xml:space="preserve">the </w:t>
      </w:r>
      <w:r w:rsidR="00935061" w:rsidRPr="00770846">
        <w:rPr>
          <w:rFonts w:asciiTheme="majorHAnsi" w:hAnsiTheme="majorHAnsi" w:cstheme="majorHAnsi"/>
        </w:rPr>
        <w:t xml:space="preserve">inhalation of isoflurane (5% induction, 2% maintenance) mixed with oxygen (0.3 mL/min) through a nose cone. </w:t>
      </w:r>
      <w:r w:rsidR="00904F9F" w:rsidRPr="00770846">
        <w:rPr>
          <w:rFonts w:asciiTheme="majorHAnsi" w:hAnsiTheme="majorHAnsi" w:cstheme="majorHAnsi"/>
        </w:rPr>
        <w:t xml:space="preserve">Confirm the anesthetization by the absence of withdrawal reflex of the limb. </w:t>
      </w:r>
    </w:p>
    <w:p w14:paraId="0B1CD8C3" w14:textId="77777777" w:rsidR="00C50973" w:rsidRPr="00770846" w:rsidRDefault="00C50973" w:rsidP="00770846">
      <w:pPr>
        <w:rPr>
          <w:rFonts w:asciiTheme="majorHAnsi" w:hAnsiTheme="majorHAnsi" w:cstheme="majorHAnsi"/>
        </w:rPr>
      </w:pPr>
    </w:p>
    <w:p w14:paraId="7276A523" w14:textId="6A5B1047" w:rsidR="00F6713A" w:rsidRPr="00770846" w:rsidRDefault="00F233C5" w:rsidP="00770846">
      <w:pPr>
        <w:pStyle w:val="ListParagraph"/>
        <w:numPr>
          <w:ilvl w:val="1"/>
          <w:numId w:val="13"/>
        </w:numPr>
        <w:ind w:left="0" w:firstLine="0"/>
        <w:rPr>
          <w:rFonts w:asciiTheme="majorHAnsi" w:hAnsiTheme="majorHAnsi" w:cstheme="majorHAnsi"/>
        </w:rPr>
      </w:pPr>
      <w:r w:rsidRPr="00770846">
        <w:rPr>
          <w:rFonts w:asciiTheme="majorHAnsi" w:hAnsiTheme="majorHAnsi" w:cstheme="majorHAnsi"/>
        </w:rPr>
        <w:t>Inject</w:t>
      </w:r>
      <w:r w:rsidR="00396E09" w:rsidRPr="00770846">
        <w:rPr>
          <w:rFonts w:asciiTheme="majorHAnsi" w:hAnsiTheme="majorHAnsi" w:cstheme="majorHAnsi"/>
        </w:rPr>
        <w:t xml:space="preserve"> a gadolinium-containing</w:t>
      </w:r>
      <w:r w:rsidR="009B52CB" w:rsidRPr="00770846">
        <w:rPr>
          <w:rFonts w:asciiTheme="majorHAnsi" w:hAnsiTheme="majorHAnsi" w:cstheme="majorHAnsi"/>
        </w:rPr>
        <w:t xml:space="preserve"> contrast agent</w:t>
      </w:r>
      <w:r w:rsidR="005D4E90" w:rsidRPr="00770846">
        <w:rPr>
          <w:rFonts w:asciiTheme="majorHAnsi" w:hAnsiTheme="majorHAnsi" w:cstheme="majorHAnsi"/>
        </w:rPr>
        <w:t xml:space="preserve"> </w:t>
      </w:r>
      <w:r w:rsidR="00E8762F" w:rsidRPr="00770846">
        <w:rPr>
          <w:rFonts w:asciiTheme="majorHAnsi" w:hAnsiTheme="majorHAnsi" w:cstheme="majorHAnsi"/>
        </w:rPr>
        <w:t>(</w:t>
      </w:r>
      <w:r w:rsidR="005D4E90" w:rsidRPr="00770846">
        <w:rPr>
          <w:rFonts w:asciiTheme="majorHAnsi" w:hAnsiTheme="majorHAnsi" w:cstheme="majorHAnsi"/>
        </w:rPr>
        <w:t xml:space="preserve">0.4 </w:t>
      </w:r>
      <w:r w:rsidR="002D4678" w:rsidRPr="00770846">
        <w:rPr>
          <w:rFonts w:asciiTheme="majorHAnsi" w:hAnsiTheme="majorHAnsi" w:cstheme="majorHAnsi"/>
        </w:rPr>
        <w:t>mL/kg</w:t>
      </w:r>
      <w:r w:rsidR="00E8762F" w:rsidRPr="00770846">
        <w:rPr>
          <w:rFonts w:asciiTheme="majorHAnsi" w:hAnsiTheme="majorHAnsi" w:cstheme="majorHAnsi"/>
        </w:rPr>
        <w:t>)</w:t>
      </w:r>
      <w:r w:rsidR="00E25B60" w:rsidRPr="00770846">
        <w:rPr>
          <w:rFonts w:asciiTheme="majorHAnsi" w:hAnsiTheme="majorHAnsi" w:cstheme="majorHAnsi"/>
        </w:rPr>
        <w:t xml:space="preserve"> </w:t>
      </w:r>
      <w:r w:rsidR="006865F0" w:rsidRPr="00770846">
        <w:rPr>
          <w:rFonts w:asciiTheme="majorHAnsi" w:hAnsiTheme="majorHAnsi" w:cstheme="majorHAnsi"/>
        </w:rPr>
        <w:t xml:space="preserve">through an intravenously placed </w:t>
      </w:r>
      <w:r w:rsidR="004E2AEF" w:rsidRPr="00770846">
        <w:rPr>
          <w:rFonts w:asciiTheme="majorHAnsi" w:hAnsiTheme="majorHAnsi" w:cstheme="majorHAnsi"/>
        </w:rPr>
        <w:t xml:space="preserve">tubing in the lateral tail vein. </w:t>
      </w:r>
      <w:r w:rsidR="00D5625C" w:rsidRPr="00770846">
        <w:rPr>
          <w:rFonts w:asciiTheme="majorHAnsi" w:hAnsiTheme="majorHAnsi" w:cstheme="majorHAnsi"/>
        </w:rPr>
        <w:t xml:space="preserve">Cover the animal </w:t>
      </w:r>
      <w:r w:rsidR="00926C66" w:rsidRPr="00770846">
        <w:rPr>
          <w:rFonts w:asciiTheme="majorHAnsi" w:hAnsiTheme="majorHAnsi" w:cstheme="majorHAnsi"/>
        </w:rPr>
        <w:t xml:space="preserve">with a heated blanket and place them in the MRI bed. </w:t>
      </w:r>
      <w:r w:rsidR="0074578F" w:rsidRPr="00770846">
        <w:rPr>
          <w:rFonts w:asciiTheme="majorHAnsi" w:hAnsiTheme="majorHAnsi" w:cstheme="majorHAnsi"/>
        </w:rPr>
        <w:t xml:space="preserve">Apply a carbomer eye gel to prevent dry eyes under </w:t>
      </w:r>
      <w:r w:rsidR="00B94A78" w:rsidRPr="00770846">
        <w:rPr>
          <w:rFonts w:asciiTheme="majorHAnsi" w:hAnsiTheme="majorHAnsi" w:cstheme="majorHAnsi"/>
        </w:rPr>
        <w:t>anesthesia</w:t>
      </w:r>
      <w:r w:rsidR="0074578F" w:rsidRPr="00770846">
        <w:rPr>
          <w:rFonts w:asciiTheme="majorHAnsi" w:hAnsiTheme="majorHAnsi" w:cstheme="majorHAnsi"/>
        </w:rPr>
        <w:t>.</w:t>
      </w:r>
      <w:r w:rsidR="00EE0B88" w:rsidRPr="00770846">
        <w:rPr>
          <w:rFonts w:asciiTheme="majorHAnsi" w:hAnsiTheme="majorHAnsi" w:cstheme="majorHAnsi"/>
        </w:rPr>
        <w:t xml:space="preserve"> </w:t>
      </w:r>
      <w:r w:rsidR="00F6713A" w:rsidRPr="00770846">
        <w:rPr>
          <w:rFonts w:asciiTheme="majorHAnsi" w:hAnsiTheme="majorHAnsi" w:cstheme="majorHAnsi"/>
        </w:rPr>
        <w:t>Place t</w:t>
      </w:r>
      <w:r w:rsidR="00363DAB" w:rsidRPr="00770846">
        <w:rPr>
          <w:rFonts w:asciiTheme="majorHAnsi" w:hAnsiTheme="majorHAnsi" w:cstheme="majorHAnsi"/>
        </w:rPr>
        <w:t xml:space="preserve">he MRI bed </w:t>
      </w:r>
      <w:r w:rsidR="00363DAB" w:rsidRPr="00770846">
        <w:rPr>
          <w:rFonts w:asciiTheme="majorHAnsi" w:hAnsiTheme="majorHAnsi" w:cstheme="majorHAnsi"/>
        </w:rPr>
        <w:lastRenderedPageBreak/>
        <w:t>in the holder with a</w:t>
      </w:r>
      <w:r w:rsidR="00C11CCA" w:rsidRPr="00770846">
        <w:rPr>
          <w:rFonts w:asciiTheme="majorHAnsi" w:hAnsiTheme="majorHAnsi" w:cstheme="majorHAnsi"/>
        </w:rPr>
        <w:t xml:space="preserve"> </w:t>
      </w:r>
      <w:r w:rsidR="00CF6DED" w:rsidRPr="00770846">
        <w:rPr>
          <w:rFonts w:asciiTheme="majorHAnsi" w:hAnsiTheme="majorHAnsi" w:cstheme="majorHAnsi"/>
        </w:rPr>
        <w:t xml:space="preserve">Tx/Rx </w:t>
      </w:r>
      <w:r w:rsidR="00EE0B88" w:rsidRPr="00770846">
        <w:rPr>
          <w:rFonts w:asciiTheme="majorHAnsi" w:hAnsiTheme="majorHAnsi" w:cstheme="majorHAnsi"/>
        </w:rPr>
        <w:t xml:space="preserve">Rat brain </w:t>
      </w:r>
      <w:r w:rsidR="00CF6DED" w:rsidRPr="00770846">
        <w:rPr>
          <w:rFonts w:asciiTheme="majorHAnsi" w:hAnsiTheme="majorHAnsi" w:cstheme="majorHAnsi"/>
        </w:rPr>
        <w:t>volume</w:t>
      </w:r>
      <w:r w:rsidR="00363DAB" w:rsidRPr="00770846">
        <w:rPr>
          <w:rFonts w:asciiTheme="majorHAnsi" w:hAnsiTheme="majorHAnsi" w:cstheme="majorHAnsi"/>
        </w:rPr>
        <w:t xml:space="preserve"> coil</w:t>
      </w:r>
      <w:r w:rsidR="002268C7" w:rsidRPr="00770846">
        <w:rPr>
          <w:rFonts w:asciiTheme="majorHAnsi" w:hAnsiTheme="majorHAnsi" w:cstheme="majorHAnsi"/>
        </w:rPr>
        <w:t>.</w:t>
      </w:r>
    </w:p>
    <w:p w14:paraId="1D2A142F" w14:textId="77777777" w:rsidR="00C50973" w:rsidRPr="00770846" w:rsidRDefault="00C50973" w:rsidP="00770846">
      <w:pPr>
        <w:rPr>
          <w:rFonts w:asciiTheme="majorHAnsi" w:hAnsiTheme="majorHAnsi" w:cstheme="majorHAnsi"/>
        </w:rPr>
      </w:pPr>
    </w:p>
    <w:p w14:paraId="7A93EB7F" w14:textId="0AE8E3DA" w:rsidR="002268C7" w:rsidRPr="00770846" w:rsidRDefault="002268C7" w:rsidP="00770846">
      <w:pPr>
        <w:pStyle w:val="ListParagraph"/>
        <w:numPr>
          <w:ilvl w:val="1"/>
          <w:numId w:val="13"/>
        </w:numPr>
        <w:ind w:left="0" w:firstLine="0"/>
        <w:rPr>
          <w:rFonts w:asciiTheme="majorHAnsi" w:hAnsiTheme="majorHAnsi" w:cstheme="majorHAnsi"/>
        </w:rPr>
      </w:pPr>
      <w:r w:rsidRPr="00770846">
        <w:rPr>
          <w:rFonts w:asciiTheme="majorHAnsi" w:hAnsiTheme="majorHAnsi" w:cstheme="majorHAnsi"/>
        </w:rPr>
        <w:t>Perform a localizer scan followed by a T</w:t>
      </w:r>
      <w:r w:rsidRPr="00770846">
        <w:rPr>
          <w:rFonts w:asciiTheme="majorHAnsi" w:hAnsiTheme="majorHAnsi" w:cstheme="majorHAnsi"/>
          <w:vertAlign w:val="subscript"/>
        </w:rPr>
        <w:t>2</w:t>
      </w:r>
      <w:r w:rsidRPr="00770846">
        <w:rPr>
          <w:rFonts w:asciiTheme="majorHAnsi" w:hAnsiTheme="majorHAnsi" w:cstheme="majorHAnsi"/>
        </w:rPr>
        <w:t>-</w:t>
      </w:r>
      <w:r w:rsidR="00A62368" w:rsidRPr="00770846">
        <w:rPr>
          <w:rFonts w:asciiTheme="majorHAnsi" w:hAnsiTheme="majorHAnsi" w:cstheme="majorHAnsi"/>
        </w:rPr>
        <w:t>weighted spin-echo scan to assess tumor growth</w:t>
      </w:r>
      <w:r w:rsidR="009F74F6" w:rsidRPr="00770846">
        <w:rPr>
          <w:rFonts w:asciiTheme="majorHAnsi" w:hAnsiTheme="majorHAnsi" w:cstheme="majorHAnsi"/>
        </w:rPr>
        <w:t xml:space="preserve">. </w:t>
      </w:r>
      <w:r w:rsidR="00BE72E7" w:rsidRPr="00770846">
        <w:rPr>
          <w:rFonts w:asciiTheme="majorHAnsi" w:hAnsiTheme="majorHAnsi" w:cstheme="majorHAnsi"/>
        </w:rPr>
        <w:t xml:space="preserve">Use these </w:t>
      </w:r>
      <w:r w:rsidR="0026162D" w:rsidRPr="00770846">
        <w:rPr>
          <w:rFonts w:asciiTheme="majorHAnsi" w:hAnsiTheme="majorHAnsi" w:cstheme="majorHAnsi"/>
        </w:rPr>
        <w:t>T</w:t>
      </w:r>
      <w:r w:rsidR="0026162D" w:rsidRPr="00770846">
        <w:rPr>
          <w:rFonts w:asciiTheme="majorHAnsi" w:hAnsiTheme="majorHAnsi" w:cstheme="majorHAnsi"/>
          <w:vertAlign w:val="subscript"/>
        </w:rPr>
        <w:t>2</w:t>
      </w:r>
      <w:r w:rsidR="0026162D" w:rsidRPr="00770846">
        <w:rPr>
          <w:rFonts w:asciiTheme="majorHAnsi" w:hAnsiTheme="majorHAnsi" w:cstheme="majorHAnsi"/>
        </w:rPr>
        <w:t xml:space="preserve">-MRI sequence </w:t>
      </w:r>
      <w:r w:rsidR="00BE72E7" w:rsidRPr="00770846">
        <w:rPr>
          <w:rFonts w:asciiTheme="majorHAnsi" w:hAnsiTheme="majorHAnsi" w:cstheme="majorHAnsi"/>
        </w:rPr>
        <w:t>settings</w:t>
      </w:r>
      <w:r w:rsidR="0026162D" w:rsidRPr="00770846">
        <w:rPr>
          <w:rFonts w:asciiTheme="majorHAnsi" w:hAnsiTheme="majorHAnsi" w:cstheme="majorHAnsi"/>
        </w:rPr>
        <w:t xml:space="preserve">: </w:t>
      </w:r>
      <w:r w:rsidR="00E25B60" w:rsidRPr="00770846">
        <w:rPr>
          <w:rFonts w:asciiTheme="majorHAnsi" w:hAnsiTheme="majorHAnsi" w:cstheme="majorHAnsi"/>
        </w:rPr>
        <w:t>repetition time</w:t>
      </w:r>
      <w:r w:rsidR="008C0E5E" w:rsidRPr="00770846">
        <w:rPr>
          <w:rFonts w:asciiTheme="majorHAnsi" w:hAnsiTheme="majorHAnsi" w:cstheme="majorHAnsi"/>
        </w:rPr>
        <w:t xml:space="preserve"> (TR</w:t>
      </w:r>
      <w:r w:rsidR="00E25B60" w:rsidRPr="00770846">
        <w:rPr>
          <w:rFonts w:asciiTheme="majorHAnsi" w:hAnsiTheme="majorHAnsi" w:cstheme="majorHAnsi"/>
        </w:rPr>
        <w:t>)</w:t>
      </w:r>
      <w:r w:rsidR="0026162D" w:rsidRPr="00770846">
        <w:rPr>
          <w:rFonts w:asciiTheme="majorHAnsi" w:hAnsiTheme="majorHAnsi" w:cstheme="majorHAnsi"/>
        </w:rPr>
        <w:t>/</w:t>
      </w:r>
      <w:r w:rsidR="00E25B60" w:rsidRPr="00770846">
        <w:rPr>
          <w:rFonts w:asciiTheme="majorHAnsi" w:hAnsiTheme="majorHAnsi" w:cstheme="majorHAnsi"/>
        </w:rPr>
        <w:t>echo time</w:t>
      </w:r>
      <w:r w:rsidR="008C0E5E" w:rsidRPr="00770846">
        <w:rPr>
          <w:rFonts w:asciiTheme="majorHAnsi" w:hAnsiTheme="majorHAnsi" w:cstheme="majorHAnsi"/>
        </w:rPr>
        <w:t xml:space="preserve"> (TE</w:t>
      </w:r>
      <w:r w:rsidR="00E25B60" w:rsidRPr="00770846">
        <w:rPr>
          <w:rFonts w:asciiTheme="majorHAnsi" w:hAnsiTheme="majorHAnsi" w:cstheme="majorHAnsi"/>
        </w:rPr>
        <w:t>)</w:t>
      </w:r>
      <w:r w:rsidR="0026162D" w:rsidRPr="00770846">
        <w:rPr>
          <w:rFonts w:asciiTheme="majorHAnsi" w:hAnsiTheme="majorHAnsi" w:cstheme="majorHAnsi"/>
        </w:rPr>
        <w:t xml:space="preserve"> 3661/37.1 ms, 109 µm isotropic in-plan</w:t>
      </w:r>
      <w:r w:rsidR="0018657E" w:rsidRPr="00770846">
        <w:rPr>
          <w:rFonts w:asciiTheme="majorHAnsi" w:hAnsiTheme="majorHAnsi" w:cstheme="majorHAnsi"/>
        </w:rPr>
        <w:t>e</w:t>
      </w:r>
      <w:r w:rsidR="0026162D" w:rsidRPr="00770846">
        <w:rPr>
          <w:rFonts w:asciiTheme="majorHAnsi" w:hAnsiTheme="majorHAnsi" w:cstheme="majorHAnsi"/>
        </w:rPr>
        <w:t xml:space="preserve"> resolution</w:t>
      </w:r>
      <w:r w:rsidR="006D6674" w:rsidRPr="00770846">
        <w:rPr>
          <w:rFonts w:asciiTheme="majorHAnsi" w:hAnsiTheme="majorHAnsi" w:cstheme="majorHAnsi"/>
        </w:rPr>
        <w:t xml:space="preserve">, slice thickness 600 µm, 4 averages, </w:t>
      </w:r>
      <w:r w:rsidR="00E25B60" w:rsidRPr="00770846">
        <w:rPr>
          <w:rFonts w:asciiTheme="majorHAnsi" w:hAnsiTheme="majorHAnsi" w:cstheme="majorHAnsi"/>
        </w:rPr>
        <w:t xml:space="preserve">30 slices, </w:t>
      </w:r>
      <w:r w:rsidR="000C6982" w:rsidRPr="00770846">
        <w:rPr>
          <w:rFonts w:asciiTheme="majorHAnsi" w:hAnsiTheme="majorHAnsi" w:cstheme="majorHAnsi"/>
        </w:rPr>
        <w:t>total acquisition time</w:t>
      </w:r>
      <w:r w:rsidR="008C0E5E" w:rsidRPr="00770846">
        <w:rPr>
          <w:rFonts w:asciiTheme="majorHAnsi" w:hAnsiTheme="majorHAnsi" w:cstheme="majorHAnsi"/>
        </w:rPr>
        <w:t xml:space="preserve"> (TA</w:t>
      </w:r>
      <w:r w:rsidR="00E25B60" w:rsidRPr="00770846">
        <w:rPr>
          <w:rFonts w:asciiTheme="majorHAnsi" w:hAnsiTheme="majorHAnsi" w:cstheme="majorHAnsi"/>
        </w:rPr>
        <w:t xml:space="preserve">) </w:t>
      </w:r>
      <w:r w:rsidR="006D6674" w:rsidRPr="00770846">
        <w:rPr>
          <w:rFonts w:asciiTheme="majorHAnsi" w:hAnsiTheme="majorHAnsi" w:cstheme="majorHAnsi"/>
        </w:rPr>
        <w:t>9 min 45 s.</w:t>
      </w:r>
    </w:p>
    <w:p w14:paraId="79637055" w14:textId="77777777" w:rsidR="00C50973" w:rsidRPr="00770846" w:rsidRDefault="00C50973" w:rsidP="00770846">
      <w:pPr>
        <w:rPr>
          <w:rFonts w:asciiTheme="majorHAnsi" w:hAnsiTheme="majorHAnsi" w:cstheme="majorHAnsi"/>
        </w:rPr>
      </w:pPr>
    </w:p>
    <w:p w14:paraId="41F73CE9" w14:textId="64BD839F" w:rsidR="00E858FA" w:rsidRPr="00770846" w:rsidRDefault="00E858FA" w:rsidP="00770846">
      <w:pPr>
        <w:pStyle w:val="ListParagraph"/>
        <w:numPr>
          <w:ilvl w:val="1"/>
          <w:numId w:val="13"/>
        </w:numPr>
        <w:ind w:left="0" w:firstLine="0"/>
        <w:rPr>
          <w:rFonts w:asciiTheme="majorHAnsi" w:hAnsiTheme="majorHAnsi" w:cstheme="majorHAnsi"/>
        </w:rPr>
      </w:pPr>
      <w:r w:rsidRPr="00770846">
        <w:rPr>
          <w:rFonts w:asciiTheme="majorHAnsi" w:hAnsiTheme="majorHAnsi" w:cstheme="majorHAnsi"/>
        </w:rPr>
        <w:t xml:space="preserve">If </w:t>
      </w:r>
      <w:r w:rsidR="007434B2" w:rsidRPr="00770846">
        <w:rPr>
          <w:rFonts w:asciiTheme="majorHAnsi" w:hAnsiTheme="majorHAnsi" w:cstheme="majorHAnsi"/>
        </w:rPr>
        <w:t xml:space="preserve">a </w:t>
      </w:r>
      <w:r w:rsidRPr="00770846">
        <w:rPr>
          <w:rFonts w:asciiTheme="majorHAnsi" w:hAnsiTheme="majorHAnsi" w:cstheme="majorHAnsi"/>
        </w:rPr>
        <w:t>tumor is confirmed on the T</w:t>
      </w:r>
      <w:r w:rsidRPr="00770846">
        <w:rPr>
          <w:rFonts w:asciiTheme="majorHAnsi" w:hAnsiTheme="majorHAnsi" w:cstheme="majorHAnsi"/>
          <w:vertAlign w:val="subscript"/>
        </w:rPr>
        <w:t>2</w:t>
      </w:r>
      <w:r w:rsidRPr="00770846">
        <w:rPr>
          <w:rFonts w:asciiTheme="majorHAnsi" w:hAnsiTheme="majorHAnsi" w:cstheme="majorHAnsi"/>
        </w:rPr>
        <w:t>-</w:t>
      </w:r>
      <w:r w:rsidR="007D0CF9" w:rsidRPr="00770846">
        <w:rPr>
          <w:rFonts w:asciiTheme="majorHAnsi" w:hAnsiTheme="majorHAnsi" w:cstheme="majorHAnsi"/>
        </w:rPr>
        <w:t xml:space="preserve">weighted acquisition, </w:t>
      </w:r>
      <w:r w:rsidR="00C27885" w:rsidRPr="00770846">
        <w:rPr>
          <w:rFonts w:asciiTheme="majorHAnsi" w:hAnsiTheme="majorHAnsi" w:cstheme="majorHAnsi"/>
        </w:rPr>
        <w:t xml:space="preserve">perform </w:t>
      </w:r>
      <w:r w:rsidR="002E124A" w:rsidRPr="00770846">
        <w:rPr>
          <w:rFonts w:asciiTheme="majorHAnsi" w:hAnsiTheme="majorHAnsi" w:cstheme="majorHAnsi"/>
        </w:rPr>
        <w:t>a T</w:t>
      </w:r>
      <w:r w:rsidR="002E124A" w:rsidRPr="00770846">
        <w:rPr>
          <w:rFonts w:asciiTheme="majorHAnsi" w:hAnsiTheme="majorHAnsi" w:cstheme="majorHAnsi"/>
          <w:vertAlign w:val="subscript"/>
        </w:rPr>
        <w:t>1</w:t>
      </w:r>
      <w:r w:rsidR="002E124A" w:rsidRPr="00770846">
        <w:rPr>
          <w:rFonts w:asciiTheme="majorHAnsi" w:hAnsiTheme="majorHAnsi" w:cstheme="majorHAnsi"/>
        </w:rPr>
        <w:t xml:space="preserve">-weighted contrast-enhanced </w:t>
      </w:r>
      <w:r w:rsidR="00E25B60" w:rsidRPr="00770846">
        <w:rPr>
          <w:rFonts w:asciiTheme="majorHAnsi" w:hAnsiTheme="majorHAnsi" w:cstheme="majorHAnsi"/>
        </w:rPr>
        <w:t xml:space="preserve">spin echo </w:t>
      </w:r>
      <w:r w:rsidR="00874BE5" w:rsidRPr="00770846">
        <w:rPr>
          <w:rFonts w:asciiTheme="majorHAnsi" w:hAnsiTheme="majorHAnsi" w:cstheme="majorHAnsi"/>
        </w:rPr>
        <w:t xml:space="preserve">scan. </w:t>
      </w:r>
      <w:r w:rsidR="00C27885" w:rsidRPr="00770846">
        <w:rPr>
          <w:rFonts w:asciiTheme="majorHAnsi" w:hAnsiTheme="majorHAnsi" w:cstheme="majorHAnsi"/>
        </w:rPr>
        <w:t xml:space="preserve">Use these </w:t>
      </w:r>
      <w:r w:rsidR="00B31BCB" w:rsidRPr="00770846">
        <w:rPr>
          <w:rFonts w:asciiTheme="majorHAnsi" w:hAnsiTheme="majorHAnsi" w:cstheme="majorHAnsi"/>
        </w:rPr>
        <w:t>T</w:t>
      </w:r>
      <w:r w:rsidR="00B31BCB" w:rsidRPr="00770846">
        <w:rPr>
          <w:rFonts w:asciiTheme="majorHAnsi" w:hAnsiTheme="majorHAnsi" w:cstheme="majorHAnsi"/>
          <w:vertAlign w:val="subscript"/>
        </w:rPr>
        <w:t>1</w:t>
      </w:r>
      <w:r w:rsidR="00B31BCB" w:rsidRPr="00770846">
        <w:rPr>
          <w:rFonts w:asciiTheme="majorHAnsi" w:hAnsiTheme="majorHAnsi" w:cstheme="majorHAnsi"/>
        </w:rPr>
        <w:t xml:space="preserve">-MRI sequence </w:t>
      </w:r>
      <w:r w:rsidR="00C27885" w:rsidRPr="00770846">
        <w:rPr>
          <w:rFonts w:asciiTheme="majorHAnsi" w:hAnsiTheme="majorHAnsi" w:cstheme="majorHAnsi"/>
        </w:rPr>
        <w:t>settings</w:t>
      </w:r>
      <w:r w:rsidR="00B31BCB" w:rsidRPr="00770846">
        <w:rPr>
          <w:rFonts w:asciiTheme="majorHAnsi" w:hAnsiTheme="majorHAnsi" w:cstheme="majorHAnsi"/>
        </w:rPr>
        <w:t>:</w:t>
      </w:r>
      <w:r w:rsidR="007F2379" w:rsidRPr="00770846">
        <w:rPr>
          <w:rFonts w:asciiTheme="majorHAnsi" w:hAnsiTheme="majorHAnsi" w:cstheme="majorHAnsi"/>
        </w:rPr>
        <w:t xml:space="preserve"> </w:t>
      </w:r>
      <w:r w:rsidR="00BC5DB8" w:rsidRPr="00770846">
        <w:rPr>
          <w:rFonts w:asciiTheme="majorHAnsi" w:hAnsiTheme="majorHAnsi" w:cstheme="majorHAnsi"/>
        </w:rPr>
        <w:t xml:space="preserve">TR/TE 1539/9.7 ms, </w:t>
      </w:r>
      <w:r w:rsidR="00E25B60" w:rsidRPr="00770846">
        <w:rPr>
          <w:rFonts w:asciiTheme="majorHAnsi" w:hAnsiTheme="majorHAnsi" w:cstheme="majorHAnsi"/>
        </w:rPr>
        <w:t>0.</w:t>
      </w:r>
      <w:r w:rsidR="00BC5DB8" w:rsidRPr="00770846">
        <w:rPr>
          <w:rFonts w:asciiTheme="majorHAnsi" w:hAnsiTheme="majorHAnsi" w:cstheme="majorHAnsi"/>
        </w:rPr>
        <w:t xml:space="preserve">117 </w:t>
      </w:r>
      <w:r w:rsidR="00E25B60" w:rsidRPr="00770846">
        <w:rPr>
          <w:rFonts w:asciiTheme="majorHAnsi" w:hAnsiTheme="majorHAnsi" w:cstheme="majorHAnsi"/>
        </w:rPr>
        <w:t>m</w:t>
      </w:r>
      <w:r w:rsidR="00BC5DB8" w:rsidRPr="00770846">
        <w:rPr>
          <w:rFonts w:asciiTheme="majorHAnsi" w:hAnsiTheme="majorHAnsi" w:cstheme="majorHAnsi"/>
        </w:rPr>
        <w:t>m isotropic in-plane resolution, slice thickness 600 µm</w:t>
      </w:r>
      <w:r w:rsidR="00DF1016" w:rsidRPr="00770846">
        <w:rPr>
          <w:rFonts w:asciiTheme="majorHAnsi" w:hAnsiTheme="majorHAnsi" w:cstheme="majorHAnsi"/>
        </w:rPr>
        <w:t>, 3 averages,</w:t>
      </w:r>
      <w:r w:rsidR="00E25B60" w:rsidRPr="00770846">
        <w:rPr>
          <w:rFonts w:asciiTheme="majorHAnsi" w:hAnsiTheme="majorHAnsi" w:cstheme="majorHAnsi"/>
        </w:rPr>
        <w:t xml:space="preserve"> 30 slices,</w:t>
      </w:r>
      <w:r w:rsidR="00DF1016" w:rsidRPr="00770846">
        <w:rPr>
          <w:rFonts w:asciiTheme="majorHAnsi" w:hAnsiTheme="majorHAnsi" w:cstheme="majorHAnsi"/>
        </w:rPr>
        <w:t xml:space="preserve"> TA 4 min 15 s</w:t>
      </w:r>
      <w:r w:rsidR="00C50973" w:rsidRPr="00770846">
        <w:rPr>
          <w:rFonts w:asciiTheme="majorHAnsi" w:hAnsiTheme="majorHAnsi" w:cstheme="majorHAnsi"/>
        </w:rPr>
        <w:t>.</w:t>
      </w:r>
    </w:p>
    <w:p w14:paraId="01FE5E75" w14:textId="77777777" w:rsidR="00C50973" w:rsidRPr="00770846" w:rsidRDefault="00C50973" w:rsidP="00770846">
      <w:pPr>
        <w:rPr>
          <w:rFonts w:asciiTheme="majorHAnsi" w:hAnsiTheme="majorHAnsi" w:cstheme="majorHAnsi"/>
        </w:rPr>
      </w:pPr>
    </w:p>
    <w:p w14:paraId="531A01F8" w14:textId="6BCBD842" w:rsidR="00B31BCB" w:rsidRPr="00770846" w:rsidRDefault="00FE77CC" w:rsidP="00770846">
      <w:pPr>
        <w:pStyle w:val="ListParagraph"/>
        <w:numPr>
          <w:ilvl w:val="1"/>
          <w:numId w:val="13"/>
        </w:numPr>
        <w:ind w:left="0" w:firstLine="0"/>
        <w:rPr>
          <w:rFonts w:asciiTheme="majorHAnsi" w:hAnsiTheme="majorHAnsi" w:cstheme="majorHAnsi"/>
        </w:rPr>
      </w:pPr>
      <w:r w:rsidRPr="00770846">
        <w:rPr>
          <w:rFonts w:asciiTheme="majorHAnsi" w:hAnsiTheme="majorHAnsi" w:cstheme="majorHAnsi"/>
        </w:rPr>
        <w:t>After the MR</w:t>
      </w:r>
      <w:r w:rsidR="00391A94" w:rsidRPr="00770846">
        <w:rPr>
          <w:rFonts w:asciiTheme="majorHAnsi" w:hAnsiTheme="majorHAnsi" w:cstheme="majorHAnsi"/>
        </w:rPr>
        <w:t>I</w:t>
      </w:r>
      <w:r w:rsidRPr="00770846">
        <w:rPr>
          <w:rFonts w:asciiTheme="majorHAnsi" w:hAnsiTheme="majorHAnsi" w:cstheme="majorHAnsi"/>
        </w:rPr>
        <w:t xml:space="preserve">, </w:t>
      </w:r>
      <w:r w:rsidR="00391A94" w:rsidRPr="00770846">
        <w:rPr>
          <w:rFonts w:asciiTheme="majorHAnsi" w:hAnsiTheme="majorHAnsi" w:cstheme="majorHAnsi"/>
        </w:rPr>
        <w:t xml:space="preserve">continuously supervise </w:t>
      </w:r>
      <w:r w:rsidRPr="00770846">
        <w:rPr>
          <w:rFonts w:asciiTheme="majorHAnsi" w:hAnsiTheme="majorHAnsi" w:cstheme="majorHAnsi"/>
        </w:rPr>
        <w:t xml:space="preserve">the animal </w:t>
      </w:r>
      <w:r w:rsidR="005D1751" w:rsidRPr="00770846">
        <w:rPr>
          <w:rFonts w:asciiTheme="majorHAnsi" w:hAnsiTheme="majorHAnsi" w:cstheme="majorHAnsi"/>
        </w:rPr>
        <w:t>until it regains full consciousness.</w:t>
      </w:r>
    </w:p>
    <w:p w14:paraId="0DF3F4D6" w14:textId="77777777" w:rsidR="00C50973" w:rsidRPr="00770846" w:rsidRDefault="00C50973" w:rsidP="00770846">
      <w:pPr>
        <w:rPr>
          <w:rFonts w:asciiTheme="majorHAnsi" w:hAnsiTheme="majorHAnsi" w:cstheme="majorHAnsi"/>
        </w:rPr>
      </w:pPr>
    </w:p>
    <w:p w14:paraId="544C8A4E" w14:textId="697F44FF" w:rsidR="009C6797" w:rsidRPr="00770846" w:rsidRDefault="005D1751" w:rsidP="00770846">
      <w:pPr>
        <w:pStyle w:val="ListParagraph"/>
        <w:numPr>
          <w:ilvl w:val="1"/>
          <w:numId w:val="13"/>
        </w:numPr>
        <w:ind w:left="0" w:firstLine="0"/>
        <w:rPr>
          <w:rFonts w:asciiTheme="majorHAnsi" w:hAnsiTheme="majorHAnsi" w:cstheme="majorHAnsi"/>
        </w:rPr>
      </w:pPr>
      <w:r w:rsidRPr="00770846">
        <w:rPr>
          <w:rFonts w:asciiTheme="majorHAnsi" w:hAnsiTheme="majorHAnsi" w:cstheme="majorHAnsi"/>
        </w:rPr>
        <w:t xml:space="preserve">When the tumor reaches a </w:t>
      </w:r>
      <w:r w:rsidR="004E52FB" w:rsidRPr="00770846">
        <w:rPr>
          <w:rFonts w:asciiTheme="majorHAnsi" w:hAnsiTheme="majorHAnsi" w:cstheme="majorHAnsi"/>
        </w:rPr>
        <w:t xml:space="preserve">diameter of </w:t>
      </w:r>
      <w:r w:rsidR="00D916B4" w:rsidRPr="00770846">
        <w:rPr>
          <w:rFonts w:asciiTheme="majorHAnsi" w:hAnsiTheme="majorHAnsi" w:cstheme="majorHAnsi"/>
        </w:rPr>
        <w:t>7 to 8 mm</w:t>
      </w:r>
      <w:r w:rsidR="0018676E" w:rsidRPr="00770846">
        <w:rPr>
          <w:rFonts w:asciiTheme="majorHAnsi" w:hAnsiTheme="majorHAnsi" w:cstheme="majorHAnsi"/>
        </w:rPr>
        <w:t xml:space="preserve">, </w:t>
      </w:r>
      <w:r w:rsidR="002546FE" w:rsidRPr="00770846">
        <w:rPr>
          <w:rFonts w:asciiTheme="majorHAnsi" w:hAnsiTheme="majorHAnsi" w:cstheme="majorHAnsi"/>
        </w:rPr>
        <w:t xml:space="preserve">usually observed 12 days after inoculation, </w:t>
      </w:r>
      <w:r w:rsidR="00A62065" w:rsidRPr="00770846">
        <w:rPr>
          <w:rFonts w:asciiTheme="majorHAnsi" w:hAnsiTheme="majorHAnsi" w:cstheme="majorHAnsi"/>
        </w:rPr>
        <w:t>select</w:t>
      </w:r>
      <w:r w:rsidR="00452008" w:rsidRPr="00770846">
        <w:rPr>
          <w:rFonts w:asciiTheme="majorHAnsi" w:hAnsiTheme="majorHAnsi" w:cstheme="majorHAnsi"/>
        </w:rPr>
        <w:t xml:space="preserve"> </w:t>
      </w:r>
      <w:r w:rsidR="0018676E" w:rsidRPr="00770846">
        <w:rPr>
          <w:rFonts w:asciiTheme="majorHAnsi" w:hAnsiTheme="majorHAnsi" w:cstheme="majorHAnsi"/>
        </w:rPr>
        <w:t>the animal for therapy.</w:t>
      </w:r>
    </w:p>
    <w:p w14:paraId="7B2C9F98" w14:textId="77777777" w:rsidR="009C6797" w:rsidRPr="00770846" w:rsidRDefault="009C6797" w:rsidP="00770846">
      <w:pPr>
        <w:rPr>
          <w:rFonts w:asciiTheme="majorHAnsi" w:hAnsiTheme="majorHAnsi" w:cstheme="majorHAnsi"/>
        </w:rPr>
      </w:pPr>
    </w:p>
    <w:p w14:paraId="26421FB9" w14:textId="4D22024E" w:rsidR="00A0315F" w:rsidRPr="00770846" w:rsidRDefault="00432AF8" w:rsidP="00770846">
      <w:pPr>
        <w:pStyle w:val="ListParagraph"/>
        <w:numPr>
          <w:ilvl w:val="0"/>
          <w:numId w:val="13"/>
        </w:numPr>
        <w:ind w:left="0" w:firstLine="0"/>
        <w:rPr>
          <w:rFonts w:asciiTheme="majorHAnsi" w:hAnsiTheme="majorHAnsi" w:cstheme="majorHAnsi"/>
          <w:b/>
          <w:bCs/>
          <w:highlight w:val="yellow"/>
        </w:rPr>
      </w:pPr>
      <w:r w:rsidRPr="00770846">
        <w:rPr>
          <w:rFonts w:asciiTheme="majorHAnsi" w:hAnsiTheme="majorHAnsi" w:cstheme="majorHAnsi"/>
          <w:b/>
          <w:bCs/>
          <w:highlight w:val="yellow"/>
        </w:rPr>
        <w:t>Multimodality imaging of target volume selectio</w:t>
      </w:r>
      <w:r w:rsidR="00A0315F" w:rsidRPr="00770846">
        <w:rPr>
          <w:rFonts w:asciiTheme="majorHAnsi" w:hAnsiTheme="majorHAnsi" w:cstheme="majorHAnsi"/>
          <w:b/>
          <w:bCs/>
          <w:highlight w:val="yellow"/>
        </w:rPr>
        <w:t>n</w:t>
      </w:r>
    </w:p>
    <w:p w14:paraId="2CBF4959" w14:textId="0FB012C5" w:rsidR="00FA4AEE" w:rsidRPr="00770846" w:rsidRDefault="00FA4AEE" w:rsidP="00770846">
      <w:pPr>
        <w:pStyle w:val="ListParagraph"/>
        <w:ind w:left="0"/>
        <w:rPr>
          <w:rFonts w:asciiTheme="majorHAnsi" w:hAnsiTheme="majorHAnsi" w:cstheme="majorHAnsi"/>
          <w:highlight w:val="yellow"/>
        </w:rPr>
      </w:pPr>
    </w:p>
    <w:p w14:paraId="59E6A617" w14:textId="5286DF86" w:rsidR="00C85553" w:rsidRPr="00770846" w:rsidRDefault="00014513" w:rsidP="00770846">
      <w:pPr>
        <w:rPr>
          <w:rFonts w:asciiTheme="majorHAnsi" w:hAnsiTheme="majorHAnsi" w:cstheme="majorHAnsi"/>
        </w:rPr>
      </w:pPr>
      <w:r w:rsidRPr="00770846">
        <w:rPr>
          <w:rFonts w:asciiTheme="majorHAnsi" w:hAnsiTheme="majorHAnsi" w:cstheme="majorHAnsi"/>
        </w:rPr>
        <w:t xml:space="preserve">NOTE: </w:t>
      </w:r>
      <w:r w:rsidR="00C85553" w:rsidRPr="00770846">
        <w:rPr>
          <w:rFonts w:asciiTheme="majorHAnsi" w:hAnsiTheme="majorHAnsi" w:cstheme="majorHAnsi"/>
        </w:rPr>
        <w:t xml:space="preserve">PET/MRI-guided irradiation requires the sequential acquisition of </w:t>
      </w:r>
      <w:r w:rsidR="00A207C0" w:rsidRPr="00770846">
        <w:rPr>
          <w:rFonts w:asciiTheme="majorHAnsi" w:hAnsiTheme="majorHAnsi" w:cstheme="majorHAnsi"/>
        </w:rPr>
        <w:t xml:space="preserve">a </w:t>
      </w:r>
      <w:r w:rsidR="00C85553" w:rsidRPr="00770846">
        <w:rPr>
          <w:rFonts w:asciiTheme="majorHAnsi" w:hAnsiTheme="majorHAnsi" w:cstheme="majorHAnsi"/>
        </w:rPr>
        <w:t>multimodal dataset.</w:t>
      </w:r>
      <w:r w:rsidR="00A207C0" w:rsidRPr="00770846">
        <w:rPr>
          <w:rFonts w:asciiTheme="majorHAnsi" w:hAnsiTheme="majorHAnsi" w:cstheme="majorHAnsi"/>
        </w:rPr>
        <w:t xml:space="preserve"> After intravenous administration of the radiotracer, PET imaging is started</w:t>
      </w:r>
      <w:r w:rsidR="00BA1232" w:rsidRPr="00770846">
        <w:rPr>
          <w:rFonts w:asciiTheme="majorHAnsi" w:hAnsiTheme="majorHAnsi" w:cstheme="majorHAnsi"/>
        </w:rPr>
        <w:t>,</w:t>
      </w:r>
      <w:r w:rsidR="00A207C0" w:rsidRPr="00770846">
        <w:rPr>
          <w:rFonts w:asciiTheme="majorHAnsi" w:hAnsiTheme="majorHAnsi" w:cstheme="majorHAnsi"/>
        </w:rPr>
        <w:t xml:space="preserve"> followed by contrast-enhanced T</w:t>
      </w:r>
      <w:r w:rsidR="00A207C0" w:rsidRPr="00770846">
        <w:rPr>
          <w:rFonts w:asciiTheme="majorHAnsi" w:hAnsiTheme="majorHAnsi" w:cstheme="majorHAnsi"/>
          <w:vertAlign w:val="subscript"/>
        </w:rPr>
        <w:t>1</w:t>
      </w:r>
      <w:r w:rsidR="00A207C0" w:rsidRPr="00770846">
        <w:rPr>
          <w:rFonts w:asciiTheme="majorHAnsi" w:hAnsiTheme="majorHAnsi" w:cstheme="majorHAnsi"/>
        </w:rPr>
        <w:t>-weighted MRI and finally a treatment</w:t>
      </w:r>
      <w:r w:rsidR="00BA1232" w:rsidRPr="00770846">
        <w:rPr>
          <w:rFonts w:asciiTheme="majorHAnsi" w:hAnsiTheme="majorHAnsi" w:cstheme="majorHAnsi"/>
        </w:rPr>
        <w:t>-</w:t>
      </w:r>
      <w:r w:rsidR="00A207C0" w:rsidRPr="00770846">
        <w:rPr>
          <w:rFonts w:asciiTheme="majorHAnsi" w:hAnsiTheme="majorHAnsi" w:cstheme="majorHAnsi"/>
        </w:rPr>
        <w:t>planning CT.</w:t>
      </w:r>
    </w:p>
    <w:p w14:paraId="229E60D1" w14:textId="77777777" w:rsidR="00EC79A2" w:rsidRPr="00770846" w:rsidRDefault="00EC79A2" w:rsidP="00770846">
      <w:pPr>
        <w:rPr>
          <w:rFonts w:asciiTheme="majorHAnsi" w:hAnsiTheme="majorHAnsi" w:cstheme="majorHAnsi"/>
        </w:rPr>
      </w:pPr>
    </w:p>
    <w:p w14:paraId="340572FD" w14:textId="16444FEC" w:rsidR="00A0315F" w:rsidRPr="00770846" w:rsidRDefault="0035761A" w:rsidP="00770846">
      <w:pPr>
        <w:pStyle w:val="ListParagraph"/>
        <w:numPr>
          <w:ilvl w:val="1"/>
          <w:numId w:val="13"/>
        </w:numPr>
        <w:ind w:left="0" w:firstLine="0"/>
        <w:rPr>
          <w:rFonts w:asciiTheme="majorHAnsi" w:hAnsiTheme="majorHAnsi" w:cstheme="majorHAnsi"/>
        </w:rPr>
      </w:pPr>
      <w:r w:rsidRPr="00770846">
        <w:rPr>
          <w:rFonts w:asciiTheme="majorHAnsi" w:hAnsiTheme="majorHAnsi" w:cstheme="majorHAnsi"/>
        </w:rPr>
        <w:t>Anesthetize the animal with isoflurane (5% induction, 2% maintenance)</w:t>
      </w:r>
      <w:r w:rsidR="0006302D" w:rsidRPr="00770846">
        <w:rPr>
          <w:rFonts w:asciiTheme="majorHAnsi" w:hAnsiTheme="majorHAnsi" w:cstheme="majorHAnsi"/>
        </w:rPr>
        <w:t xml:space="preserve"> mixed with oxygen (0.3 L/min) using a nose </w:t>
      </w:r>
      <w:r w:rsidR="00EC6D82" w:rsidRPr="00770846">
        <w:rPr>
          <w:rFonts w:asciiTheme="majorHAnsi" w:hAnsiTheme="majorHAnsi" w:cstheme="majorHAnsi"/>
        </w:rPr>
        <w:t xml:space="preserve">cone. Confirm anesthetization when the rats do not </w:t>
      </w:r>
      <w:r w:rsidR="00AB499D" w:rsidRPr="00770846">
        <w:rPr>
          <w:rFonts w:asciiTheme="majorHAnsi" w:hAnsiTheme="majorHAnsi" w:cstheme="majorHAnsi"/>
        </w:rPr>
        <w:t>exhibit</w:t>
      </w:r>
      <w:r w:rsidR="00EC6D82" w:rsidRPr="00770846">
        <w:rPr>
          <w:rFonts w:asciiTheme="majorHAnsi" w:hAnsiTheme="majorHAnsi" w:cstheme="majorHAnsi"/>
        </w:rPr>
        <w:t xml:space="preserve"> </w:t>
      </w:r>
      <w:r w:rsidR="00AB499D" w:rsidRPr="00770846">
        <w:rPr>
          <w:rFonts w:asciiTheme="majorHAnsi" w:hAnsiTheme="majorHAnsi" w:cstheme="majorHAnsi"/>
        </w:rPr>
        <w:t>any</w:t>
      </w:r>
      <w:r w:rsidR="00EC6D82" w:rsidRPr="00770846">
        <w:rPr>
          <w:rFonts w:asciiTheme="majorHAnsi" w:hAnsiTheme="majorHAnsi" w:cstheme="majorHAnsi"/>
        </w:rPr>
        <w:t xml:space="preserve"> withdrawal reflex of the </w:t>
      </w:r>
      <w:r w:rsidR="00BE7044" w:rsidRPr="00770846">
        <w:rPr>
          <w:rFonts w:asciiTheme="majorHAnsi" w:hAnsiTheme="majorHAnsi" w:cstheme="majorHAnsi"/>
        </w:rPr>
        <w:t xml:space="preserve">limb. </w:t>
      </w:r>
      <w:r w:rsidR="00FF0641" w:rsidRPr="00770846">
        <w:rPr>
          <w:rFonts w:asciiTheme="majorHAnsi" w:hAnsiTheme="majorHAnsi" w:cstheme="majorHAnsi"/>
        </w:rPr>
        <w:t>Apply</w:t>
      </w:r>
      <w:r w:rsidR="00BE7044" w:rsidRPr="00770846">
        <w:rPr>
          <w:rFonts w:asciiTheme="majorHAnsi" w:hAnsiTheme="majorHAnsi" w:cstheme="majorHAnsi"/>
        </w:rPr>
        <w:t xml:space="preserve"> carbomer eye gel to prevent dry</w:t>
      </w:r>
      <w:r w:rsidR="007B56C5" w:rsidRPr="00770846">
        <w:rPr>
          <w:rFonts w:asciiTheme="majorHAnsi" w:hAnsiTheme="majorHAnsi" w:cstheme="majorHAnsi"/>
        </w:rPr>
        <w:t xml:space="preserve"> eyes under </w:t>
      </w:r>
      <w:r w:rsidR="00FF0641" w:rsidRPr="00770846">
        <w:rPr>
          <w:rFonts w:asciiTheme="majorHAnsi" w:hAnsiTheme="majorHAnsi" w:cstheme="majorHAnsi"/>
        </w:rPr>
        <w:t>anesthesia</w:t>
      </w:r>
      <w:r w:rsidR="00D741FB" w:rsidRPr="00770846">
        <w:rPr>
          <w:rFonts w:asciiTheme="majorHAnsi" w:hAnsiTheme="majorHAnsi" w:cstheme="majorHAnsi"/>
        </w:rPr>
        <w:t xml:space="preserve">. </w:t>
      </w:r>
    </w:p>
    <w:p w14:paraId="268C9E3E" w14:textId="77777777" w:rsidR="003356EE" w:rsidRPr="00770846" w:rsidRDefault="003356EE" w:rsidP="00770846">
      <w:pPr>
        <w:pStyle w:val="ListParagraph"/>
        <w:ind w:left="0"/>
        <w:rPr>
          <w:rFonts w:asciiTheme="majorHAnsi" w:hAnsiTheme="majorHAnsi" w:cstheme="majorHAnsi"/>
          <w:highlight w:val="yellow"/>
        </w:rPr>
      </w:pPr>
    </w:p>
    <w:p w14:paraId="3DCB603F" w14:textId="06460BE0" w:rsidR="00427114" w:rsidRPr="00770846" w:rsidRDefault="00813783" w:rsidP="00770846">
      <w:pPr>
        <w:pStyle w:val="ListParagraph"/>
        <w:numPr>
          <w:ilvl w:val="1"/>
          <w:numId w:val="13"/>
        </w:numPr>
        <w:ind w:left="0" w:firstLine="0"/>
        <w:rPr>
          <w:rFonts w:asciiTheme="majorHAnsi" w:hAnsiTheme="majorHAnsi" w:cstheme="majorHAnsi"/>
          <w:highlight w:val="yellow"/>
        </w:rPr>
      </w:pPr>
      <w:r w:rsidRPr="00770846">
        <w:rPr>
          <w:rFonts w:asciiTheme="majorHAnsi" w:hAnsiTheme="majorHAnsi" w:cstheme="majorHAnsi"/>
          <w:highlight w:val="yellow"/>
        </w:rPr>
        <w:t xml:space="preserve">Insert </w:t>
      </w:r>
      <w:r w:rsidR="00AB499D" w:rsidRPr="00770846">
        <w:rPr>
          <w:rFonts w:asciiTheme="majorHAnsi" w:hAnsiTheme="majorHAnsi" w:cstheme="majorHAnsi"/>
          <w:highlight w:val="yellow"/>
        </w:rPr>
        <w:t xml:space="preserve">the </w:t>
      </w:r>
      <w:r w:rsidR="00C8097E" w:rsidRPr="00770846">
        <w:rPr>
          <w:rFonts w:asciiTheme="majorHAnsi" w:hAnsiTheme="majorHAnsi" w:cstheme="majorHAnsi"/>
          <w:highlight w:val="yellow"/>
        </w:rPr>
        <w:t xml:space="preserve">tubing intravenously in the </w:t>
      </w:r>
      <w:r w:rsidR="00820373" w:rsidRPr="00770846">
        <w:rPr>
          <w:rFonts w:asciiTheme="majorHAnsi" w:hAnsiTheme="majorHAnsi" w:cstheme="majorHAnsi"/>
          <w:highlight w:val="yellow"/>
        </w:rPr>
        <w:t>lateral tail vein</w:t>
      </w:r>
      <w:r w:rsidRPr="00770846">
        <w:rPr>
          <w:rFonts w:asciiTheme="majorHAnsi" w:hAnsiTheme="majorHAnsi" w:cstheme="majorHAnsi"/>
          <w:highlight w:val="yellow"/>
        </w:rPr>
        <w:t xml:space="preserve">, enabling the injection of </w:t>
      </w:r>
      <w:r w:rsidR="00353F31" w:rsidRPr="00770846">
        <w:rPr>
          <w:rFonts w:asciiTheme="majorHAnsi" w:hAnsiTheme="majorHAnsi" w:cstheme="majorHAnsi"/>
          <w:highlight w:val="yellow"/>
        </w:rPr>
        <w:t>10</w:t>
      </w:r>
      <w:r w:rsidR="00AB499D" w:rsidRPr="00770846">
        <w:rPr>
          <w:rFonts w:asciiTheme="majorHAnsi" w:hAnsiTheme="majorHAnsi" w:cstheme="majorHAnsi"/>
          <w:highlight w:val="yellow"/>
        </w:rPr>
        <w:t>–</w:t>
      </w:r>
      <w:r w:rsidR="00353F31" w:rsidRPr="00770846">
        <w:rPr>
          <w:rFonts w:asciiTheme="majorHAnsi" w:hAnsiTheme="majorHAnsi" w:cstheme="majorHAnsi"/>
          <w:highlight w:val="yellow"/>
        </w:rPr>
        <w:t>12 MBq of PET radioactive tracer</w:t>
      </w:r>
      <w:r w:rsidR="00FB4C3D" w:rsidRPr="00770846">
        <w:rPr>
          <w:rFonts w:asciiTheme="majorHAnsi" w:hAnsiTheme="majorHAnsi" w:cstheme="majorHAnsi"/>
          <w:highlight w:val="yellow"/>
        </w:rPr>
        <w:t xml:space="preserve"> dissolved in 200 </w:t>
      </w:r>
      <w:r w:rsidR="005A5044" w:rsidRPr="00770846">
        <w:rPr>
          <w:rFonts w:asciiTheme="majorHAnsi" w:hAnsiTheme="majorHAnsi" w:cstheme="majorHAnsi"/>
          <w:highlight w:val="yellow"/>
        </w:rPr>
        <w:t xml:space="preserve">µL </w:t>
      </w:r>
      <w:r w:rsidR="00AB499D" w:rsidRPr="00770846">
        <w:rPr>
          <w:rFonts w:asciiTheme="majorHAnsi" w:hAnsiTheme="majorHAnsi" w:cstheme="majorHAnsi"/>
          <w:highlight w:val="yellow"/>
        </w:rPr>
        <w:t xml:space="preserve">of </w:t>
      </w:r>
      <w:r w:rsidR="005A5044" w:rsidRPr="00770846">
        <w:rPr>
          <w:rFonts w:asciiTheme="majorHAnsi" w:hAnsiTheme="majorHAnsi" w:cstheme="majorHAnsi"/>
          <w:highlight w:val="yellow"/>
        </w:rPr>
        <w:t>saline. Inject [</w:t>
      </w:r>
      <w:r w:rsidR="005A5044" w:rsidRPr="00770846">
        <w:rPr>
          <w:rFonts w:asciiTheme="majorHAnsi" w:hAnsiTheme="majorHAnsi" w:cstheme="majorHAnsi"/>
          <w:highlight w:val="yellow"/>
          <w:vertAlign w:val="superscript"/>
        </w:rPr>
        <w:t>18</w:t>
      </w:r>
      <w:r w:rsidR="00B712D4" w:rsidRPr="00770846">
        <w:rPr>
          <w:rFonts w:asciiTheme="majorHAnsi" w:hAnsiTheme="majorHAnsi" w:cstheme="majorHAnsi"/>
          <w:highlight w:val="yellow"/>
        </w:rPr>
        <w:t>F</w:t>
      </w:r>
      <w:r w:rsidR="005A5044" w:rsidRPr="00770846">
        <w:rPr>
          <w:rFonts w:asciiTheme="majorHAnsi" w:hAnsiTheme="majorHAnsi" w:cstheme="majorHAnsi"/>
          <w:highlight w:val="yellow"/>
        </w:rPr>
        <w:t>]</w:t>
      </w:r>
      <w:r w:rsidR="00B712D4" w:rsidRPr="00770846">
        <w:rPr>
          <w:rFonts w:asciiTheme="majorHAnsi" w:hAnsiTheme="majorHAnsi" w:cstheme="majorHAnsi"/>
          <w:highlight w:val="yellow"/>
        </w:rPr>
        <w:t>-FET, 1</w:t>
      </w:r>
      <w:r w:rsidR="00AB499D" w:rsidRPr="00770846">
        <w:rPr>
          <w:rFonts w:asciiTheme="majorHAnsi" w:hAnsiTheme="majorHAnsi" w:cstheme="majorHAnsi"/>
          <w:highlight w:val="yellow"/>
        </w:rPr>
        <w:t xml:space="preserve"> </w:t>
      </w:r>
      <w:r w:rsidR="00B712D4" w:rsidRPr="00770846">
        <w:rPr>
          <w:rFonts w:asciiTheme="majorHAnsi" w:hAnsiTheme="majorHAnsi" w:cstheme="majorHAnsi"/>
          <w:highlight w:val="yellow"/>
        </w:rPr>
        <w:t xml:space="preserve">h before PET acquisition. </w:t>
      </w:r>
      <w:r w:rsidR="00CD63C7" w:rsidRPr="00770846">
        <w:rPr>
          <w:rFonts w:asciiTheme="majorHAnsi" w:hAnsiTheme="majorHAnsi" w:cstheme="majorHAnsi"/>
          <w:highlight w:val="yellow"/>
        </w:rPr>
        <w:t xml:space="preserve">Let the animal regain consciousness </w:t>
      </w:r>
      <w:r w:rsidR="00E25BC8" w:rsidRPr="00770846">
        <w:rPr>
          <w:rFonts w:asciiTheme="majorHAnsi" w:hAnsiTheme="majorHAnsi" w:cstheme="majorHAnsi"/>
          <w:highlight w:val="yellow"/>
        </w:rPr>
        <w:t>whil</w:t>
      </w:r>
      <w:r w:rsidR="007A3289" w:rsidRPr="00770846">
        <w:rPr>
          <w:rFonts w:asciiTheme="majorHAnsi" w:hAnsiTheme="majorHAnsi" w:cstheme="majorHAnsi"/>
          <w:highlight w:val="yellow"/>
        </w:rPr>
        <w:t>e</w:t>
      </w:r>
      <w:r w:rsidR="00E25BC8" w:rsidRPr="00770846">
        <w:rPr>
          <w:rFonts w:asciiTheme="majorHAnsi" w:hAnsiTheme="majorHAnsi" w:cstheme="majorHAnsi"/>
          <w:highlight w:val="yellow"/>
        </w:rPr>
        <w:t xml:space="preserve"> </w:t>
      </w:r>
      <w:r w:rsidR="00474A90" w:rsidRPr="00770846">
        <w:rPr>
          <w:rFonts w:asciiTheme="majorHAnsi" w:hAnsiTheme="majorHAnsi" w:cstheme="majorHAnsi"/>
          <w:highlight w:val="yellow"/>
        </w:rPr>
        <w:t xml:space="preserve">the tracer is distributed </w:t>
      </w:r>
      <w:r w:rsidR="00AB499D" w:rsidRPr="00770846">
        <w:rPr>
          <w:rFonts w:asciiTheme="majorHAnsi" w:hAnsiTheme="majorHAnsi" w:cstheme="majorHAnsi"/>
          <w:highlight w:val="yellow"/>
        </w:rPr>
        <w:t>through</w:t>
      </w:r>
      <w:r w:rsidR="00474A90" w:rsidRPr="00770846">
        <w:rPr>
          <w:rFonts w:asciiTheme="majorHAnsi" w:hAnsiTheme="majorHAnsi" w:cstheme="majorHAnsi"/>
          <w:highlight w:val="yellow"/>
        </w:rPr>
        <w:t xml:space="preserve"> the body. </w:t>
      </w:r>
    </w:p>
    <w:p w14:paraId="1D758985" w14:textId="77777777" w:rsidR="003356EE" w:rsidRPr="00770846" w:rsidRDefault="003356EE" w:rsidP="00770846">
      <w:pPr>
        <w:rPr>
          <w:rFonts w:asciiTheme="majorHAnsi" w:hAnsiTheme="majorHAnsi" w:cstheme="majorHAnsi"/>
        </w:rPr>
      </w:pPr>
    </w:p>
    <w:p w14:paraId="1DC707D8" w14:textId="5EDC9A6F" w:rsidR="00EC7F1B" w:rsidRPr="00770846" w:rsidRDefault="00D732D4" w:rsidP="00770846">
      <w:pPr>
        <w:pStyle w:val="ListParagraph"/>
        <w:numPr>
          <w:ilvl w:val="1"/>
          <w:numId w:val="13"/>
        </w:numPr>
        <w:ind w:left="0" w:firstLine="0"/>
        <w:rPr>
          <w:rFonts w:asciiTheme="majorHAnsi" w:hAnsiTheme="majorHAnsi" w:cstheme="majorHAnsi"/>
          <w:highlight w:val="yellow"/>
        </w:rPr>
      </w:pPr>
      <w:r w:rsidRPr="00770846">
        <w:rPr>
          <w:rFonts w:asciiTheme="majorHAnsi" w:hAnsiTheme="majorHAnsi" w:cstheme="majorHAnsi"/>
        </w:rPr>
        <w:t xml:space="preserve">Anesthetize the animal again, </w:t>
      </w:r>
      <w:r w:rsidR="00551E27" w:rsidRPr="00770846">
        <w:rPr>
          <w:rFonts w:asciiTheme="majorHAnsi" w:hAnsiTheme="majorHAnsi" w:cstheme="majorHAnsi"/>
        </w:rPr>
        <w:t>as described in</w:t>
      </w:r>
      <w:r w:rsidRPr="00770846">
        <w:rPr>
          <w:rFonts w:asciiTheme="majorHAnsi" w:hAnsiTheme="majorHAnsi" w:cstheme="majorHAnsi"/>
        </w:rPr>
        <w:t xml:space="preserve"> </w:t>
      </w:r>
      <w:r w:rsidR="00551E27" w:rsidRPr="00770846">
        <w:rPr>
          <w:rFonts w:asciiTheme="majorHAnsi" w:hAnsiTheme="majorHAnsi" w:cstheme="majorHAnsi"/>
        </w:rPr>
        <w:t xml:space="preserve">step </w:t>
      </w:r>
      <w:r w:rsidRPr="00770846">
        <w:rPr>
          <w:rFonts w:asciiTheme="majorHAnsi" w:hAnsiTheme="majorHAnsi" w:cstheme="majorHAnsi"/>
        </w:rPr>
        <w:t xml:space="preserve">3.1. </w:t>
      </w:r>
      <w:r w:rsidR="00427114" w:rsidRPr="00770846">
        <w:rPr>
          <w:rFonts w:asciiTheme="majorHAnsi" w:hAnsiTheme="majorHAnsi" w:cstheme="majorHAnsi"/>
          <w:highlight w:val="yellow"/>
        </w:rPr>
        <w:t xml:space="preserve">Place the animal </w:t>
      </w:r>
      <w:r w:rsidR="00FB751D" w:rsidRPr="00770846">
        <w:rPr>
          <w:rFonts w:asciiTheme="majorHAnsi" w:hAnsiTheme="majorHAnsi" w:cstheme="majorHAnsi"/>
          <w:highlight w:val="yellow"/>
        </w:rPr>
        <w:t>on a multimodality bed</w:t>
      </w:r>
      <w:r w:rsidR="001D43C5" w:rsidRPr="00770846">
        <w:rPr>
          <w:rFonts w:asciiTheme="majorHAnsi" w:hAnsiTheme="majorHAnsi" w:cstheme="majorHAnsi"/>
          <w:highlight w:val="yellow"/>
        </w:rPr>
        <w:t xml:space="preserve"> (here, made in-house)</w:t>
      </w:r>
      <w:r w:rsidR="00FB751D" w:rsidRPr="00770846">
        <w:rPr>
          <w:rFonts w:asciiTheme="majorHAnsi" w:hAnsiTheme="majorHAnsi" w:cstheme="majorHAnsi"/>
          <w:highlight w:val="yellow"/>
        </w:rPr>
        <w:t xml:space="preserve"> and secure</w:t>
      </w:r>
      <w:r w:rsidR="00273BD9" w:rsidRPr="00770846">
        <w:rPr>
          <w:rFonts w:asciiTheme="majorHAnsi" w:hAnsiTheme="majorHAnsi" w:cstheme="majorHAnsi"/>
          <w:highlight w:val="yellow"/>
        </w:rPr>
        <w:t xml:space="preserve"> it</w:t>
      </w:r>
      <w:r w:rsidR="00FB751D" w:rsidRPr="00770846">
        <w:rPr>
          <w:rFonts w:asciiTheme="majorHAnsi" w:hAnsiTheme="majorHAnsi" w:cstheme="majorHAnsi"/>
          <w:highlight w:val="yellow"/>
        </w:rPr>
        <w:t xml:space="preserve"> using hook-and-loop</w:t>
      </w:r>
      <w:r w:rsidR="00C128AD" w:rsidRPr="00770846">
        <w:rPr>
          <w:rFonts w:asciiTheme="majorHAnsi" w:hAnsiTheme="majorHAnsi" w:cstheme="majorHAnsi"/>
          <w:highlight w:val="yellow"/>
        </w:rPr>
        <w:t xml:space="preserve"> fasteners, maintaining a fixed position during the imaging and micro-irradiation. </w:t>
      </w:r>
      <w:r w:rsidR="009A10AA" w:rsidRPr="00770846">
        <w:rPr>
          <w:rFonts w:asciiTheme="majorHAnsi" w:hAnsiTheme="majorHAnsi" w:cstheme="majorHAnsi"/>
          <w:highlight w:val="yellow"/>
        </w:rPr>
        <w:t xml:space="preserve">Fix a capillary filled with </w:t>
      </w:r>
      <w:r w:rsidR="00551E27" w:rsidRPr="00770846">
        <w:rPr>
          <w:rFonts w:asciiTheme="majorHAnsi" w:hAnsiTheme="majorHAnsi" w:cstheme="majorHAnsi"/>
          <w:highlight w:val="yellow"/>
        </w:rPr>
        <w:t xml:space="preserve">the </w:t>
      </w:r>
      <w:r w:rsidR="009A10AA" w:rsidRPr="00770846">
        <w:rPr>
          <w:rFonts w:asciiTheme="majorHAnsi" w:hAnsiTheme="majorHAnsi" w:cstheme="majorHAnsi"/>
          <w:highlight w:val="yellow"/>
        </w:rPr>
        <w:t>MRI/PET agent</w:t>
      </w:r>
      <w:r w:rsidR="00C423D1" w:rsidRPr="00770846">
        <w:rPr>
          <w:rFonts w:asciiTheme="majorHAnsi" w:hAnsiTheme="majorHAnsi" w:cstheme="majorHAnsi"/>
          <w:highlight w:val="yellow"/>
        </w:rPr>
        <w:t xml:space="preserve"> (see the </w:t>
      </w:r>
      <w:r w:rsidR="00C423D1" w:rsidRPr="00770846">
        <w:rPr>
          <w:rFonts w:asciiTheme="majorHAnsi" w:hAnsiTheme="majorHAnsi" w:cstheme="majorHAnsi"/>
          <w:b/>
          <w:bCs/>
          <w:highlight w:val="yellow"/>
        </w:rPr>
        <w:t>Table of Materials</w:t>
      </w:r>
      <w:r w:rsidR="00C423D1" w:rsidRPr="00770846">
        <w:rPr>
          <w:rFonts w:asciiTheme="majorHAnsi" w:hAnsiTheme="majorHAnsi" w:cstheme="majorHAnsi"/>
          <w:highlight w:val="yellow"/>
        </w:rPr>
        <w:t>)</w:t>
      </w:r>
      <w:r w:rsidR="009A10AA" w:rsidRPr="00770846">
        <w:rPr>
          <w:rFonts w:asciiTheme="majorHAnsi" w:hAnsiTheme="majorHAnsi" w:cstheme="majorHAnsi"/>
          <w:highlight w:val="yellow"/>
        </w:rPr>
        <w:t xml:space="preserve"> for easier</w:t>
      </w:r>
      <w:r w:rsidR="006F7C7D" w:rsidRPr="00770846">
        <w:rPr>
          <w:rFonts w:asciiTheme="majorHAnsi" w:hAnsiTheme="majorHAnsi" w:cstheme="majorHAnsi"/>
          <w:highlight w:val="yellow"/>
        </w:rPr>
        <w:t xml:space="preserve"> </w:t>
      </w:r>
      <w:r w:rsidR="009A10AA" w:rsidRPr="00770846">
        <w:rPr>
          <w:rFonts w:asciiTheme="majorHAnsi" w:hAnsiTheme="majorHAnsi" w:cstheme="majorHAnsi"/>
          <w:highlight w:val="yellow"/>
        </w:rPr>
        <w:t>co</w:t>
      </w:r>
      <w:r w:rsidR="00C33D18" w:rsidRPr="00770846">
        <w:rPr>
          <w:rFonts w:asciiTheme="majorHAnsi" w:hAnsiTheme="majorHAnsi" w:cstheme="majorHAnsi"/>
          <w:highlight w:val="yellow"/>
        </w:rPr>
        <w:t>-</w:t>
      </w:r>
      <w:r w:rsidR="009A10AA" w:rsidRPr="00770846">
        <w:rPr>
          <w:rFonts w:asciiTheme="majorHAnsi" w:hAnsiTheme="majorHAnsi" w:cstheme="majorHAnsi"/>
          <w:highlight w:val="yellow"/>
        </w:rPr>
        <w:t>registration. Wrap th</w:t>
      </w:r>
      <w:r w:rsidR="00B03E0B" w:rsidRPr="00770846">
        <w:rPr>
          <w:rFonts w:asciiTheme="majorHAnsi" w:hAnsiTheme="majorHAnsi" w:cstheme="majorHAnsi"/>
          <w:highlight w:val="yellow"/>
        </w:rPr>
        <w:t xml:space="preserve">e animal in bubble wrap to preserve </w:t>
      </w:r>
      <w:r w:rsidR="00D75EC4" w:rsidRPr="00770846">
        <w:rPr>
          <w:rFonts w:asciiTheme="majorHAnsi" w:hAnsiTheme="majorHAnsi" w:cstheme="majorHAnsi"/>
          <w:highlight w:val="yellow"/>
        </w:rPr>
        <w:t xml:space="preserve">its </w:t>
      </w:r>
      <w:r w:rsidR="00B03E0B" w:rsidRPr="00770846">
        <w:rPr>
          <w:rFonts w:asciiTheme="majorHAnsi" w:hAnsiTheme="majorHAnsi" w:cstheme="majorHAnsi"/>
          <w:highlight w:val="yellow"/>
        </w:rPr>
        <w:t xml:space="preserve">body temperature during the multimodality imaging and therapy. </w:t>
      </w:r>
    </w:p>
    <w:p w14:paraId="2DF907B4" w14:textId="77777777" w:rsidR="003356EE" w:rsidRPr="00770846" w:rsidRDefault="003356EE" w:rsidP="00770846">
      <w:pPr>
        <w:rPr>
          <w:rFonts w:asciiTheme="majorHAnsi" w:hAnsiTheme="majorHAnsi" w:cstheme="majorHAnsi"/>
          <w:highlight w:val="yellow"/>
        </w:rPr>
      </w:pPr>
    </w:p>
    <w:p w14:paraId="045C7EB4" w14:textId="59A83E17" w:rsidR="007F4C08" w:rsidRPr="00770846" w:rsidRDefault="00567BE5" w:rsidP="00770846">
      <w:pPr>
        <w:pStyle w:val="ListParagraph"/>
        <w:numPr>
          <w:ilvl w:val="1"/>
          <w:numId w:val="13"/>
        </w:numPr>
        <w:ind w:left="0" w:firstLine="0"/>
        <w:rPr>
          <w:rFonts w:asciiTheme="majorHAnsi" w:hAnsiTheme="majorHAnsi" w:cstheme="majorHAnsi"/>
          <w:highlight w:val="yellow"/>
        </w:rPr>
      </w:pPr>
      <w:r w:rsidRPr="00770846">
        <w:rPr>
          <w:rFonts w:asciiTheme="majorHAnsi" w:hAnsiTheme="majorHAnsi" w:cstheme="majorHAnsi"/>
          <w:highlight w:val="yellow"/>
        </w:rPr>
        <w:t>Perform a PET scan</w:t>
      </w:r>
      <w:r w:rsidR="009C047D" w:rsidRPr="00770846">
        <w:rPr>
          <w:rFonts w:asciiTheme="majorHAnsi" w:hAnsiTheme="majorHAnsi" w:cstheme="majorHAnsi"/>
          <w:highlight w:val="yellow"/>
        </w:rPr>
        <w:t xml:space="preserve"> </w:t>
      </w:r>
      <w:r w:rsidR="007F4C08" w:rsidRPr="00770846">
        <w:rPr>
          <w:rFonts w:asciiTheme="majorHAnsi" w:hAnsiTheme="majorHAnsi" w:cstheme="majorHAnsi"/>
          <w:highlight w:val="yellow"/>
        </w:rPr>
        <w:t>1 h</w:t>
      </w:r>
      <w:r w:rsidR="009C047D" w:rsidRPr="00770846">
        <w:rPr>
          <w:rFonts w:asciiTheme="majorHAnsi" w:hAnsiTheme="majorHAnsi" w:cstheme="majorHAnsi"/>
          <w:highlight w:val="yellow"/>
        </w:rPr>
        <w:t xml:space="preserve"> after </w:t>
      </w:r>
      <w:r w:rsidR="003152EF" w:rsidRPr="00770846">
        <w:rPr>
          <w:rFonts w:asciiTheme="majorHAnsi" w:hAnsiTheme="majorHAnsi" w:cstheme="majorHAnsi"/>
          <w:highlight w:val="yellow"/>
        </w:rPr>
        <w:t xml:space="preserve">the </w:t>
      </w:r>
      <w:r w:rsidR="00C55160" w:rsidRPr="00770846">
        <w:rPr>
          <w:rFonts w:asciiTheme="majorHAnsi" w:hAnsiTheme="majorHAnsi" w:cstheme="majorHAnsi"/>
          <w:highlight w:val="yellow"/>
        </w:rPr>
        <w:t xml:space="preserve">injection of </w:t>
      </w:r>
      <w:r w:rsidR="007F4C08" w:rsidRPr="00770846">
        <w:rPr>
          <w:rFonts w:asciiTheme="majorHAnsi" w:hAnsiTheme="majorHAnsi" w:cstheme="majorHAnsi"/>
          <w:highlight w:val="yellow"/>
        </w:rPr>
        <w:t xml:space="preserve">the </w:t>
      </w:r>
      <w:r w:rsidR="00C55160" w:rsidRPr="00770846">
        <w:rPr>
          <w:rFonts w:asciiTheme="majorHAnsi" w:hAnsiTheme="majorHAnsi" w:cstheme="majorHAnsi"/>
          <w:highlight w:val="yellow"/>
        </w:rPr>
        <w:t xml:space="preserve">PET tracer. </w:t>
      </w:r>
      <w:r w:rsidR="007F4C08" w:rsidRPr="00770846">
        <w:rPr>
          <w:rFonts w:asciiTheme="majorHAnsi" w:hAnsiTheme="majorHAnsi" w:cstheme="majorHAnsi"/>
          <w:highlight w:val="yellow"/>
        </w:rPr>
        <w:t>Reconstruct the PET scan into a 3D volume (192 x 192 x 384 matrix) with 0.4 mm voxel size by applying a Maximum-Likelihood Expectation-Maximization (MLEM)-algorithm using 30 iterations.</w:t>
      </w:r>
    </w:p>
    <w:p w14:paraId="2817455A" w14:textId="77777777" w:rsidR="007F4C08" w:rsidRPr="00770846" w:rsidRDefault="007F4C08" w:rsidP="00770846">
      <w:pPr>
        <w:pStyle w:val="ListParagraph"/>
        <w:ind w:left="0"/>
        <w:rPr>
          <w:rFonts w:asciiTheme="majorHAnsi" w:hAnsiTheme="majorHAnsi" w:cstheme="majorHAnsi"/>
          <w:highlight w:val="yellow"/>
        </w:rPr>
      </w:pPr>
    </w:p>
    <w:p w14:paraId="495DCCDC" w14:textId="61045633" w:rsidR="00CD63C7" w:rsidRPr="00770846" w:rsidRDefault="002A264F" w:rsidP="00770846">
      <w:pPr>
        <w:pStyle w:val="ListParagraph"/>
        <w:ind w:left="0"/>
        <w:rPr>
          <w:rFonts w:asciiTheme="majorHAnsi" w:hAnsiTheme="majorHAnsi" w:cstheme="majorHAnsi"/>
        </w:rPr>
      </w:pPr>
      <w:r w:rsidRPr="00770846">
        <w:rPr>
          <w:rFonts w:asciiTheme="majorHAnsi" w:hAnsiTheme="majorHAnsi" w:cstheme="majorHAnsi"/>
        </w:rPr>
        <w:t>N</w:t>
      </w:r>
      <w:r w:rsidR="007F4C08" w:rsidRPr="00770846">
        <w:rPr>
          <w:rFonts w:asciiTheme="majorHAnsi" w:hAnsiTheme="majorHAnsi" w:cstheme="majorHAnsi"/>
        </w:rPr>
        <w:t xml:space="preserve">OTE: A </w:t>
      </w:r>
      <w:r w:rsidR="004C6E67" w:rsidRPr="00770846">
        <w:rPr>
          <w:rFonts w:asciiTheme="majorHAnsi" w:hAnsiTheme="majorHAnsi" w:cstheme="majorHAnsi"/>
        </w:rPr>
        <w:t xml:space="preserve">dedicated PET scanner for laboratory animal imaging was used with an axial field of view of 130 mm and a bore diameter of 72 mm. This system provides sub-mm (0.85 mm) spatial resolution. </w:t>
      </w:r>
    </w:p>
    <w:p w14:paraId="5459C192" w14:textId="77777777" w:rsidR="003356EE" w:rsidRPr="00770846" w:rsidRDefault="003356EE" w:rsidP="00770846">
      <w:pPr>
        <w:rPr>
          <w:rFonts w:asciiTheme="majorHAnsi" w:hAnsiTheme="majorHAnsi" w:cstheme="majorHAnsi"/>
          <w:highlight w:val="yellow"/>
        </w:rPr>
      </w:pPr>
    </w:p>
    <w:p w14:paraId="18D8D275" w14:textId="59AC3F42" w:rsidR="00346892" w:rsidRPr="00770846" w:rsidRDefault="006D1348" w:rsidP="00770846">
      <w:pPr>
        <w:pStyle w:val="ListParagraph"/>
        <w:numPr>
          <w:ilvl w:val="1"/>
          <w:numId w:val="13"/>
        </w:numPr>
        <w:ind w:left="0" w:firstLine="0"/>
        <w:rPr>
          <w:rFonts w:asciiTheme="majorHAnsi" w:hAnsiTheme="majorHAnsi" w:cstheme="majorHAnsi"/>
          <w:highlight w:val="yellow"/>
        </w:rPr>
      </w:pPr>
      <w:r w:rsidRPr="00770846">
        <w:rPr>
          <w:rFonts w:asciiTheme="majorHAnsi" w:hAnsiTheme="majorHAnsi" w:cstheme="majorHAnsi"/>
          <w:highlight w:val="yellow"/>
        </w:rPr>
        <w:lastRenderedPageBreak/>
        <w:t xml:space="preserve">Inject </w:t>
      </w:r>
      <w:r w:rsidR="002E23BE" w:rsidRPr="00770846">
        <w:rPr>
          <w:rFonts w:asciiTheme="majorHAnsi" w:hAnsiTheme="majorHAnsi" w:cstheme="majorHAnsi"/>
          <w:highlight w:val="yellow"/>
        </w:rPr>
        <w:t xml:space="preserve">an </w:t>
      </w:r>
      <w:r w:rsidRPr="00770846">
        <w:rPr>
          <w:rFonts w:asciiTheme="majorHAnsi" w:hAnsiTheme="majorHAnsi" w:cstheme="majorHAnsi"/>
          <w:highlight w:val="yellow"/>
        </w:rPr>
        <w:t xml:space="preserve">MRI contrast agent (0.4 mL/kg) </w:t>
      </w:r>
      <w:r w:rsidR="00427114" w:rsidRPr="00770846">
        <w:rPr>
          <w:rFonts w:asciiTheme="majorHAnsi" w:hAnsiTheme="majorHAnsi" w:cstheme="majorHAnsi"/>
          <w:highlight w:val="yellow"/>
        </w:rPr>
        <w:t>intravenously in</w:t>
      </w:r>
      <w:r w:rsidR="002E23BE" w:rsidRPr="00770846">
        <w:rPr>
          <w:rFonts w:asciiTheme="majorHAnsi" w:hAnsiTheme="majorHAnsi" w:cstheme="majorHAnsi"/>
          <w:highlight w:val="yellow"/>
        </w:rPr>
        <w:t>to</w:t>
      </w:r>
      <w:r w:rsidR="00427114" w:rsidRPr="00770846">
        <w:rPr>
          <w:rFonts w:asciiTheme="majorHAnsi" w:hAnsiTheme="majorHAnsi" w:cstheme="majorHAnsi"/>
          <w:highlight w:val="yellow"/>
        </w:rPr>
        <w:t xml:space="preserve"> the tail vein</w:t>
      </w:r>
      <w:r w:rsidR="00EC7F1B" w:rsidRPr="00770846">
        <w:rPr>
          <w:rFonts w:asciiTheme="majorHAnsi" w:hAnsiTheme="majorHAnsi" w:cstheme="majorHAnsi"/>
          <w:highlight w:val="yellow"/>
        </w:rPr>
        <w:t xml:space="preserve">. </w:t>
      </w:r>
      <w:r w:rsidR="00346892" w:rsidRPr="00770846">
        <w:rPr>
          <w:rFonts w:asciiTheme="majorHAnsi" w:hAnsiTheme="majorHAnsi" w:cstheme="majorHAnsi"/>
          <w:highlight w:val="yellow"/>
        </w:rPr>
        <w:t>Place</w:t>
      </w:r>
      <w:r w:rsidR="00086586" w:rsidRPr="00770846">
        <w:rPr>
          <w:rFonts w:asciiTheme="majorHAnsi" w:hAnsiTheme="majorHAnsi" w:cstheme="majorHAnsi"/>
          <w:highlight w:val="yellow"/>
        </w:rPr>
        <w:t xml:space="preserve"> the rat, s</w:t>
      </w:r>
      <w:r w:rsidR="00693CDA" w:rsidRPr="00770846">
        <w:rPr>
          <w:rFonts w:asciiTheme="majorHAnsi" w:hAnsiTheme="majorHAnsi" w:cstheme="majorHAnsi"/>
          <w:highlight w:val="yellow"/>
        </w:rPr>
        <w:t>t</w:t>
      </w:r>
      <w:r w:rsidR="00086586" w:rsidRPr="00770846">
        <w:rPr>
          <w:rFonts w:asciiTheme="majorHAnsi" w:hAnsiTheme="majorHAnsi" w:cstheme="majorHAnsi"/>
          <w:highlight w:val="yellow"/>
        </w:rPr>
        <w:t>ill fixed on the multimodality bed, in the animal holder of the MRI scanner</w:t>
      </w:r>
      <w:r w:rsidR="0067052C" w:rsidRPr="00770846">
        <w:rPr>
          <w:rFonts w:asciiTheme="majorHAnsi" w:hAnsiTheme="majorHAnsi" w:cstheme="majorHAnsi"/>
          <w:highlight w:val="yellow"/>
        </w:rPr>
        <w:t xml:space="preserve"> (</w:t>
      </w:r>
      <w:r w:rsidR="00FC37AA" w:rsidRPr="00770846">
        <w:rPr>
          <w:rFonts w:asciiTheme="majorHAnsi" w:hAnsiTheme="majorHAnsi" w:cstheme="majorHAnsi"/>
          <w:b/>
          <w:bCs/>
          <w:highlight w:val="yellow"/>
        </w:rPr>
        <w:t>Table of Materials</w:t>
      </w:r>
      <w:r w:rsidR="0067052C" w:rsidRPr="00770846">
        <w:rPr>
          <w:rFonts w:asciiTheme="majorHAnsi" w:hAnsiTheme="majorHAnsi" w:cstheme="majorHAnsi"/>
          <w:highlight w:val="yellow"/>
        </w:rPr>
        <w:t>)</w:t>
      </w:r>
      <w:r w:rsidR="0001165D" w:rsidRPr="00770846">
        <w:rPr>
          <w:rFonts w:asciiTheme="majorHAnsi" w:hAnsiTheme="majorHAnsi" w:cstheme="majorHAnsi"/>
          <w:highlight w:val="yellow"/>
        </w:rPr>
        <w:t>. Perform a localizer scan followed by a contrast-enhanced</w:t>
      </w:r>
      <w:r w:rsidR="005411A0" w:rsidRPr="00770846">
        <w:rPr>
          <w:rFonts w:asciiTheme="majorHAnsi" w:hAnsiTheme="majorHAnsi" w:cstheme="majorHAnsi"/>
          <w:highlight w:val="yellow"/>
        </w:rPr>
        <w:t xml:space="preserve"> T</w:t>
      </w:r>
      <w:r w:rsidR="005411A0" w:rsidRPr="00770846">
        <w:rPr>
          <w:rFonts w:asciiTheme="majorHAnsi" w:hAnsiTheme="majorHAnsi" w:cstheme="majorHAnsi"/>
          <w:highlight w:val="yellow"/>
          <w:vertAlign w:val="subscript"/>
        </w:rPr>
        <w:t>1</w:t>
      </w:r>
      <w:r w:rsidR="005411A0" w:rsidRPr="00770846">
        <w:rPr>
          <w:rFonts w:asciiTheme="majorHAnsi" w:hAnsiTheme="majorHAnsi" w:cstheme="majorHAnsi"/>
          <w:highlight w:val="yellow"/>
        </w:rPr>
        <w:t>-weighted spin-echo sequence</w:t>
      </w:r>
      <w:r w:rsidR="005F5753" w:rsidRPr="00770846">
        <w:rPr>
          <w:rFonts w:asciiTheme="majorHAnsi" w:hAnsiTheme="majorHAnsi" w:cstheme="majorHAnsi"/>
          <w:highlight w:val="yellow"/>
        </w:rPr>
        <w:t xml:space="preserve">, analogous to </w:t>
      </w:r>
      <w:r w:rsidR="00FC37AA" w:rsidRPr="00770846">
        <w:rPr>
          <w:rFonts w:asciiTheme="majorHAnsi" w:hAnsiTheme="majorHAnsi" w:cstheme="majorHAnsi"/>
          <w:highlight w:val="yellow"/>
        </w:rPr>
        <w:t xml:space="preserve">step </w:t>
      </w:r>
      <w:r w:rsidR="005F5753" w:rsidRPr="00770846">
        <w:rPr>
          <w:rFonts w:asciiTheme="majorHAnsi" w:hAnsiTheme="majorHAnsi" w:cstheme="majorHAnsi"/>
          <w:highlight w:val="yellow"/>
        </w:rPr>
        <w:t>2.4</w:t>
      </w:r>
      <w:r w:rsidR="005411A0" w:rsidRPr="00770846">
        <w:rPr>
          <w:rFonts w:asciiTheme="majorHAnsi" w:hAnsiTheme="majorHAnsi" w:cstheme="majorHAnsi"/>
          <w:highlight w:val="yellow"/>
        </w:rPr>
        <w:t>.</w:t>
      </w:r>
    </w:p>
    <w:p w14:paraId="4AA85C5D" w14:textId="77777777" w:rsidR="003356EE" w:rsidRPr="00770846" w:rsidRDefault="003356EE" w:rsidP="00770846">
      <w:pPr>
        <w:rPr>
          <w:rFonts w:asciiTheme="majorHAnsi" w:hAnsiTheme="majorHAnsi" w:cstheme="majorHAnsi"/>
          <w:highlight w:val="yellow"/>
        </w:rPr>
      </w:pPr>
    </w:p>
    <w:p w14:paraId="5678BAC1" w14:textId="0A7DDF22" w:rsidR="00584C0B" w:rsidRPr="00770846" w:rsidRDefault="00693CDA" w:rsidP="00770846">
      <w:pPr>
        <w:pStyle w:val="ListParagraph"/>
        <w:numPr>
          <w:ilvl w:val="1"/>
          <w:numId w:val="13"/>
        </w:numPr>
        <w:ind w:left="0" w:firstLine="0"/>
        <w:rPr>
          <w:rFonts w:asciiTheme="majorHAnsi" w:hAnsiTheme="majorHAnsi" w:cstheme="majorHAnsi"/>
          <w:highlight w:val="yellow"/>
        </w:rPr>
      </w:pPr>
      <w:r w:rsidRPr="00770846">
        <w:rPr>
          <w:rFonts w:asciiTheme="majorHAnsi" w:hAnsiTheme="majorHAnsi" w:cstheme="majorHAnsi"/>
          <w:highlight w:val="yellow"/>
        </w:rPr>
        <w:t xml:space="preserve">Place the animal, still </w:t>
      </w:r>
      <w:r w:rsidR="00A04FBF" w:rsidRPr="00770846">
        <w:rPr>
          <w:rFonts w:asciiTheme="majorHAnsi" w:hAnsiTheme="majorHAnsi" w:cstheme="majorHAnsi"/>
          <w:highlight w:val="yellow"/>
        </w:rPr>
        <w:t>fixed on the multimodality bed, on a plastic holder secured onto the four-axis robotic positioning table on the micro-irradiator. Perform a high-resolution treatment</w:t>
      </w:r>
      <w:r w:rsidR="002316EF" w:rsidRPr="00770846">
        <w:rPr>
          <w:rFonts w:asciiTheme="majorHAnsi" w:hAnsiTheme="majorHAnsi" w:cstheme="majorHAnsi"/>
          <w:highlight w:val="yellow"/>
        </w:rPr>
        <w:t>-</w:t>
      </w:r>
      <w:r w:rsidR="00A04FBF" w:rsidRPr="00770846">
        <w:rPr>
          <w:rFonts w:asciiTheme="majorHAnsi" w:hAnsiTheme="majorHAnsi" w:cstheme="majorHAnsi"/>
          <w:highlight w:val="yellow"/>
        </w:rPr>
        <w:t>planning cone-beam CT</w:t>
      </w:r>
      <w:r w:rsidR="00AA3983" w:rsidRPr="00770846">
        <w:rPr>
          <w:rFonts w:asciiTheme="majorHAnsi" w:hAnsiTheme="majorHAnsi" w:cstheme="majorHAnsi"/>
          <w:highlight w:val="yellow"/>
        </w:rPr>
        <w:t xml:space="preserve"> using a</w:t>
      </w:r>
      <w:r w:rsidR="00454BD1" w:rsidRPr="00770846">
        <w:rPr>
          <w:rFonts w:asciiTheme="majorHAnsi" w:hAnsiTheme="majorHAnsi" w:cstheme="majorHAnsi"/>
          <w:highlight w:val="yellow"/>
        </w:rPr>
        <w:t xml:space="preserve"> </w:t>
      </w:r>
      <w:r w:rsidR="00C21F43" w:rsidRPr="00770846">
        <w:rPr>
          <w:rFonts w:asciiTheme="majorHAnsi" w:hAnsiTheme="majorHAnsi" w:cstheme="majorHAnsi"/>
          <w:highlight w:val="yellow"/>
        </w:rPr>
        <w:t xml:space="preserve">tube voltage of 70 kV, a tube current of 0.4 mA, a </w:t>
      </w:r>
      <w:r w:rsidR="00454BD1" w:rsidRPr="00770846">
        <w:rPr>
          <w:rFonts w:asciiTheme="majorHAnsi" w:hAnsiTheme="majorHAnsi" w:cstheme="majorHAnsi"/>
          <w:highlight w:val="yellow"/>
        </w:rPr>
        <w:t>1 mm</w:t>
      </w:r>
      <w:r w:rsidR="00AA3983" w:rsidRPr="00770846">
        <w:rPr>
          <w:rFonts w:asciiTheme="majorHAnsi" w:hAnsiTheme="majorHAnsi" w:cstheme="majorHAnsi"/>
          <w:highlight w:val="yellow"/>
        </w:rPr>
        <w:t xml:space="preserve"> </w:t>
      </w:r>
      <w:r w:rsidR="00B94A78" w:rsidRPr="00770846">
        <w:rPr>
          <w:rFonts w:asciiTheme="majorHAnsi" w:hAnsiTheme="majorHAnsi" w:cstheme="majorHAnsi"/>
          <w:highlight w:val="yellow"/>
        </w:rPr>
        <w:t>aluminum</w:t>
      </w:r>
      <w:r w:rsidR="00AA3983" w:rsidRPr="00770846">
        <w:rPr>
          <w:rFonts w:asciiTheme="majorHAnsi" w:hAnsiTheme="majorHAnsi" w:cstheme="majorHAnsi"/>
          <w:highlight w:val="yellow"/>
        </w:rPr>
        <w:t xml:space="preserve"> filter</w:t>
      </w:r>
      <w:r w:rsidR="00E362D9" w:rsidRPr="00770846">
        <w:rPr>
          <w:rFonts w:asciiTheme="majorHAnsi" w:hAnsiTheme="majorHAnsi" w:cstheme="majorHAnsi"/>
          <w:highlight w:val="yellow"/>
        </w:rPr>
        <w:t>,</w:t>
      </w:r>
      <w:r w:rsidR="00AA3983" w:rsidRPr="00770846">
        <w:rPr>
          <w:rFonts w:asciiTheme="majorHAnsi" w:hAnsiTheme="majorHAnsi" w:cstheme="majorHAnsi"/>
          <w:highlight w:val="yellow"/>
        </w:rPr>
        <w:t xml:space="preserve"> and a 20 x 20 cm (1024 x 1024 pixel) amorphous Si flat panel detector. </w:t>
      </w:r>
      <w:r w:rsidR="00227CB8" w:rsidRPr="00770846">
        <w:rPr>
          <w:rFonts w:asciiTheme="majorHAnsi" w:hAnsiTheme="majorHAnsi" w:cstheme="majorHAnsi"/>
          <w:highlight w:val="yellow"/>
        </w:rPr>
        <w:t>A</w:t>
      </w:r>
      <w:r w:rsidR="00B00BD5" w:rsidRPr="00770846">
        <w:rPr>
          <w:rFonts w:asciiTheme="majorHAnsi" w:hAnsiTheme="majorHAnsi" w:cstheme="majorHAnsi"/>
          <w:highlight w:val="yellow"/>
        </w:rPr>
        <w:t>cquire a</w:t>
      </w:r>
      <w:r w:rsidR="00227CB8" w:rsidRPr="00770846">
        <w:rPr>
          <w:rFonts w:asciiTheme="majorHAnsi" w:hAnsiTheme="majorHAnsi" w:cstheme="majorHAnsi"/>
          <w:highlight w:val="yellow"/>
        </w:rPr>
        <w:t xml:space="preserve"> total of 360 projections over 360°. </w:t>
      </w:r>
      <w:r w:rsidR="00AA3983" w:rsidRPr="00770846">
        <w:rPr>
          <w:rFonts w:asciiTheme="majorHAnsi" w:hAnsiTheme="majorHAnsi" w:cstheme="majorHAnsi"/>
          <w:highlight w:val="yellow"/>
        </w:rPr>
        <w:t>Reconstruct the CT images with an isotropic voxel size of 0.2</w:t>
      </w:r>
      <w:r w:rsidR="00974D5C" w:rsidRPr="00770846">
        <w:rPr>
          <w:rFonts w:asciiTheme="majorHAnsi" w:hAnsiTheme="majorHAnsi" w:cstheme="majorHAnsi"/>
          <w:highlight w:val="yellow"/>
        </w:rPr>
        <w:t>75</w:t>
      </w:r>
      <w:r w:rsidR="00AA3983" w:rsidRPr="00770846">
        <w:rPr>
          <w:rFonts w:asciiTheme="majorHAnsi" w:hAnsiTheme="majorHAnsi" w:cstheme="majorHAnsi"/>
          <w:highlight w:val="yellow"/>
        </w:rPr>
        <w:t xml:space="preserve"> mm</w:t>
      </w:r>
      <w:r w:rsidR="00DB6EDB" w:rsidRPr="00770846">
        <w:rPr>
          <w:rFonts w:asciiTheme="majorHAnsi" w:hAnsiTheme="majorHAnsi" w:cstheme="majorHAnsi"/>
          <w:highlight w:val="yellow"/>
        </w:rPr>
        <w:t xml:space="preserve"> (411 x 411 x 251 matrix)</w:t>
      </w:r>
      <w:r w:rsidR="00AA3983" w:rsidRPr="00770846">
        <w:rPr>
          <w:rFonts w:asciiTheme="majorHAnsi" w:hAnsiTheme="majorHAnsi" w:cstheme="majorHAnsi"/>
          <w:highlight w:val="yellow"/>
        </w:rPr>
        <w:t xml:space="preserve">. </w:t>
      </w:r>
    </w:p>
    <w:p w14:paraId="61A7BC74" w14:textId="77777777" w:rsidR="00EC0084" w:rsidRPr="00770846" w:rsidRDefault="00EC0084" w:rsidP="00770846">
      <w:pPr>
        <w:rPr>
          <w:rFonts w:asciiTheme="majorHAnsi" w:hAnsiTheme="majorHAnsi" w:cstheme="majorHAnsi"/>
          <w:highlight w:val="yellow"/>
        </w:rPr>
      </w:pPr>
    </w:p>
    <w:p w14:paraId="0F8D641D" w14:textId="0587B077" w:rsidR="001D6CA7" w:rsidRPr="00770846" w:rsidRDefault="001D6CA7" w:rsidP="00770846">
      <w:pPr>
        <w:pStyle w:val="ListParagraph"/>
        <w:numPr>
          <w:ilvl w:val="0"/>
          <w:numId w:val="13"/>
        </w:numPr>
        <w:ind w:left="0" w:firstLine="0"/>
        <w:rPr>
          <w:rFonts w:asciiTheme="majorHAnsi" w:hAnsiTheme="majorHAnsi" w:cstheme="majorHAnsi"/>
          <w:b/>
          <w:bCs/>
          <w:highlight w:val="yellow"/>
        </w:rPr>
      </w:pPr>
      <w:r w:rsidRPr="00770846">
        <w:rPr>
          <w:rFonts w:asciiTheme="majorHAnsi" w:hAnsiTheme="majorHAnsi" w:cstheme="majorHAnsi"/>
          <w:b/>
          <w:bCs/>
          <w:highlight w:val="yellow"/>
        </w:rPr>
        <w:t>Image co</w:t>
      </w:r>
      <w:r w:rsidR="00C33D18" w:rsidRPr="00770846">
        <w:rPr>
          <w:rFonts w:asciiTheme="majorHAnsi" w:hAnsiTheme="majorHAnsi" w:cstheme="majorHAnsi"/>
          <w:b/>
          <w:bCs/>
          <w:highlight w:val="yellow"/>
        </w:rPr>
        <w:t>-</w:t>
      </w:r>
      <w:r w:rsidRPr="00770846">
        <w:rPr>
          <w:rFonts w:asciiTheme="majorHAnsi" w:hAnsiTheme="majorHAnsi" w:cstheme="majorHAnsi"/>
          <w:b/>
          <w:bCs/>
          <w:highlight w:val="yellow"/>
        </w:rPr>
        <w:t>registration</w:t>
      </w:r>
    </w:p>
    <w:p w14:paraId="3946BD95" w14:textId="77777777" w:rsidR="00C93CDF" w:rsidRPr="00770846" w:rsidRDefault="00C93CDF" w:rsidP="00770846">
      <w:pPr>
        <w:rPr>
          <w:rFonts w:asciiTheme="majorHAnsi" w:hAnsiTheme="majorHAnsi" w:cstheme="majorHAnsi"/>
          <w:highlight w:val="yellow"/>
        </w:rPr>
      </w:pPr>
    </w:p>
    <w:p w14:paraId="0A55FA0D" w14:textId="19E5CCF5" w:rsidR="00DE2A18" w:rsidRPr="00770846" w:rsidRDefault="00014513" w:rsidP="00770846">
      <w:pPr>
        <w:rPr>
          <w:rFonts w:asciiTheme="majorHAnsi" w:hAnsiTheme="majorHAnsi" w:cstheme="majorHAnsi"/>
        </w:rPr>
      </w:pPr>
      <w:r w:rsidRPr="00770846">
        <w:rPr>
          <w:rFonts w:asciiTheme="majorHAnsi" w:hAnsiTheme="majorHAnsi" w:cstheme="majorHAnsi"/>
        </w:rPr>
        <w:t xml:space="preserve">NOTE: </w:t>
      </w:r>
      <w:r w:rsidR="00B327B9" w:rsidRPr="00770846">
        <w:rPr>
          <w:rFonts w:asciiTheme="majorHAnsi" w:hAnsiTheme="majorHAnsi" w:cstheme="majorHAnsi"/>
        </w:rPr>
        <w:t>The co</w:t>
      </w:r>
      <w:r w:rsidR="00C33D18" w:rsidRPr="00770846">
        <w:rPr>
          <w:rFonts w:asciiTheme="majorHAnsi" w:hAnsiTheme="majorHAnsi" w:cstheme="majorHAnsi"/>
        </w:rPr>
        <w:t>-</w:t>
      </w:r>
      <w:r w:rsidR="00B327B9" w:rsidRPr="00770846">
        <w:rPr>
          <w:rFonts w:asciiTheme="majorHAnsi" w:hAnsiTheme="majorHAnsi" w:cstheme="majorHAnsi"/>
        </w:rPr>
        <w:t xml:space="preserve">registration is performed </w:t>
      </w:r>
      <w:r w:rsidR="00DE2A18" w:rsidRPr="00770846">
        <w:rPr>
          <w:rFonts w:asciiTheme="majorHAnsi" w:hAnsiTheme="majorHAnsi" w:cstheme="majorHAnsi"/>
        </w:rPr>
        <w:t xml:space="preserve">with a </w:t>
      </w:r>
      <w:r w:rsidR="00B327B9" w:rsidRPr="00770846">
        <w:rPr>
          <w:rFonts w:asciiTheme="majorHAnsi" w:hAnsiTheme="majorHAnsi" w:cstheme="majorHAnsi"/>
        </w:rPr>
        <w:t>semi-automatic</w:t>
      </w:r>
      <w:r w:rsidR="00977B90" w:rsidRPr="00770846">
        <w:rPr>
          <w:rFonts w:asciiTheme="majorHAnsi" w:hAnsiTheme="majorHAnsi" w:cstheme="majorHAnsi"/>
        </w:rPr>
        <w:t xml:space="preserve"> MATLAB code</w:t>
      </w:r>
      <w:r w:rsidR="00831BE0" w:rsidRPr="00770846">
        <w:rPr>
          <w:rFonts w:asciiTheme="majorHAnsi" w:hAnsiTheme="majorHAnsi" w:cstheme="majorHAnsi"/>
        </w:rPr>
        <w:t xml:space="preserve"> developed in-house</w:t>
      </w:r>
      <w:r w:rsidR="00B327B9" w:rsidRPr="00770846">
        <w:rPr>
          <w:rFonts w:asciiTheme="majorHAnsi" w:hAnsiTheme="majorHAnsi" w:cstheme="majorHAnsi"/>
        </w:rPr>
        <w:t xml:space="preserve">. </w:t>
      </w:r>
      <w:r w:rsidR="004C3C2B" w:rsidRPr="00770846">
        <w:rPr>
          <w:rFonts w:asciiTheme="majorHAnsi" w:hAnsiTheme="majorHAnsi" w:cstheme="majorHAnsi"/>
        </w:rPr>
        <w:t xml:space="preserve">The code can be found on </w:t>
      </w:r>
      <w:proofErr w:type="spellStart"/>
      <w:r w:rsidR="004C3C2B" w:rsidRPr="00770846">
        <w:rPr>
          <w:rFonts w:asciiTheme="majorHAnsi" w:hAnsiTheme="majorHAnsi" w:cstheme="majorHAnsi"/>
        </w:rPr>
        <w:t>Github</w:t>
      </w:r>
      <w:proofErr w:type="spellEnd"/>
      <w:r w:rsidR="004C3C2B" w:rsidRPr="00770846">
        <w:rPr>
          <w:rFonts w:asciiTheme="majorHAnsi" w:hAnsiTheme="majorHAnsi" w:cstheme="majorHAnsi"/>
        </w:rPr>
        <w:t xml:space="preserve"> at </w:t>
      </w:r>
      <w:r w:rsidR="00D604B8" w:rsidRPr="00770846">
        <w:rPr>
          <w:rFonts w:asciiTheme="majorHAnsi" w:hAnsiTheme="majorHAnsi" w:cstheme="majorHAnsi"/>
        </w:rPr>
        <w:t>https://github.com/sdonche/DosePainting.</w:t>
      </w:r>
      <w:r w:rsidR="004C3C2B" w:rsidRPr="00770846">
        <w:rPr>
          <w:rFonts w:asciiTheme="majorHAnsi" w:hAnsiTheme="majorHAnsi" w:cstheme="majorHAnsi"/>
        </w:rPr>
        <w:t xml:space="preserve"> </w:t>
      </w:r>
      <w:r w:rsidR="00ED30F1" w:rsidRPr="00770846">
        <w:rPr>
          <w:rFonts w:asciiTheme="majorHAnsi" w:hAnsiTheme="majorHAnsi" w:cstheme="majorHAnsi"/>
        </w:rPr>
        <w:t>The</w:t>
      </w:r>
      <w:r w:rsidR="00977B90" w:rsidRPr="00770846">
        <w:rPr>
          <w:rFonts w:asciiTheme="majorHAnsi" w:hAnsiTheme="majorHAnsi" w:cstheme="majorHAnsi"/>
        </w:rPr>
        <w:t xml:space="preserve"> different steps a</w:t>
      </w:r>
      <w:r w:rsidR="006A6884" w:rsidRPr="00770846">
        <w:rPr>
          <w:rFonts w:asciiTheme="majorHAnsi" w:hAnsiTheme="majorHAnsi" w:cstheme="majorHAnsi"/>
        </w:rPr>
        <w:t xml:space="preserve">re </w:t>
      </w:r>
      <w:r w:rsidR="00CF7E88" w:rsidRPr="00770846">
        <w:rPr>
          <w:rFonts w:asciiTheme="majorHAnsi" w:hAnsiTheme="majorHAnsi" w:cstheme="majorHAnsi"/>
        </w:rPr>
        <w:t xml:space="preserve">described </w:t>
      </w:r>
      <w:r w:rsidR="006A6884" w:rsidRPr="00770846">
        <w:rPr>
          <w:rFonts w:asciiTheme="majorHAnsi" w:hAnsiTheme="majorHAnsi" w:cstheme="majorHAnsi"/>
        </w:rPr>
        <w:t>below.</w:t>
      </w:r>
    </w:p>
    <w:p w14:paraId="7C9A8AD7" w14:textId="04421E10" w:rsidR="00B327B9" w:rsidRPr="00770846" w:rsidRDefault="00B327B9" w:rsidP="00770846">
      <w:pPr>
        <w:pStyle w:val="ListParagraph"/>
        <w:ind w:left="0"/>
        <w:rPr>
          <w:rFonts w:asciiTheme="majorHAnsi" w:hAnsiTheme="majorHAnsi" w:cstheme="majorHAnsi"/>
          <w:highlight w:val="yellow"/>
        </w:rPr>
      </w:pPr>
    </w:p>
    <w:p w14:paraId="129A23F0" w14:textId="39F46D8D" w:rsidR="00EC0084" w:rsidRPr="00770846" w:rsidRDefault="006A6884" w:rsidP="00770846">
      <w:pPr>
        <w:pStyle w:val="ListParagraph"/>
        <w:numPr>
          <w:ilvl w:val="1"/>
          <w:numId w:val="13"/>
        </w:numPr>
        <w:ind w:left="0" w:firstLine="0"/>
        <w:rPr>
          <w:rFonts w:asciiTheme="majorHAnsi" w:hAnsiTheme="majorHAnsi" w:cstheme="majorHAnsi"/>
          <w:highlight w:val="yellow"/>
        </w:rPr>
      </w:pPr>
      <w:r w:rsidRPr="00770846">
        <w:rPr>
          <w:rFonts w:asciiTheme="majorHAnsi" w:hAnsiTheme="majorHAnsi" w:cstheme="majorHAnsi"/>
          <w:highlight w:val="yellow"/>
        </w:rPr>
        <w:t>Plac</w:t>
      </w:r>
      <w:r w:rsidR="002F70EA" w:rsidRPr="00770846">
        <w:rPr>
          <w:rFonts w:asciiTheme="majorHAnsi" w:hAnsiTheme="majorHAnsi" w:cstheme="majorHAnsi"/>
          <w:highlight w:val="yellow"/>
        </w:rPr>
        <w:t>e the three image modalities ([</w:t>
      </w:r>
      <w:r w:rsidR="002F70EA" w:rsidRPr="00770846">
        <w:rPr>
          <w:rFonts w:asciiTheme="majorHAnsi" w:hAnsiTheme="majorHAnsi" w:cstheme="majorHAnsi"/>
          <w:highlight w:val="yellow"/>
          <w:vertAlign w:val="superscript"/>
        </w:rPr>
        <w:t>18</w:t>
      </w:r>
      <w:proofErr w:type="gramStart"/>
      <w:r w:rsidR="002F70EA" w:rsidRPr="00770846">
        <w:rPr>
          <w:rFonts w:asciiTheme="majorHAnsi" w:hAnsiTheme="majorHAnsi" w:cstheme="majorHAnsi"/>
          <w:highlight w:val="yellow"/>
        </w:rPr>
        <w:t>F]FET</w:t>
      </w:r>
      <w:proofErr w:type="gramEnd"/>
      <w:r w:rsidR="002F70EA" w:rsidRPr="00770846">
        <w:rPr>
          <w:rFonts w:asciiTheme="majorHAnsi" w:hAnsiTheme="majorHAnsi" w:cstheme="majorHAnsi"/>
          <w:highlight w:val="yellow"/>
        </w:rPr>
        <w:t xml:space="preserve"> PET, contrast-enhanced T</w:t>
      </w:r>
      <w:r w:rsidR="002F70EA" w:rsidRPr="00770846">
        <w:rPr>
          <w:rFonts w:asciiTheme="majorHAnsi" w:hAnsiTheme="majorHAnsi" w:cstheme="majorHAnsi"/>
          <w:highlight w:val="yellow"/>
          <w:vertAlign w:val="subscript"/>
        </w:rPr>
        <w:t>1</w:t>
      </w:r>
      <w:r w:rsidR="002F70EA" w:rsidRPr="00770846">
        <w:rPr>
          <w:rFonts w:asciiTheme="majorHAnsi" w:hAnsiTheme="majorHAnsi" w:cstheme="majorHAnsi"/>
          <w:highlight w:val="yellow"/>
        </w:rPr>
        <w:t>-weighted MRI</w:t>
      </w:r>
      <w:r w:rsidR="00D43A74" w:rsidRPr="00770846">
        <w:rPr>
          <w:rFonts w:asciiTheme="majorHAnsi" w:hAnsiTheme="majorHAnsi" w:cstheme="majorHAnsi"/>
          <w:highlight w:val="yellow"/>
        </w:rPr>
        <w:t>,</w:t>
      </w:r>
      <w:r w:rsidR="002F70EA" w:rsidRPr="00770846">
        <w:rPr>
          <w:rFonts w:asciiTheme="majorHAnsi" w:hAnsiTheme="majorHAnsi" w:cstheme="majorHAnsi"/>
          <w:highlight w:val="yellow"/>
        </w:rPr>
        <w:t xml:space="preserve"> and cone-beam CT) into </w:t>
      </w:r>
      <w:r w:rsidR="00576AB7" w:rsidRPr="00770846">
        <w:rPr>
          <w:rFonts w:asciiTheme="majorHAnsi" w:hAnsiTheme="majorHAnsi" w:cstheme="majorHAnsi"/>
          <w:highlight w:val="yellow"/>
        </w:rPr>
        <w:t>one</w:t>
      </w:r>
      <w:r w:rsidR="002F70EA" w:rsidRPr="00770846">
        <w:rPr>
          <w:rFonts w:asciiTheme="majorHAnsi" w:hAnsiTheme="majorHAnsi" w:cstheme="majorHAnsi"/>
          <w:highlight w:val="yellow"/>
        </w:rPr>
        <w:t xml:space="preserve"> folder.</w:t>
      </w:r>
      <w:r w:rsidR="000B329A" w:rsidRPr="00770846">
        <w:rPr>
          <w:rFonts w:asciiTheme="majorHAnsi" w:hAnsiTheme="majorHAnsi" w:cstheme="majorHAnsi"/>
          <w:highlight w:val="yellow"/>
        </w:rPr>
        <w:t xml:space="preserve"> </w:t>
      </w:r>
      <w:r w:rsidR="00576AB7" w:rsidRPr="00770846">
        <w:rPr>
          <w:rFonts w:asciiTheme="majorHAnsi" w:hAnsiTheme="majorHAnsi" w:cstheme="majorHAnsi"/>
          <w:highlight w:val="yellow"/>
        </w:rPr>
        <w:t xml:space="preserve">Convert </w:t>
      </w:r>
      <w:r w:rsidR="007749E5" w:rsidRPr="00770846">
        <w:rPr>
          <w:rFonts w:asciiTheme="majorHAnsi" w:hAnsiTheme="majorHAnsi" w:cstheme="majorHAnsi"/>
          <w:highlight w:val="yellow"/>
        </w:rPr>
        <w:t>DICOM</w:t>
      </w:r>
      <w:r w:rsidR="00576AB7" w:rsidRPr="00770846">
        <w:rPr>
          <w:rFonts w:asciiTheme="majorHAnsi" w:hAnsiTheme="majorHAnsi" w:cstheme="majorHAnsi"/>
          <w:highlight w:val="yellow"/>
        </w:rPr>
        <w:t xml:space="preserve"> i</w:t>
      </w:r>
      <w:r w:rsidR="00271D72" w:rsidRPr="00770846">
        <w:rPr>
          <w:rFonts w:asciiTheme="majorHAnsi" w:hAnsiTheme="majorHAnsi" w:cstheme="majorHAnsi"/>
          <w:highlight w:val="yellow"/>
        </w:rPr>
        <w:t xml:space="preserve">mages </w:t>
      </w:r>
      <w:r w:rsidR="009A1FE2" w:rsidRPr="00770846">
        <w:rPr>
          <w:rFonts w:asciiTheme="majorHAnsi" w:hAnsiTheme="majorHAnsi" w:cstheme="majorHAnsi"/>
          <w:highlight w:val="yellow"/>
        </w:rPr>
        <w:t>to</w:t>
      </w:r>
      <w:r w:rsidR="004572A2" w:rsidRPr="00770846">
        <w:rPr>
          <w:rFonts w:asciiTheme="majorHAnsi" w:hAnsiTheme="majorHAnsi" w:cstheme="majorHAnsi"/>
          <w:highlight w:val="yellow"/>
        </w:rPr>
        <w:t xml:space="preserve"> </w:t>
      </w:r>
      <w:r w:rsidR="00D43A74" w:rsidRPr="00770846">
        <w:rPr>
          <w:rFonts w:asciiTheme="majorHAnsi" w:hAnsiTheme="majorHAnsi" w:cstheme="majorHAnsi"/>
          <w:highlight w:val="yellow"/>
        </w:rPr>
        <w:t xml:space="preserve">the </w:t>
      </w:r>
      <w:proofErr w:type="spellStart"/>
      <w:r w:rsidR="00306979" w:rsidRPr="00770846">
        <w:rPr>
          <w:rFonts w:asciiTheme="majorHAnsi" w:hAnsiTheme="majorHAnsi" w:cstheme="majorHAnsi"/>
          <w:b/>
          <w:bCs/>
          <w:highlight w:val="yellow"/>
        </w:rPr>
        <w:t>NIfTI</w:t>
      </w:r>
      <w:proofErr w:type="spellEnd"/>
      <w:r w:rsidR="00306979" w:rsidRPr="00770846">
        <w:rPr>
          <w:rFonts w:asciiTheme="majorHAnsi" w:hAnsiTheme="majorHAnsi" w:cstheme="majorHAnsi"/>
          <w:b/>
          <w:bCs/>
          <w:highlight w:val="yellow"/>
        </w:rPr>
        <w:t xml:space="preserve"> format</w:t>
      </w:r>
      <w:r w:rsidR="00306979" w:rsidRPr="00770846">
        <w:rPr>
          <w:rFonts w:asciiTheme="majorHAnsi" w:hAnsiTheme="majorHAnsi" w:cstheme="majorHAnsi"/>
          <w:highlight w:val="yellow"/>
        </w:rPr>
        <w:t xml:space="preserve"> using </w:t>
      </w:r>
      <w:r w:rsidR="008B0CBC" w:rsidRPr="00770846">
        <w:rPr>
          <w:rFonts w:asciiTheme="majorHAnsi" w:hAnsiTheme="majorHAnsi" w:cstheme="majorHAnsi"/>
          <w:highlight w:val="yellow"/>
        </w:rPr>
        <w:t xml:space="preserve">the </w:t>
      </w:r>
      <w:r w:rsidR="008B0CBC" w:rsidRPr="00770846">
        <w:rPr>
          <w:rFonts w:asciiTheme="majorHAnsi" w:hAnsiTheme="majorHAnsi" w:cstheme="majorHAnsi"/>
          <w:b/>
          <w:bCs/>
          <w:highlight w:val="yellow"/>
        </w:rPr>
        <w:t>dcm2niix</w:t>
      </w:r>
      <w:r w:rsidR="008B0CBC" w:rsidRPr="00770846">
        <w:rPr>
          <w:rFonts w:asciiTheme="majorHAnsi" w:hAnsiTheme="majorHAnsi" w:cstheme="majorHAnsi"/>
          <w:highlight w:val="yellow"/>
        </w:rPr>
        <w:t xml:space="preserve"> function </w:t>
      </w:r>
      <w:r w:rsidR="009C2314" w:rsidRPr="00770846">
        <w:rPr>
          <w:rFonts w:asciiTheme="majorHAnsi" w:hAnsiTheme="majorHAnsi" w:cstheme="majorHAnsi"/>
          <w:highlight w:val="yellow"/>
        </w:rPr>
        <w:t xml:space="preserve">from the </w:t>
      </w:r>
      <w:proofErr w:type="spellStart"/>
      <w:r w:rsidR="004572A2" w:rsidRPr="00770846">
        <w:rPr>
          <w:rFonts w:asciiTheme="majorHAnsi" w:hAnsiTheme="majorHAnsi" w:cstheme="majorHAnsi"/>
          <w:b/>
          <w:bCs/>
          <w:highlight w:val="yellow"/>
        </w:rPr>
        <w:t>mricron</w:t>
      </w:r>
      <w:proofErr w:type="spellEnd"/>
      <w:r w:rsidR="00576CE2" w:rsidRPr="00770846">
        <w:rPr>
          <w:rFonts w:asciiTheme="majorHAnsi" w:hAnsiTheme="majorHAnsi" w:cstheme="majorHAnsi"/>
          <w:b/>
          <w:bCs/>
          <w:highlight w:val="yellow"/>
        </w:rPr>
        <w:t xml:space="preserve"> image </w:t>
      </w:r>
      <w:r w:rsidR="00331877" w:rsidRPr="00770846">
        <w:rPr>
          <w:rFonts w:asciiTheme="majorHAnsi" w:hAnsiTheme="majorHAnsi" w:cstheme="majorHAnsi"/>
          <w:b/>
          <w:bCs/>
          <w:highlight w:val="yellow"/>
        </w:rPr>
        <w:t>viewer</w:t>
      </w:r>
      <w:r w:rsidR="00331877" w:rsidRPr="00770846">
        <w:rPr>
          <w:rFonts w:asciiTheme="majorHAnsi" w:hAnsiTheme="majorHAnsi" w:cstheme="majorHAnsi"/>
          <w:highlight w:val="yellow"/>
        </w:rPr>
        <w:fldChar w:fldCharType="begin" w:fldLock="1"/>
      </w:r>
      <w:r w:rsidR="00331877" w:rsidRPr="00770846">
        <w:rPr>
          <w:rFonts w:asciiTheme="majorHAnsi" w:hAnsiTheme="majorHAnsi" w:cstheme="majorHAnsi"/>
          <w:highlight w:val="yellow"/>
        </w:rPr>
        <w:instrText>ADDIN CSL_CITATION {"citationItems":[{"id":"ITEM-1","itemData":{"author":[{"dropping-particle":"","family":"Rorden","given":"C.","non-dropping-particle":"","parse-names":false,"suffix":""},{"dropping-particle":"","family":"Karnath","given":"H. O.","non-dropping-particle":"","parse-names":false,"suffix":""},{"dropping-particle":"","family":"Bonhilha","given":"L.","non-dropping-particle":"","parse-names":false,"suffix":""}],"id":"ITEM-1","issued":{"date-parts":[["2015"]]},"title":"Mricron dicom to nifti converter. neuroimaging informatics tools and resources clearinghouse (nitrc)","type":"webpage"},"uris":["http://www.mendeley.com/documents/?uuid=4b3ec2b5-1aa5-4330-9604-9ae900737628","http://www.mendeley.com/documents/?uuid=686b717a-491b-40dc-bd0f-1b51ea081aff"]}],"mendeley":{"formattedCitation":"&lt;sup&gt;25&lt;/sup&gt;","plainTextFormattedCitation":"25","previouslyFormattedCitation":"&lt;sup&gt;24&lt;/sup&gt;"},"properties":{"noteIndex":0},"schema":"https://github.com/citation-style-language/schema/raw/master/csl-citation.json"}</w:instrText>
      </w:r>
      <w:r w:rsidR="00331877" w:rsidRPr="00770846">
        <w:rPr>
          <w:rFonts w:asciiTheme="majorHAnsi" w:hAnsiTheme="majorHAnsi" w:cstheme="majorHAnsi"/>
          <w:highlight w:val="yellow"/>
        </w:rPr>
        <w:fldChar w:fldCharType="separate"/>
      </w:r>
      <w:r w:rsidR="00331877" w:rsidRPr="00770846">
        <w:rPr>
          <w:rFonts w:asciiTheme="majorHAnsi" w:hAnsiTheme="majorHAnsi" w:cstheme="majorHAnsi"/>
          <w:noProof/>
          <w:highlight w:val="yellow"/>
          <w:vertAlign w:val="superscript"/>
        </w:rPr>
        <w:t>24</w:t>
      </w:r>
      <w:r w:rsidR="00331877" w:rsidRPr="00770846">
        <w:rPr>
          <w:rFonts w:asciiTheme="majorHAnsi" w:hAnsiTheme="majorHAnsi" w:cstheme="majorHAnsi"/>
          <w:highlight w:val="yellow"/>
        </w:rPr>
        <w:fldChar w:fldCharType="end"/>
      </w:r>
      <w:r w:rsidR="00576CE2" w:rsidRPr="00770846">
        <w:rPr>
          <w:rFonts w:asciiTheme="majorHAnsi" w:hAnsiTheme="majorHAnsi" w:cstheme="majorHAnsi"/>
          <w:highlight w:val="yellow"/>
        </w:rPr>
        <w:t xml:space="preserve">. </w:t>
      </w:r>
    </w:p>
    <w:p w14:paraId="4D68B662" w14:textId="77777777" w:rsidR="003356EE" w:rsidRPr="00770846" w:rsidRDefault="003356EE" w:rsidP="00770846">
      <w:pPr>
        <w:rPr>
          <w:rFonts w:asciiTheme="majorHAnsi" w:hAnsiTheme="majorHAnsi" w:cstheme="majorHAnsi"/>
          <w:highlight w:val="yellow"/>
        </w:rPr>
      </w:pPr>
    </w:p>
    <w:p w14:paraId="68911E22" w14:textId="4A7376D4" w:rsidR="00797A91" w:rsidRPr="00770846" w:rsidRDefault="00B84252" w:rsidP="00770846">
      <w:pPr>
        <w:pStyle w:val="ListParagraph"/>
        <w:numPr>
          <w:ilvl w:val="1"/>
          <w:numId w:val="13"/>
        </w:numPr>
        <w:ind w:left="0" w:firstLine="0"/>
        <w:rPr>
          <w:rFonts w:asciiTheme="majorHAnsi" w:hAnsiTheme="majorHAnsi" w:cstheme="majorHAnsi"/>
          <w:highlight w:val="yellow"/>
        </w:rPr>
      </w:pPr>
      <w:r w:rsidRPr="00770846">
        <w:rPr>
          <w:rFonts w:asciiTheme="majorHAnsi" w:hAnsiTheme="majorHAnsi" w:cstheme="majorHAnsi"/>
          <w:highlight w:val="yellow"/>
        </w:rPr>
        <w:t xml:space="preserve">Import the converted images into MATLAB and filter the PET image with a Gaussian filter using a </w:t>
      </w:r>
      <w:r w:rsidRPr="00770846">
        <w:rPr>
          <w:rFonts w:asciiTheme="majorHAnsi" w:hAnsiTheme="majorHAnsi" w:cstheme="majorHAnsi"/>
          <w:b/>
          <w:bCs/>
          <w:highlight w:val="yellow"/>
        </w:rPr>
        <w:t>Full</w:t>
      </w:r>
      <w:r w:rsidR="00BA0F8C" w:rsidRPr="00770846">
        <w:rPr>
          <w:rFonts w:asciiTheme="majorHAnsi" w:hAnsiTheme="majorHAnsi" w:cstheme="majorHAnsi"/>
          <w:b/>
          <w:bCs/>
          <w:highlight w:val="yellow"/>
        </w:rPr>
        <w:t>-</w:t>
      </w:r>
      <w:r w:rsidRPr="00770846">
        <w:rPr>
          <w:rFonts w:asciiTheme="majorHAnsi" w:hAnsiTheme="majorHAnsi" w:cstheme="majorHAnsi"/>
          <w:b/>
          <w:bCs/>
          <w:highlight w:val="yellow"/>
        </w:rPr>
        <w:t>Width Half</w:t>
      </w:r>
      <w:r w:rsidR="00BA0F8C" w:rsidRPr="00770846">
        <w:rPr>
          <w:rFonts w:asciiTheme="majorHAnsi" w:hAnsiTheme="majorHAnsi" w:cstheme="majorHAnsi"/>
          <w:b/>
          <w:bCs/>
          <w:highlight w:val="yellow"/>
        </w:rPr>
        <w:t>-</w:t>
      </w:r>
      <w:r w:rsidRPr="00770846">
        <w:rPr>
          <w:rFonts w:asciiTheme="majorHAnsi" w:hAnsiTheme="majorHAnsi" w:cstheme="majorHAnsi"/>
          <w:b/>
          <w:bCs/>
          <w:highlight w:val="yellow"/>
        </w:rPr>
        <w:t>Max (FWHM)</w:t>
      </w:r>
      <w:r w:rsidRPr="00770846">
        <w:rPr>
          <w:rFonts w:asciiTheme="majorHAnsi" w:hAnsiTheme="majorHAnsi" w:cstheme="majorHAnsi"/>
          <w:highlight w:val="yellow"/>
        </w:rPr>
        <w:t xml:space="preserve"> of </w:t>
      </w:r>
      <w:r w:rsidRPr="00770846">
        <w:rPr>
          <w:rFonts w:asciiTheme="majorHAnsi" w:hAnsiTheme="majorHAnsi" w:cstheme="majorHAnsi"/>
          <w:b/>
          <w:bCs/>
          <w:highlight w:val="yellow"/>
        </w:rPr>
        <w:t>1 mm</w:t>
      </w:r>
      <w:r w:rsidRPr="00770846">
        <w:rPr>
          <w:rFonts w:asciiTheme="majorHAnsi" w:hAnsiTheme="majorHAnsi" w:cstheme="majorHAnsi"/>
          <w:highlight w:val="yellow"/>
        </w:rPr>
        <w:t>.</w:t>
      </w:r>
    </w:p>
    <w:p w14:paraId="77463D61" w14:textId="77777777" w:rsidR="003356EE" w:rsidRPr="00770846" w:rsidRDefault="003356EE" w:rsidP="00770846">
      <w:pPr>
        <w:rPr>
          <w:rFonts w:asciiTheme="majorHAnsi" w:hAnsiTheme="majorHAnsi" w:cstheme="majorHAnsi"/>
          <w:highlight w:val="yellow"/>
        </w:rPr>
      </w:pPr>
    </w:p>
    <w:p w14:paraId="5E11149E" w14:textId="6595BCD3" w:rsidR="001A064A" w:rsidRPr="00770846" w:rsidRDefault="0053207C" w:rsidP="00770846">
      <w:pPr>
        <w:pStyle w:val="ListParagraph"/>
        <w:numPr>
          <w:ilvl w:val="1"/>
          <w:numId w:val="13"/>
        </w:numPr>
        <w:ind w:left="0" w:firstLine="0"/>
        <w:rPr>
          <w:rFonts w:asciiTheme="majorHAnsi" w:hAnsiTheme="majorHAnsi" w:cstheme="majorHAnsi"/>
          <w:highlight w:val="yellow"/>
        </w:rPr>
      </w:pPr>
      <w:r w:rsidRPr="00770846">
        <w:rPr>
          <w:rFonts w:asciiTheme="majorHAnsi" w:hAnsiTheme="majorHAnsi" w:cstheme="majorHAnsi"/>
          <w:highlight w:val="yellow"/>
        </w:rPr>
        <w:t>Reorient the images</w:t>
      </w:r>
      <w:r w:rsidR="0001634E" w:rsidRPr="00770846">
        <w:rPr>
          <w:rFonts w:asciiTheme="majorHAnsi" w:hAnsiTheme="majorHAnsi" w:cstheme="majorHAnsi"/>
          <w:highlight w:val="yellow"/>
        </w:rPr>
        <w:t xml:space="preserve"> </w:t>
      </w:r>
      <w:r w:rsidR="005A3020" w:rsidRPr="00770846">
        <w:rPr>
          <w:rFonts w:asciiTheme="majorHAnsi" w:hAnsiTheme="majorHAnsi" w:cstheme="majorHAnsi"/>
          <w:highlight w:val="yellow"/>
        </w:rPr>
        <w:t>so that the</w:t>
      </w:r>
      <w:r w:rsidR="003617DA" w:rsidRPr="00770846">
        <w:rPr>
          <w:rFonts w:asciiTheme="majorHAnsi" w:hAnsiTheme="majorHAnsi" w:cstheme="majorHAnsi"/>
          <w:highlight w:val="yellow"/>
        </w:rPr>
        <w:t xml:space="preserve"> cartesian ax</w:t>
      </w:r>
      <w:r w:rsidR="001A064A" w:rsidRPr="00770846">
        <w:rPr>
          <w:rFonts w:asciiTheme="majorHAnsi" w:hAnsiTheme="majorHAnsi" w:cstheme="majorHAnsi"/>
          <w:highlight w:val="yellow"/>
        </w:rPr>
        <w:t>e</w:t>
      </w:r>
      <w:r w:rsidR="003617DA" w:rsidRPr="00770846">
        <w:rPr>
          <w:rFonts w:asciiTheme="majorHAnsi" w:hAnsiTheme="majorHAnsi" w:cstheme="majorHAnsi"/>
          <w:highlight w:val="yellow"/>
        </w:rPr>
        <w:t>s f</w:t>
      </w:r>
      <w:r w:rsidR="004B5249" w:rsidRPr="00770846">
        <w:rPr>
          <w:rFonts w:asciiTheme="majorHAnsi" w:hAnsiTheme="majorHAnsi" w:cstheme="majorHAnsi"/>
          <w:highlight w:val="yellow"/>
        </w:rPr>
        <w:t>ro</w:t>
      </w:r>
      <w:r w:rsidR="003617DA" w:rsidRPr="00770846">
        <w:rPr>
          <w:rFonts w:asciiTheme="majorHAnsi" w:hAnsiTheme="majorHAnsi" w:cstheme="majorHAnsi"/>
          <w:highlight w:val="yellow"/>
        </w:rPr>
        <w:t xml:space="preserve">m </w:t>
      </w:r>
      <w:r w:rsidR="001A064A" w:rsidRPr="00770846">
        <w:rPr>
          <w:rFonts w:asciiTheme="majorHAnsi" w:hAnsiTheme="majorHAnsi" w:cstheme="majorHAnsi"/>
          <w:highlight w:val="yellow"/>
        </w:rPr>
        <w:t>all</w:t>
      </w:r>
      <w:r w:rsidR="003617DA" w:rsidRPr="00770846">
        <w:rPr>
          <w:rFonts w:asciiTheme="majorHAnsi" w:hAnsiTheme="majorHAnsi" w:cstheme="majorHAnsi"/>
          <w:highlight w:val="yellow"/>
        </w:rPr>
        <w:t xml:space="preserve"> imaging modalit</w:t>
      </w:r>
      <w:r w:rsidR="001A064A" w:rsidRPr="00770846">
        <w:rPr>
          <w:rFonts w:asciiTheme="majorHAnsi" w:hAnsiTheme="majorHAnsi" w:cstheme="majorHAnsi"/>
          <w:highlight w:val="yellow"/>
        </w:rPr>
        <w:t>ies</w:t>
      </w:r>
      <w:r w:rsidR="003617DA" w:rsidRPr="00770846">
        <w:rPr>
          <w:rFonts w:asciiTheme="majorHAnsi" w:hAnsiTheme="majorHAnsi" w:cstheme="majorHAnsi"/>
          <w:highlight w:val="yellow"/>
        </w:rPr>
        <w:t xml:space="preserve"> correspond with each other.</w:t>
      </w:r>
      <w:r w:rsidR="000319FE" w:rsidRPr="00770846">
        <w:rPr>
          <w:rFonts w:asciiTheme="majorHAnsi" w:hAnsiTheme="majorHAnsi" w:cstheme="majorHAnsi"/>
          <w:highlight w:val="yellow"/>
        </w:rPr>
        <w:t xml:space="preserve"> </w:t>
      </w:r>
    </w:p>
    <w:p w14:paraId="5A39CD28" w14:textId="77777777" w:rsidR="001A064A" w:rsidRPr="00770846" w:rsidRDefault="001A064A" w:rsidP="00770846">
      <w:pPr>
        <w:pStyle w:val="ListParagraph"/>
        <w:ind w:left="0"/>
        <w:rPr>
          <w:rFonts w:asciiTheme="majorHAnsi" w:hAnsiTheme="majorHAnsi" w:cstheme="majorHAnsi"/>
          <w:highlight w:val="yellow"/>
        </w:rPr>
      </w:pPr>
    </w:p>
    <w:p w14:paraId="5F8DF954" w14:textId="284E321C" w:rsidR="00093382" w:rsidRPr="00770846" w:rsidRDefault="001A064A" w:rsidP="00770846">
      <w:pPr>
        <w:pStyle w:val="ListParagraph"/>
        <w:ind w:left="0"/>
        <w:rPr>
          <w:rFonts w:asciiTheme="majorHAnsi" w:hAnsiTheme="majorHAnsi" w:cstheme="majorHAnsi"/>
        </w:rPr>
      </w:pPr>
      <w:r w:rsidRPr="00770846">
        <w:rPr>
          <w:rFonts w:asciiTheme="majorHAnsi" w:hAnsiTheme="majorHAnsi" w:cstheme="majorHAnsi"/>
        </w:rPr>
        <w:t xml:space="preserve">NOTE: </w:t>
      </w:r>
      <w:r w:rsidR="000319FE" w:rsidRPr="00770846">
        <w:rPr>
          <w:rFonts w:asciiTheme="majorHAnsi" w:hAnsiTheme="majorHAnsi" w:cstheme="majorHAnsi"/>
        </w:rPr>
        <w:t xml:space="preserve">For </w:t>
      </w:r>
      <w:r w:rsidRPr="00770846">
        <w:rPr>
          <w:rFonts w:asciiTheme="majorHAnsi" w:hAnsiTheme="majorHAnsi" w:cstheme="majorHAnsi"/>
        </w:rPr>
        <w:t>this</w:t>
      </w:r>
      <w:r w:rsidR="000319FE" w:rsidRPr="00770846">
        <w:rPr>
          <w:rFonts w:asciiTheme="majorHAnsi" w:hAnsiTheme="majorHAnsi" w:cstheme="majorHAnsi"/>
        </w:rPr>
        <w:t xml:space="preserve"> setup, </w:t>
      </w:r>
      <w:r w:rsidR="00802124" w:rsidRPr="00770846">
        <w:rPr>
          <w:rFonts w:asciiTheme="majorHAnsi" w:hAnsiTheme="majorHAnsi" w:cstheme="majorHAnsi"/>
        </w:rPr>
        <w:t xml:space="preserve">the CT </w:t>
      </w:r>
      <w:r w:rsidR="00573CCE" w:rsidRPr="00770846">
        <w:rPr>
          <w:rFonts w:asciiTheme="majorHAnsi" w:hAnsiTheme="majorHAnsi" w:cstheme="majorHAnsi"/>
        </w:rPr>
        <w:t xml:space="preserve">image was flipped around the Y-axis; the MRI was </w:t>
      </w:r>
      <w:r w:rsidR="0035490C" w:rsidRPr="00770846">
        <w:rPr>
          <w:rFonts w:asciiTheme="majorHAnsi" w:hAnsiTheme="majorHAnsi" w:cstheme="majorHAnsi"/>
        </w:rPr>
        <w:t>flipped around the X-axis</w:t>
      </w:r>
      <w:r w:rsidR="004751C9" w:rsidRPr="00770846">
        <w:rPr>
          <w:rFonts w:asciiTheme="majorHAnsi" w:hAnsiTheme="majorHAnsi" w:cstheme="majorHAnsi"/>
        </w:rPr>
        <w:t>,</w:t>
      </w:r>
      <w:r w:rsidR="0035490C" w:rsidRPr="00770846">
        <w:rPr>
          <w:rFonts w:asciiTheme="majorHAnsi" w:hAnsiTheme="majorHAnsi" w:cstheme="majorHAnsi"/>
        </w:rPr>
        <w:t xml:space="preserve"> </w:t>
      </w:r>
      <w:r w:rsidRPr="00770846">
        <w:rPr>
          <w:rFonts w:asciiTheme="majorHAnsi" w:hAnsiTheme="majorHAnsi" w:cstheme="majorHAnsi"/>
        </w:rPr>
        <w:t xml:space="preserve">and </w:t>
      </w:r>
      <w:r w:rsidR="0035490C" w:rsidRPr="00770846">
        <w:rPr>
          <w:rFonts w:asciiTheme="majorHAnsi" w:hAnsiTheme="majorHAnsi" w:cstheme="majorHAnsi"/>
        </w:rPr>
        <w:t xml:space="preserve">the PET was flipped </w:t>
      </w:r>
      <w:r w:rsidR="00B66251" w:rsidRPr="00770846">
        <w:rPr>
          <w:rFonts w:asciiTheme="majorHAnsi" w:hAnsiTheme="majorHAnsi" w:cstheme="majorHAnsi"/>
        </w:rPr>
        <w:t>around the Y-axis.</w:t>
      </w:r>
    </w:p>
    <w:p w14:paraId="728599DA" w14:textId="77777777" w:rsidR="003356EE" w:rsidRPr="00770846" w:rsidRDefault="003356EE" w:rsidP="00770846">
      <w:pPr>
        <w:rPr>
          <w:rFonts w:asciiTheme="majorHAnsi" w:hAnsiTheme="majorHAnsi" w:cstheme="majorHAnsi"/>
          <w:highlight w:val="yellow"/>
        </w:rPr>
      </w:pPr>
    </w:p>
    <w:p w14:paraId="529D3506" w14:textId="5AB9B111" w:rsidR="00FE0FBE" w:rsidRPr="00770846" w:rsidRDefault="007B1518" w:rsidP="00770846">
      <w:pPr>
        <w:pStyle w:val="ListParagraph"/>
        <w:numPr>
          <w:ilvl w:val="1"/>
          <w:numId w:val="13"/>
        </w:numPr>
        <w:ind w:left="0" w:firstLine="0"/>
        <w:rPr>
          <w:rFonts w:asciiTheme="majorHAnsi" w:hAnsiTheme="majorHAnsi" w:cstheme="majorHAnsi"/>
          <w:highlight w:val="yellow"/>
        </w:rPr>
      </w:pPr>
      <w:r w:rsidRPr="00770846">
        <w:rPr>
          <w:rFonts w:asciiTheme="majorHAnsi" w:hAnsiTheme="majorHAnsi" w:cstheme="majorHAnsi"/>
          <w:highlight w:val="yellow"/>
        </w:rPr>
        <w:t xml:space="preserve">Crop the </w:t>
      </w:r>
      <w:r w:rsidR="00360688" w:rsidRPr="00770846">
        <w:rPr>
          <w:rFonts w:asciiTheme="majorHAnsi" w:hAnsiTheme="majorHAnsi" w:cstheme="majorHAnsi"/>
          <w:highlight w:val="yellow"/>
        </w:rPr>
        <w:t xml:space="preserve">PET image </w:t>
      </w:r>
      <w:r w:rsidRPr="00770846">
        <w:rPr>
          <w:rFonts w:asciiTheme="majorHAnsi" w:hAnsiTheme="majorHAnsi" w:cstheme="majorHAnsi"/>
          <w:highlight w:val="yellow"/>
        </w:rPr>
        <w:t xml:space="preserve">to </w:t>
      </w:r>
      <w:r w:rsidR="0044746B" w:rsidRPr="00770846">
        <w:rPr>
          <w:rFonts w:asciiTheme="majorHAnsi" w:hAnsiTheme="majorHAnsi" w:cstheme="majorHAnsi"/>
          <w:highlight w:val="yellow"/>
        </w:rPr>
        <w:t>simplify automatic</w:t>
      </w:r>
      <w:r w:rsidR="00360688" w:rsidRPr="00770846">
        <w:rPr>
          <w:rFonts w:asciiTheme="majorHAnsi" w:hAnsiTheme="majorHAnsi" w:cstheme="majorHAnsi"/>
          <w:highlight w:val="yellow"/>
        </w:rPr>
        <w:t xml:space="preserve"> co</w:t>
      </w:r>
      <w:r w:rsidR="00C33D18" w:rsidRPr="00770846">
        <w:rPr>
          <w:rFonts w:asciiTheme="majorHAnsi" w:hAnsiTheme="majorHAnsi" w:cstheme="majorHAnsi"/>
          <w:highlight w:val="yellow"/>
        </w:rPr>
        <w:t>-</w:t>
      </w:r>
      <w:r w:rsidR="00360688" w:rsidRPr="00770846">
        <w:rPr>
          <w:rFonts w:asciiTheme="majorHAnsi" w:hAnsiTheme="majorHAnsi" w:cstheme="majorHAnsi"/>
          <w:highlight w:val="yellow"/>
        </w:rPr>
        <w:t>registration</w:t>
      </w:r>
      <w:r w:rsidR="00F408A6" w:rsidRPr="00770846">
        <w:rPr>
          <w:rFonts w:asciiTheme="majorHAnsi" w:hAnsiTheme="majorHAnsi" w:cstheme="majorHAnsi"/>
          <w:highlight w:val="yellow"/>
        </w:rPr>
        <w:t xml:space="preserve">. </w:t>
      </w:r>
    </w:p>
    <w:p w14:paraId="74745E35" w14:textId="77777777" w:rsidR="00FE0FBE" w:rsidRPr="00770846" w:rsidRDefault="00FE0FBE" w:rsidP="00770846">
      <w:pPr>
        <w:pStyle w:val="ListParagraph"/>
        <w:ind w:left="0"/>
        <w:rPr>
          <w:rFonts w:asciiTheme="majorHAnsi" w:hAnsiTheme="majorHAnsi" w:cstheme="majorHAnsi"/>
          <w:highlight w:val="yellow"/>
        </w:rPr>
      </w:pPr>
    </w:p>
    <w:p w14:paraId="7E6AC297" w14:textId="5AE519C3" w:rsidR="00AF0E50" w:rsidRPr="00770846" w:rsidRDefault="00FE0FBE" w:rsidP="00770846">
      <w:pPr>
        <w:pStyle w:val="ListParagraph"/>
        <w:ind w:left="0"/>
        <w:rPr>
          <w:rFonts w:asciiTheme="majorHAnsi" w:hAnsiTheme="majorHAnsi" w:cstheme="majorHAnsi"/>
        </w:rPr>
      </w:pPr>
      <w:r w:rsidRPr="00770846">
        <w:rPr>
          <w:rFonts w:asciiTheme="majorHAnsi" w:hAnsiTheme="majorHAnsi" w:cstheme="majorHAnsi"/>
        </w:rPr>
        <w:t xml:space="preserve">NOTE: </w:t>
      </w:r>
      <w:r w:rsidR="00B66251" w:rsidRPr="00770846">
        <w:rPr>
          <w:rFonts w:asciiTheme="majorHAnsi" w:hAnsiTheme="majorHAnsi" w:cstheme="majorHAnsi"/>
        </w:rPr>
        <w:t xml:space="preserve">For </w:t>
      </w:r>
      <w:r w:rsidRPr="00770846">
        <w:rPr>
          <w:rFonts w:asciiTheme="majorHAnsi" w:hAnsiTheme="majorHAnsi" w:cstheme="majorHAnsi"/>
        </w:rPr>
        <w:t>this</w:t>
      </w:r>
      <w:r w:rsidR="00B66251" w:rsidRPr="00770846">
        <w:rPr>
          <w:rFonts w:asciiTheme="majorHAnsi" w:hAnsiTheme="majorHAnsi" w:cstheme="majorHAnsi"/>
        </w:rPr>
        <w:t xml:space="preserve"> setup, </w:t>
      </w:r>
      <w:r w:rsidR="00EA078B" w:rsidRPr="00770846">
        <w:rPr>
          <w:rFonts w:asciiTheme="majorHAnsi" w:hAnsiTheme="majorHAnsi" w:cstheme="majorHAnsi"/>
        </w:rPr>
        <w:t xml:space="preserve">40 pixels were </w:t>
      </w:r>
      <w:r w:rsidR="008C6A7C" w:rsidRPr="00770846">
        <w:rPr>
          <w:rFonts w:asciiTheme="majorHAnsi" w:hAnsiTheme="majorHAnsi" w:cstheme="majorHAnsi"/>
        </w:rPr>
        <w:t>set to zero</w:t>
      </w:r>
      <w:r w:rsidR="00EA078B" w:rsidRPr="00770846">
        <w:rPr>
          <w:rFonts w:asciiTheme="majorHAnsi" w:hAnsiTheme="majorHAnsi" w:cstheme="majorHAnsi"/>
        </w:rPr>
        <w:t xml:space="preserve"> from both</w:t>
      </w:r>
      <w:r w:rsidR="000A3392" w:rsidRPr="00770846">
        <w:rPr>
          <w:rFonts w:asciiTheme="majorHAnsi" w:hAnsiTheme="majorHAnsi" w:cstheme="majorHAnsi"/>
        </w:rPr>
        <w:t xml:space="preserve"> sides of the X-axis (left and right of the animal); </w:t>
      </w:r>
      <w:r w:rsidR="00B25A9D" w:rsidRPr="00770846">
        <w:rPr>
          <w:rFonts w:asciiTheme="majorHAnsi" w:hAnsiTheme="majorHAnsi" w:cstheme="majorHAnsi"/>
        </w:rPr>
        <w:t>on the dorsal and ventral side of the animal (Y-axis)</w:t>
      </w:r>
      <w:r w:rsidR="00D81739" w:rsidRPr="00770846">
        <w:rPr>
          <w:rFonts w:asciiTheme="majorHAnsi" w:hAnsiTheme="majorHAnsi" w:cstheme="majorHAnsi"/>
        </w:rPr>
        <w:t>,</w:t>
      </w:r>
      <w:r w:rsidR="005A4BB8" w:rsidRPr="00770846">
        <w:rPr>
          <w:rFonts w:asciiTheme="majorHAnsi" w:hAnsiTheme="majorHAnsi" w:cstheme="majorHAnsi"/>
        </w:rPr>
        <w:t xml:space="preserve"> 60 and 40 pixels </w:t>
      </w:r>
      <w:r w:rsidR="00D66E7F" w:rsidRPr="00770846">
        <w:rPr>
          <w:rFonts w:asciiTheme="majorHAnsi" w:hAnsiTheme="majorHAnsi" w:cstheme="majorHAnsi"/>
        </w:rPr>
        <w:t>were set to zero</w:t>
      </w:r>
      <w:r w:rsidR="005A4BB8" w:rsidRPr="00770846">
        <w:rPr>
          <w:rFonts w:asciiTheme="majorHAnsi" w:hAnsiTheme="majorHAnsi" w:cstheme="majorHAnsi"/>
        </w:rPr>
        <w:t>, respectively;</w:t>
      </w:r>
      <w:r w:rsidR="00E229C1" w:rsidRPr="00770846">
        <w:rPr>
          <w:rFonts w:asciiTheme="majorHAnsi" w:hAnsiTheme="majorHAnsi" w:cstheme="majorHAnsi"/>
        </w:rPr>
        <w:t xml:space="preserve"> </w:t>
      </w:r>
      <w:r w:rsidR="00AE56AE" w:rsidRPr="00770846">
        <w:rPr>
          <w:rFonts w:asciiTheme="majorHAnsi" w:hAnsiTheme="majorHAnsi" w:cstheme="majorHAnsi"/>
        </w:rPr>
        <w:t>along</w:t>
      </w:r>
      <w:r w:rsidR="00A1395C" w:rsidRPr="00770846">
        <w:rPr>
          <w:rFonts w:asciiTheme="majorHAnsi" w:hAnsiTheme="majorHAnsi" w:cstheme="majorHAnsi"/>
        </w:rPr>
        <w:t xml:space="preserve"> the longitudinal axis (or Z-axis)</w:t>
      </w:r>
      <w:r w:rsidR="00D81739" w:rsidRPr="00770846">
        <w:rPr>
          <w:rFonts w:asciiTheme="majorHAnsi" w:hAnsiTheme="majorHAnsi" w:cstheme="majorHAnsi"/>
        </w:rPr>
        <w:t>,</w:t>
      </w:r>
      <w:r w:rsidR="00AE56AE" w:rsidRPr="00770846">
        <w:rPr>
          <w:rFonts w:asciiTheme="majorHAnsi" w:hAnsiTheme="majorHAnsi" w:cstheme="majorHAnsi"/>
        </w:rPr>
        <w:t xml:space="preserve"> 170 and 30 pixels are</w:t>
      </w:r>
      <w:r w:rsidR="008C6A7C" w:rsidRPr="00770846">
        <w:rPr>
          <w:rFonts w:asciiTheme="majorHAnsi" w:hAnsiTheme="majorHAnsi" w:cstheme="majorHAnsi"/>
        </w:rPr>
        <w:t xml:space="preserve"> set to zero for inferior and superior side, respectively.</w:t>
      </w:r>
      <w:r w:rsidR="00A1395C" w:rsidRPr="00770846">
        <w:rPr>
          <w:rFonts w:asciiTheme="majorHAnsi" w:hAnsiTheme="majorHAnsi" w:cstheme="majorHAnsi"/>
        </w:rPr>
        <w:t xml:space="preserve"> </w:t>
      </w:r>
    </w:p>
    <w:p w14:paraId="374FC319" w14:textId="77777777" w:rsidR="003356EE" w:rsidRPr="00770846" w:rsidRDefault="003356EE" w:rsidP="00770846">
      <w:pPr>
        <w:rPr>
          <w:rFonts w:asciiTheme="majorHAnsi" w:hAnsiTheme="majorHAnsi" w:cstheme="majorHAnsi"/>
          <w:highlight w:val="yellow"/>
        </w:rPr>
      </w:pPr>
    </w:p>
    <w:p w14:paraId="08E90327" w14:textId="62373B73" w:rsidR="005D4E6D" w:rsidRPr="00770846" w:rsidRDefault="007B1518" w:rsidP="00770846">
      <w:pPr>
        <w:pStyle w:val="ListParagraph"/>
        <w:numPr>
          <w:ilvl w:val="1"/>
          <w:numId w:val="13"/>
        </w:numPr>
        <w:ind w:left="0" w:firstLine="0"/>
        <w:rPr>
          <w:rFonts w:asciiTheme="majorHAnsi" w:hAnsiTheme="majorHAnsi" w:cstheme="majorHAnsi"/>
          <w:highlight w:val="yellow"/>
        </w:rPr>
      </w:pPr>
      <w:r w:rsidRPr="00770846">
        <w:rPr>
          <w:rFonts w:asciiTheme="majorHAnsi" w:hAnsiTheme="majorHAnsi" w:cstheme="majorHAnsi"/>
          <w:highlight w:val="yellow"/>
        </w:rPr>
        <w:t xml:space="preserve">Move the </w:t>
      </w:r>
      <w:r w:rsidR="0045707C" w:rsidRPr="00770846">
        <w:rPr>
          <w:rFonts w:asciiTheme="majorHAnsi" w:hAnsiTheme="majorHAnsi" w:cstheme="majorHAnsi"/>
          <w:highlight w:val="yellow"/>
        </w:rPr>
        <w:t>image cent</w:t>
      </w:r>
      <w:r w:rsidR="00A75351" w:rsidRPr="00770846">
        <w:rPr>
          <w:rFonts w:asciiTheme="majorHAnsi" w:hAnsiTheme="majorHAnsi" w:cstheme="majorHAnsi"/>
          <w:highlight w:val="yellow"/>
        </w:rPr>
        <w:t>ers</w:t>
      </w:r>
      <w:r w:rsidR="0045707C" w:rsidRPr="00770846">
        <w:rPr>
          <w:rFonts w:asciiTheme="majorHAnsi" w:hAnsiTheme="majorHAnsi" w:cstheme="majorHAnsi"/>
          <w:highlight w:val="yellow"/>
        </w:rPr>
        <w:t xml:space="preserve"> close to each other </w:t>
      </w:r>
      <w:r w:rsidR="00143415" w:rsidRPr="00770846">
        <w:rPr>
          <w:rFonts w:asciiTheme="majorHAnsi" w:hAnsiTheme="majorHAnsi" w:cstheme="majorHAnsi"/>
          <w:highlight w:val="yellow"/>
        </w:rPr>
        <w:t>to simpl</w:t>
      </w:r>
      <w:r w:rsidR="00BB1A72" w:rsidRPr="00770846">
        <w:rPr>
          <w:rFonts w:asciiTheme="majorHAnsi" w:hAnsiTheme="majorHAnsi" w:cstheme="majorHAnsi"/>
          <w:highlight w:val="yellow"/>
        </w:rPr>
        <w:t>ify automatic co</w:t>
      </w:r>
      <w:r w:rsidR="00C33D18" w:rsidRPr="00770846">
        <w:rPr>
          <w:rFonts w:asciiTheme="majorHAnsi" w:hAnsiTheme="majorHAnsi" w:cstheme="majorHAnsi"/>
          <w:highlight w:val="yellow"/>
        </w:rPr>
        <w:t>-</w:t>
      </w:r>
      <w:r w:rsidR="00BB1A72" w:rsidRPr="00770846">
        <w:rPr>
          <w:rFonts w:asciiTheme="majorHAnsi" w:hAnsiTheme="majorHAnsi" w:cstheme="majorHAnsi"/>
          <w:highlight w:val="yellow"/>
        </w:rPr>
        <w:t>registration</w:t>
      </w:r>
      <w:r w:rsidR="00AB704E" w:rsidRPr="00770846">
        <w:rPr>
          <w:rFonts w:asciiTheme="majorHAnsi" w:hAnsiTheme="majorHAnsi" w:cstheme="majorHAnsi"/>
          <w:highlight w:val="yellow"/>
        </w:rPr>
        <w:t>.</w:t>
      </w:r>
    </w:p>
    <w:p w14:paraId="6F5020EC" w14:textId="77777777" w:rsidR="003356EE" w:rsidRPr="00770846" w:rsidRDefault="003356EE" w:rsidP="00770846">
      <w:pPr>
        <w:rPr>
          <w:rFonts w:asciiTheme="majorHAnsi" w:hAnsiTheme="majorHAnsi" w:cstheme="majorHAnsi"/>
          <w:highlight w:val="yellow"/>
        </w:rPr>
      </w:pPr>
    </w:p>
    <w:p w14:paraId="513768B3" w14:textId="1549E827" w:rsidR="00E529CD" w:rsidRPr="00770846" w:rsidRDefault="0047231F" w:rsidP="00770846">
      <w:pPr>
        <w:pStyle w:val="ListParagraph"/>
        <w:numPr>
          <w:ilvl w:val="1"/>
          <w:numId w:val="13"/>
        </w:numPr>
        <w:ind w:left="0" w:firstLine="0"/>
        <w:rPr>
          <w:rFonts w:asciiTheme="majorHAnsi" w:hAnsiTheme="majorHAnsi" w:cstheme="majorHAnsi"/>
          <w:highlight w:val="yellow"/>
        </w:rPr>
      </w:pPr>
      <w:r w:rsidRPr="00770846">
        <w:rPr>
          <w:rFonts w:asciiTheme="majorHAnsi" w:hAnsiTheme="majorHAnsi" w:cstheme="majorHAnsi"/>
          <w:highlight w:val="yellow"/>
        </w:rPr>
        <w:t>Perform the actual</w:t>
      </w:r>
      <w:r w:rsidR="00613F69" w:rsidRPr="00770846">
        <w:rPr>
          <w:rFonts w:asciiTheme="majorHAnsi" w:hAnsiTheme="majorHAnsi" w:cstheme="majorHAnsi"/>
          <w:highlight w:val="yellow"/>
        </w:rPr>
        <w:t xml:space="preserve"> </w:t>
      </w:r>
      <w:r w:rsidR="0011270E" w:rsidRPr="00770846">
        <w:rPr>
          <w:rFonts w:asciiTheme="majorHAnsi" w:hAnsiTheme="majorHAnsi" w:cstheme="majorHAnsi"/>
          <w:highlight w:val="yellow"/>
        </w:rPr>
        <w:t xml:space="preserve">rigid-body </w:t>
      </w:r>
      <w:r w:rsidR="00613F69" w:rsidRPr="00770846">
        <w:rPr>
          <w:rFonts w:asciiTheme="majorHAnsi" w:hAnsiTheme="majorHAnsi" w:cstheme="majorHAnsi"/>
          <w:highlight w:val="yellow"/>
        </w:rPr>
        <w:t>co</w:t>
      </w:r>
      <w:r w:rsidR="00C33D18" w:rsidRPr="00770846">
        <w:rPr>
          <w:rFonts w:asciiTheme="majorHAnsi" w:hAnsiTheme="majorHAnsi" w:cstheme="majorHAnsi"/>
          <w:highlight w:val="yellow"/>
        </w:rPr>
        <w:t>-</w:t>
      </w:r>
      <w:r w:rsidR="00613F69" w:rsidRPr="00770846">
        <w:rPr>
          <w:rFonts w:asciiTheme="majorHAnsi" w:hAnsiTheme="majorHAnsi" w:cstheme="majorHAnsi"/>
          <w:highlight w:val="yellow"/>
        </w:rPr>
        <w:t>registration</w:t>
      </w:r>
      <w:r w:rsidRPr="00770846">
        <w:rPr>
          <w:rFonts w:asciiTheme="majorHAnsi" w:hAnsiTheme="majorHAnsi" w:cstheme="majorHAnsi"/>
          <w:highlight w:val="yellow"/>
        </w:rPr>
        <w:t xml:space="preserve"> </w:t>
      </w:r>
      <w:r w:rsidR="00BB1A72" w:rsidRPr="00770846">
        <w:rPr>
          <w:rFonts w:asciiTheme="majorHAnsi" w:hAnsiTheme="majorHAnsi" w:cstheme="majorHAnsi"/>
          <w:highlight w:val="yellow"/>
        </w:rPr>
        <w:t xml:space="preserve">using Statistical Parametric Mapping (SPM) in </w:t>
      </w:r>
      <w:r w:rsidR="00993D23" w:rsidRPr="00770846">
        <w:rPr>
          <w:rFonts w:asciiTheme="majorHAnsi" w:hAnsiTheme="majorHAnsi" w:cstheme="majorHAnsi"/>
          <w:highlight w:val="yellow"/>
        </w:rPr>
        <w:t>MATLAB</w:t>
      </w:r>
      <w:r w:rsidR="009B28A5" w:rsidRPr="00770846">
        <w:rPr>
          <w:rFonts w:asciiTheme="majorHAnsi" w:hAnsiTheme="majorHAnsi" w:cstheme="majorHAnsi"/>
          <w:highlight w:val="yellow"/>
        </w:rPr>
        <w:fldChar w:fldCharType="begin" w:fldLock="1"/>
      </w:r>
      <w:r w:rsidR="00E576E6" w:rsidRPr="00770846">
        <w:rPr>
          <w:rFonts w:asciiTheme="majorHAnsi" w:hAnsiTheme="majorHAnsi" w:cstheme="majorHAnsi"/>
          <w:highlight w:val="yellow"/>
        </w:rPr>
        <w:instrText>ADDIN CSL_CITATION {"citationItems":[{"id":"ITEM-1","itemData":{"author":[{"dropping-particle":"","family":"Ashburner","given":"John","non-dropping-particle":"","parse-names":false,"suffix":""},{"dropping-particle":"","family":"Barnes","given":"Gareth","non-dropping-particle":"","parse-names":false,"suffix":""},{"dropping-particle":"","family":"Chen","given":"Chun-chuan","non-dropping-particle":"","parse-names":false,"suffix":""},{"dropping-particle":"","family":"Daunizeau","given":"Jean","non-dropping-particle":"","parse-names":false,"suffix":""},{"dropping-particle":"","family":"Flandin","given":"Guillaume","non-dropping-particle":"","parse-names":false,"suffix":""},{"dropping-particle":"","family":"Friston","given":"Karl","non-dropping-particle":"","parse-names":false,"suffix":""},{"dropping-particle":"","family":"Kiebel","given":"Stefan","non-dropping-particle":"","parse-names":false,"suffix":""},{"dropping-particle":"","family":"Kilner","given":"James","non-dropping-particle":"","parse-names":false,"suffix":""},{"dropping-particle":"","family":"Litvak","given":"Vladimir","non-dropping-particle":"","parse-names":false,"suffix":""},{"dropping-particle":"","family":"Moran","given":"Rosalyn","non-dropping-particle":"","parse-names":false,"suffix":""},{"dropping-particle":"","family":"Penny","given":"Will","non-dropping-particle":"","parse-names":false,"suffix":""},{"dropping-particle":"","family":"Razi","given":"Adeel","non-dropping-particle":"","parse-names":false,"suffix":""},{"dropping-particle":"","family":"Stephan","given":"Klaas","non-dropping-particle":"","parse-names":false,"suffix":""},{"dropping-particle":"","family":"Tak","given":"Sungho","non-dropping-particle":"","parse-names":false,"suffix":""},{"dropping-particle":"","family":"Zeidman","given":"Peter","non-dropping-particle":"","parse-names":false,"suffix":""},{"dropping-particle":"","family":"Gitelman","given":"Darren","non-dropping-particle":"","parse-names":false,"suffix":""},{"dropping-particle":"","family":"Henson","given":"Rik","non-dropping-particle":"","parse-names":false,"suffix":""},{"dropping-particle":"","family":"Hutton","given":"Chloe","non-dropping-particle":"","parse-names":false,"suffix":""},{"dropping-particle":"","family":"Glauche","given":"Volkmar","non-dropping-particle":"","parse-names":false,"suffix":""},{"dropping-particle":"","family":"Mattout","given":"Jérémie","non-dropping-particle":"","parse-names":false,"suffix":""},{"dropping-particle":"","family":"Philips","given":"Christophe","non-dropping-particle":"","parse-names":false,"suffix":""}],"id":"ITEM-1","issued":{"date-parts":[["2014"]]},"number-of-pages":"508","title":"SPM12 Manual","type":"book"},"uris":["http://www.mendeley.com/documents/?uuid=c6eb3daa-7b2b-4568-aec0-bc725d6bcc43","http://www.mendeley.com/documents/?uuid=f2ec50c7-e418-4ec4-89e0-9cfc16cd9ce3"]}],"mendeley":{"formattedCitation":"&lt;sup&gt;26&lt;/sup&gt;","plainTextFormattedCitation":"26","previouslyFormattedCitation":"&lt;sup&gt;25&lt;/sup&gt;"},"properties":{"noteIndex":0},"schema":"https://github.com/citation-style-language/schema/raw/master/csl-citation.json"}</w:instrText>
      </w:r>
      <w:r w:rsidR="009B28A5" w:rsidRPr="00770846">
        <w:rPr>
          <w:rFonts w:asciiTheme="majorHAnsi" w:hAnsiTheme="majorHAnsi" w:cstheme="majorHAnsi"/>
          <w:highlight w:val="yellow"/>
        </w:rPr>
        <w:fldChar w:fldCharType="separate"/>
      </w:r>
      <w:r w:rsidR="00E576E6" w:rsidRPr="00770846">
        <w:rPr>
          <w:rFonts w:asciiTheme="majorHAnsi" w:hAnsiTheme="majorHAnsi" w:cstheme="majorHAnsi"/>
          <w:noProof/>
          <w:highlight w:val="yellow"/>
          <w:vertAlign w:val="superscript"/>
        </w:rPr>
        <w:t>26</w:t>
      </w:r>
      <w:r w:rsidR="009B28A5" w:rsidRPr="00770846">
        <w:rPr>
          <w:rFonts w:asciiTheme="majorHAnsi" w:hAnsiTheme="majorHAnsi" w:cstheme="majorHAnsi"/>
          <w:highlight w:val="yellow"/>
        </w:rPr>
        <w:fldChar w:fldCharType="end"/>
      </w:r>
      <w:r w:rsidR="005C5485" w:rsidRPr="00770846">
        <w:rPr>
          <w:rFonts w:asciiTheme="majorHAnsi" w:hAnsiTheme="majorHAnsi" w:cstheme="majorHAnsi"/>
          <w:highlight w:val="yellow"/>
        </w:rPr>
        <w:t xml:space="preserve">. </w:t>
      </w:r>
      <w:r w:rsidR="00E27544" w:rsidRPr="00770846">
        <w:rPr>
          <w:rFonts w:asciiTheme="majorHAnsi" w:hAnsiTheme="majorHAnsi" w:cstheme="majorHAnsi"/>
          <w:highlight w:val="yellow"/>
        </w:rPr>
        <w:t>Use the following r</w:t>
      </w:r>
      <w:r w:rsidR="00DB20B2" w:rsidRPr="00770846">
        <w:rPr>
          <w:rFonts w:asciiTheme="majorHAnsi" w:hAnsiTheme="majorHAnsi" w:cstheme="majorHAnsi"/>
          <w:highlight w:val="yellow"/>
        </w:rPr>
        <w:t>egistration parameters</w:t>
      </w:r>
      <w:r w:rsidR="00B12A60" w:rsidRPr="00770846">
        <w:rPr>
          <w:rFonts w:asciiTheme="majorHAnsi" w:hAnsiTheme="majorHAnsi" w:cstheme="majorHAnsi"/>
          <w:highlight w:val="yellow"/>
        </w:rPr>
        <w:t xml:space="preserve"> (others on default)</w:t>
      </w:r>
      <w:r w:rsidR="00DB20B2" w:rsidRPr="00770846">
        <w:rPr>
          <w:rFonts w:asciiTheme="majorHAnsi" w:hAnsiTheme="majorHAnsi" w:cstheme="majorHAnsi"/>
          <w:highlight w:val="yellow"/>
        </w:rPr>
        <w:t>:</w:t>
      </w:r>
      <w:r w:rsidR="00E27544" w:rsidRPr="00770846">
        <w:rPr>
          <w:rFonts w:asciiTheme="majorHAnsi" w:hAnsiTheme="majorHAnsi" w:cstheme="majorHAnsi"/>
          <w:highlight w:val="yellow"/>
        </w:rPr>
        <w:t xml:space="preserve"> o</w:t>
      </w:r>
      <w:r w:rsidR="00E529CD" w:rsidRPr="00770846">
        <w:rPr>
          <w:rFonts w:asciiTheme="majorHAnsi" w:hAnsiTheme="majorHAnsi" w:cstheme="majorHAnsi"/>
          <w:highlight w:val="yellow"/>
        </w:rPr>
        <w:t>bjective function: mutual information</w:t>
      </w:r>
      <w:r w:rsidR="00E27544" w:rsidRPr="00770846">
        <w:rPr>
          <w:rFonts w:asciiTheme="majorHAnsi" w:hAnsiTheme="majorHAnsi" w:cstheme="majorHAnsi"/>
          <w:highlight w:val="yellow"/>
        </w:rPr>
        <w:t>; s</w:t>
      </w:r>
      <w:r w:rsidR="002007EA" w:rsidRPr="00770846">
        <w:rPr>
          <w:rFonts w:asciiTheme="majorHAnsi" w:hAnsiTheme="majorHAnsi" w:cstheme="majorHAnsi"/>
          <w:highlight w:val="yellow"/>
        </w:rPr>
        <w:t>eparation: [4 1 0.2]</w:t>
      </w:r>
      <w:r w:rsidR="00E27544" w:rsidRPr="00770846">
        <w:rPr>
          <w:rFonts w:asciiTheme="majorHAnsi" w:hAnsiTheme="majorHAnsi" w:cstheme="majorHAnsi"/>
          <w:highlight w:val="yellow"/>
        </w:rPr>
        <w:t>; t</w:t>
      </w:r>
      <w:r w:rsidR="002007EA" w:rsidRPr="00770846">
        <w:rPr>
          <w:rFonts w:asciiTheme="majorHAnsi" w:hAnsiTheme="majorHAnsi" w:cstheme="majorHAnsi"/>
          <w:highlight w:val="yellow"/>
        </w:rPr>
        <w:t xml:space="preserve">olerances: </w:t>
      </w:r>
      <w:r w:rsidR="00C22DF4" w:rsidRPr="00770846">
        <w:rPr>
          <w:rFonts w:asciiTheme="majorHAnsi" w:hAnsiTheme="majorHAnsi" w:cstheme="majorHAnsi"/>
          <w:highlight w:val="yellow"/>
        </w:rPr>
        <w:t>[0.02 0.02 0.02 0.001 0.001 0.001 0.01 0.01 0.01 0.001 0.001 0.001]</w:t>
      </w:r>
      <w:r w:rsidR="00D5313C" w:rsidRPr="00770846">
        <w:rPr>
          <w:rFonts w:asciiTheme="majorHAnsi" w:hAnsiTheme="majorHAnsi" w:cstheme="majorHAnsi"/>
          <w:highlight w:val="yellow"/>
        </w:rPr>
        <w:t>; h</w:t>
      </w:r>
      <w:r w:rsidR="00C22DF4" w:rsidRPr="00770846">
        <w:rPr>
          <w:rFonts w:asciiTheme="majorHAnsi" w:hAnsiTheme="majorHAnsi" w:cstheme="majorHAnsi"/>
          <w:highlight w:val="yellow"/>
        </w:rPr>
        <w:t>istogram smoothing: [1 1]</w:t>
      </w:r>
      <w:r w:rsidR="00D5313C" w:rsidRPr="00770846">
        <w:rPr>
          <w:rFonts w:asciiTheme="majorHAnsi" w:hAnsiTheme="majorHAnsi" w:cstheme="majorHAnsi"/>
          <w:highlight w:val="yellow"/>
        </w:rPr>
        <w:t>; i</w:t>
      </w:r>
      <w:r w:rsidR="0034420F" w:rsidRPr="00770846">
        <w:rPr>
          <w:rFonts w:asciiTheme="majorHAnsi" w:hAnsiTheme="majorHAnsi" w:cstheme="majorHAnsi"/>
          <w:highlight w:val="yellow"/>
        </w:rPr>
        <w:t>nterp</w:t>
      </w:r>
      <w:r w:rsidR="00C36A02" w:rsidRPr="00770846">
        <w:rPr>
          <w:rFonts w:asciiTheme="majorHAnsi" w:hAnsiTheme="majorHAnsi" w:cstheme="majorHAnsi"/>
          <w:highlight w:val="yellow"/>
        </w:rPr>
        <w:t xml:space="preserve">olation: </w:t>
      </w:r>
      <w:r w:rsidR="0060515C" w:rsidRPr="00770846">
        <w:rPr>
          <w:rFonts w:asciiTheme="majorHAnsi" w:hAnsiTheme="majorHAnsi" w:cstheme="majorHAnsi"/>
          <w:highlight w:val="yellow"/>
        </w:rPr>
        <w:t>trilinear</w:t>
      </w:r>
      <w:r w:rsidR="004B45C3" w:rsidRPr="00770846">
        <w:rPr>
          <w:rFonts w:asciiTheme="majorHAnsi" w:hAnsiTheme="majorHAnsi" w:cstheme="majorHAnsi"/>
          <w:highlight w:val="yellow"/>
        </w:rPr>
        <w:t>.</w:t>
      </w:r>
    </w:p>
    <w:p w14:paraId="6ECD7599" w14:textId="77777777" w:rsidR="005C5485" w:rsidRPr="00770846" w:rsidRDefault="005C5485" w:rsidP="00770846">
      <w:pPr>
        <w:rPr>
          <w:rFonts w:asciiTheme="majorHAnsi" w:hAnsiTheme="majorHAnsi" w:cstheme="majorHAnsi"/>
          <w:highlight w:val="yellow"/>
        </w:rPr>
      </w:pPr>
    </w:p>
    <w:p w14:paraId="67890B81" w14:textId="399E899E" w:rsidR="00432AF8" w:rsidRPr="00770846" w:rsidRDefault="00A55926" w:rsidP="00770846">
      <w:pPr>
        <w:pStyle w:val="ListParagraph"/>
        <w:numPr>
          <w:ilvl w:val="0"/>
          <w:numId w:val="13"/>
        </w:numPr>
        <w:ind w:left="0" w:firstLine="0"/>
        <w:rPr>
          <w:rFonts w:asciiTheme="majorHAnsi" w:hAnsiTheme="majorHAnsi" w:cstheme="majorHAnsi"/>
          <w:b/>
          <w:bCs/>
          <w:highlight w:val="yellow"/>
        </w:rPr>
      </w:pPr>
      <w:r w:rsidRPr="00770846">
        <w:rPr>
          <w:rFonts w:asciiTheme="majorHAnsi" w:hAnsiTheme="majorHAnsi" w:cstheme="majorHAnsi"/>
          <w:b/>
          <w:bCs/>
          <w:highlight w:val="yellow"/>
        </w:rPr>
        <w:t>R</w:t>
      </w:r>
      <w:r w:rsidR="00322A0D" w:rsidRPr="00770846">
        <w:rPr>
          <w:rFonts w:asciiTheme="majorHAnsi" w:hAnsiTheme="majorHAnsi" w:cstheme="majorHAnsi"/>
          <w:b/>
          <w:bCs/>
          <w:highlight w:val="yellow"/>
        </w:rPr>
        <w:t>adiation</w:t>
      </w:r>
      <w:r w:rsidRPr="00770846">
        <w:rPr>
          <w:rFonts w:asciiTheme="majorHAnsi" w:hAnsiTheme="majorHAnsi" w:cstheme="majorHAnsi"/>
          <w:b/>
          <w:bCs/>
          <w:highlight w:val="yellow"/>
        </w:rPr>
        <w:t xml:space="preserve"> treatment planning </w:t>
      </w:r>
    </w:p>
    <w:p w14:paraId="2CE17BA5" w14:textId="77777777" w:rsidR="00C93CDF" w:rsidRPr="00770846" w:rsidRDefault="00C93CDF" w:rsidP="00770846">
      <w:pPr>
        <w:rPr>
          <w:rFonts w:asciiTheme="majorHAnsi" w:hAnsiTheme="majorHAnsi" w:cstheme="majorHAnsi"/>
          <w:highlight w:val="yellow"/>
        </w:rPr>
      </w:pPr>
    </w:p>
    <w:p w14:paraId="2C93A9D6" w14:textId="13F24EAA" w:rsidR="006A2482" w:rsidRPr="00770846" w:rsidRDefault="00014513" w:rsidP="00770846">
      <w:pPr>
        <w:rPr>
          <w:rFonts w:asciiTheme="majorHAnsi" w:hAnsiTheme="majorHAnsi" w:cstheme="majorHAnsi"/>
        </w:rPr>
      </w:pPr>
      <w:r w:rsidRPr="00770846">
        <w:rPr>
          <w:rFonts w:asciiTheme="majorHAnsi" w:hAnsiTheme="majorHAnsi" w:cstheme="majorHAnsi"/>
        </w:rPr>
        <w:t xml:space="preserve">NOTE: </w:t>
      </w:r>
      <w:r w:rsidR="005652D3" w:rsidRPr="00770846">
        <w:rPr>
          <w:rFonts w:asciiTheme="majorHAnsi" w:hAnsiTheme="majorHAnsi" w:cstheme="majorHAnsi"/>
        </w:rPr>
        <w:t>A</w:t>
      </w:r>
      <w:r w:rsidR="00322A0D" w:rsidRPr="00770846">
        <w:rPr>
          <w:rFonts w:asciiTheme="majorHAnsi" w:hAnsiTheme="majorHAnsi" w:cstheme="majorHAnsi"/>
        </w:rPr>
        <w:t xml:space="preserve"> MATLAB app and multiple MATLAB </w:t>
      </w:r>
      <w:r w:rsidR="00D66B82" w:rsidRPr="00770846">
        <w:rPr>
          <w:rFonts w:asciiTheme="majorHAnsi" w:hAnsiTheme="majorHAnsi" w:cstheme="majorHAnsi"/>
        </w:rPr>
        <w:t>scripts</w:t>
      </w:r>
      <w:r w:rsidR="00322A0D" w:rsidRPr="00770846">
        <w:rPr>
          <w:rFonts w:asciiTheme="majorHAnsi" w:hAnsiTheme="majorHAnsi" w:cstheme="majorHAnsi"/>
        </w:rPr>
        <w:t xml:space="preserve"> </w:t>
      </w:r>
      <w:r w:rsidR="00D66B82" w:rsidRPr="00770846">
        <w:rPr>
          <w:rFonts w:asciiTheme="majorHAnsi" w:hAnsiTheme="majorHAnsi" w:cstheme="majorHAnsi"/>
        </w:rPr>
        <w:t>were</w:t>
      </w:r>
      <w:r w:rsidR="00322A0D" w:rsidRPr="00770846">
        <w:rPr>
          <w:rFonts w:asciiTheme="majorHAnsi" w:hAnsiTheme="majorHAnsi" w:cstheme="majorHAnsi"/>
        </w:rPr>
        <w:t xml:space="preserve"> written</w:t>
      </w:r>
      <w:r w:rsidR="005652D3" w:rsidRPr="00770846">
        <w:rPr>
          <w:rFonts w:asciiTheme="majorHAnsi" w:hAnsiTheme="majorHAnsi" w:cstheme="majorHAnsi"/>
        </w:rPr>
        <w:t xml:space="preserve"> for the radiation treatment planning</w:t>
      </w:r>
      <w:r w:rsidR="002776C8" w:rsidRPr="00770846">
        <w:rPr>
          <w:rFonts w:asciiTheme="majorHAnsi" w:hAnsiTheme="majorHAnsi" w:cstheme="majorHAnsi"/>
        </w:rPr>
        <w:t xml:space="preserve">. </w:t>
      </w:r>
      <w:r w:rsidR="004C3C2B" w:rsidRPr="00770846">
        <w:rPr>
          <w:rFonts w:asciiTheme="majorHAnsi" w:hAnsiTheme="majorHAnsi" w:cstheme="majorHAnsi"/>
        </w:rPr>
        <w:t xml:space="preserve">The code can be found on </w:t>
      </w:r>
      <w:proofErr w:type="spellStart"/>
      <w:r w:rsidR="004C3C2B" w:rsidRPr="00770846">
        <w:rPr>
          <w:rFonts w:asciiTheme="majorHAnsi" w:hAnsiTheme="majorHAnsi" w:cstheme="majorHAnsi"/>
        </w:rPr>
        <w:t>Github</w:t>
      </w:r>
      <w:proofErr w:type="spellEnd"/>
      <w:r w:rsidR="004C3C2B" w:rsidRPr="00770846">
        <w:rPr>
          <w:rFonts w:asciiTheme="majorHAnsi" w:hAnsiTheme="majorHAnsi" w:cstheme="majorHAnsi"/>
        </w:rPr>
        <w:t xml:space="preserve"> at </w:t>
      </w:r>
      <w:r w:rsidR="00D604B8" w:rsidRPr="00770846">
        <w:rPr>
          <w:rFonts w:asciiTheme="majorHAnsi" w:hAnsiTheme="majorHAnsi" w:cstheme="majorHAnsi"/>
        </w:rPr>
        <w:t>https://github.com/sdonche/DosePainting.</w:t>
      </w:r>
      <w:r w:rsidR="004C3C2B" w:rsidRPr="00770846">
        <w:rPr>
          <w:rFonts w:asciiTheme="majorHAnsi" w:hAnsiTheme="majorHAnsi" w:cstheme="majorHAnsi"/>
        </w:rPr>
        <w:t xml:space="preserve"> The different steps are explained below</w:t>
      </w:r>
      <w:r w:rsidR="002776C8" w:rsidRPr="00770846">
        <w:rPr>
          <w:rFonts w:asciiTheme="majorHAnsi" w:hAnsiTheme="majorHAnsi" w:cstheme="majorHAnsi"/>
        </w:rPr>
        <w:t xml:space="preserve">. </w:t>
      </w:r>
    </w:p>
    <w:p w14:paraId="53F3F922" w14:textId="77777777" w:rsidR="002776C8" w:rsidRPr="00770846" w:rsidRDefault="002776C8" w:rsidP="00770846">
      <w:pPr>
        <w:pStyle w:val="ListParagraph"/>
        <w:ind w:left="0"/>
        <w:rPr>
          <w:rFonts w:asciiTheme="majorHAnsi" w:hAnsiTheme="majorHAnsi" w:cstheme="majorHAnsi"/>
          <w:highlight w:val="yellow"/>
        </w:rPr>
      </w:pPr>
    </w:p>
    <w:p w14:paraId="1864D3EC" w14:textId="5D48B872" w:rsidR="006539E8" w:rsidRPr="00770846" w:rsidRDefault="006539E8" w:rsidP="00770846">
      <w:pPr>
        <w:pStyle w:val="ListParagraph"/>
        <w:numPr>
          <w:ilvl w:val="1"/>
          <w:numId w:val="13"/>
        </w:numPr>
        <w:ind w:left="0" w:firstLine="0"/>
        <w:rPr>
          <w:rFonts w:asciiTheme="majorHAnsi" w:hAnsiTheme="majorHAnsi" w:cstheme="majorHAnsi"/>
          <w:highlight w:val="yellow"/>
        </w:rPr>
      </w:pPr>
      <w:r w:rsidRPr="00770846">
        <w:rPr>
          <w:rFonts w:asciiTheme="majorHAnsi" w:hAnsiTheme="majorHAnsi" w:cstheme="majorHAnsi"/>
          <w:highlight w:val="yellow"/>
        </w:rPr>
        <w:t xml:space="preserve">Method </w:t>
      </w:r>
      <w:r w:rsidR="00FA6759" w:rsidRPr="00770846">
        <w:rPr>
          <w:rFonts w:asciiTheme="majorHAnsi" w:hAnsiTheme="majorHAnsi" w:cstheme="majorHAnsi"/>
          <w:highlight w:val="yellow"/>
        </w:rPr>
        <w:t>1</w:t>
      </w:r>
    </w:p>
    <w:p w14:paraId="7A22E909" w14:textId="77777777" w:rsidR="003356EE" w:rsidRPr="00770846" w:rsidRDefault="003356EE" w:rsidP="00770846">
      <w:pPr>
        <w:rPr>
          <w:rFonts w:asciiTheme="majorHAnsi" w:hAnsiTheme="majorHAnsi" w:cstheme="majorHAnsi"/>
          <w:b/>
          <w:bCs/>
          <w:highlight w:val="yellow"/>
        </w:rPr>
      </w:pPr>
    </w:p>
    <w:p w14:paraId="6ABEC317" w14:textId="559CA2FD" w:rsidR="003356EE" w:rsidRPr="00770846" w:rsidRDefault="002314EA" w:rsidP="00770846">
      <w:pPr>
        <w:pStyle w:val="ListParagraph"/>
        <w:numPr>
          <w:ilvl w:val="2"/>
          <w:numId w:val="31"/>
        </w:numPr>
        <w:ind w:left="0" w:firstLine="0"/>
        <w:rPr>
          <w:rFonts w:asciiTheme="majorHAnsi" w:hAnsiTheme="majorHAnsi" w:cstheme="majorHAnsi"/>
          <w:highlight w:val="yellow"/>
        </w:rPr>
      </w:pPr>
      <w:r w:rsidRPr="00770846">
        <w:rPr>
          <w:rFonts w:asciiTheme="majorHAnsi" w:hAnsiTheme="majorHAnsi" w:cstheme="majorHAnsi"/>
          <w:highlight w:val="yellow"/>
        </w:rPr>
        <w:t xml:space="preserve">Load the three different imaging modalities </w:t>
      </w:r>
      <w:r w:rsidR="00944CDD" w:rsidRPr="00770846">
        <w:rPr>
          <w:rFonts w:asciiTheme="majorHAnsi" w:hAnsiTheme="majorHAnsi" w:cstheme="majorHAnsi"/>
          <w:highlight w:val="yellow"/>
        </w:rPr>
        <w:t>into the MATLAB app.</w:t>
      </w:r>
      <w:r w:rsidR="00571BBA" w:rsidRPr="00770846">
        <w:rPr>
          <w:rFonts w:asciiTheme="majorHAnsi" w:hAnsiTheme="majorHAnsi" w:cstheme="majorHAnsi"/>
          <w:highlight w:val="yellow"/>
        </w:rPr>
        <w:t xml:space="preserve"> </w:t>
      </w:r>
      <w:r w:rsidR="00C52F16" w:rsidRPr="00770846">
        <w:rPr>
          <w:rFonts w:asciiTheme="majorHAnsi" w:hAnsiTheme="majorHAnsi" w:cstheme="majorHAnsi"/>
          <w:highlight w:val="yellow"/>
        </w:rPr>
        <w:t>Place a generous bounding box around the contrast</w:t>
      </w:r>
      <w:r w:rsidR="00752DFC" w:rsidRPr="00770846">
        <w:rPr>
          <w:rFonts w:asciiTheme="majorHAnsi" w:hAnsiTheme="majorHAnsi" w:cstheme="majorHAnsi"/>
          <w:highlight w:val="yellow"/>
        </w:rPr>
        <w:t xml:space="preserve"> </w:t>
      </w:r>
      <w:r w:rsidR="00C52F16" w:rsidRPr="00770846">
        <w:rPr>
          <w:rFonts w:asciiTheme="majorHAnsi" w:hAnsiTheme="majorHAnsi" w:cstheme="majorHAnsi"/>
          <w:highlight w:val="yellow"/>
        </w:rPr>
        <w:t xml:space="preserve">enhancement on the </w:t>
      </w:r>
      <w:r w:rsidR="00F11CC7" w:rsidRPr="00770846">
        <w:rPr>
          <w:rFonts w:asciiTheme="majorHAnsi" w:hAnsiTheme="majorHAnsi" w:cstheme="majorHAnsi"/>
          <w:highlight w:val="yellow"/>
        </w:rPr>
        <w:t>T</w:t>
      </w:r>
      <w:r w:rsidR="00F11CC7" w:rsidRPr="00770846">
        <w:rPr>
          <w:rFonts w:asciiTheme="majorHAnsi" w:hAnsiTheme="majorHAnsi" w:cstheme="majorHAnsi"/>
          <w:highlight w:val="yellow"/>
          <w:vertAlign w:val="subscript"/>
        </w:rPr>
        <w:t>1</w:t>
      </w:r>
      <w:r w:rsidR="00F11CC7" w:rsidRPr="00770846">
        <w:rPr>
          <w:rFonts w:asciiTheme="majorHAnsi" w:hAnsiTheme="majorHAnsi" w:cstheme="majorHAnsi"/>
          <w:highlight w:val="yellow"/>
        </w:rPr>
        <w:t>-weighted MRI scan</w:t>
      </w:r>
      <w:r w:rsidR="00C506C8" w:rsidRPr="00770846">
        <w:rPr>
          <w:rFonts w:asciiTheme="majorHAnsi" w:hAnsiTheme="majorHAnsi" w:cstheme="majorHAnsi"/>
          <w:highlight w:val="yellow"/>
        </w:rPr>
        <w:t xml:space="preserve"> (</w:t>
      </w:r>
      <w:r w:rsidR="00C506C8" w:rsidRPr="00770846">
        <w:rPr>
          <w:rFonts w:asciiTheme="majorHAnsi" w:hAnsiTheme="majorHAnsi" w:cstheme="majorHAnsi"/>
          <w:b/>
          <w:bCs/>
          <w:highlight w:val="yellow"/>
        </w:rPr>
        <w:t>F</w:t>
      </w:r>
      <w:r w:rsidR="00A37598" w:rsidRPr="00770846">
        <w:rPr>
          <w:rFonts w:asciiTheme="majorHAnsi" w:hAnsiTheme="majorHAnsi" w:cstheme="majorHAnsi"/>
          <w:b/>
          <w:bCs/>
          <w:highlight w:val="yellow"/>
        </w:rPr>
        <w:t>igure 1</w:t>
      </w:r>
      <w:r w:rsidR="00C506C8" w:rsidRPr="00770846">
        <w:rPr>
          <w:rFonts w:asciiTheme="majorHAnsi" w:hAnsiTheme="majorHAnsi" w:cstheme="majorHAnsi"/>
          <w:highlight w:val="yellow"/>
        </w:rPr>
        <w:t>)</w:t>
      </w:r>
      <w:r w:rsidR="00F11CC7" w:rsidRPr="00770846">
        <w:rPr>
          <w:rFonts w:asciiTheme="majorHAnsi" w:hAnsiTheme="majorHAnsi" w:cstheme="majorHAnsi"/>
          <w:highlight w:val="yellow"/>
        </w:rPr>
        <w:t xml:space="preserve">. </w:t>
      </w:r>
      <w:r w:rsidR="002B1B48" w:rsidRPr="00770846">
        <w:rPr>
          <w:rFonts w:asciiTheme="majorHAnsi" w:hAnsiTheme="majorHAnsi" w:cstheme="majorHAnsi"/>
          <w:highlight w:val="yellow"/>
        </w:rPr>
        <w:t>Determine the</w:t>
      </w:r>
      <w:r w:rsidR="00F463DF" w:rsidRPr="00770846">
        <w:rPr>
          <w:rFonts w:asciiTheme="majorHAnsi" w:hAnsiTheme="majorHAnsi" w:cstheme="majorHAnsi"/>
          <w:highlight w:val="yellow"/>
        </w:rPr>
        <w:t xml:space="preserve"> contrast-enhanced volume using a threshold</w:t>
      </w:r>
      <w:r w:rsidR="00ED56C6" w:rsidRPr="00770846">
        <w:rPr>
          <w:rFonts w:asciiTheme="majorHAnsi" w:hAnsiTheme="majorHAnsi" w:cstheme="majorHAnsi"/>
          <w:highlight w:val="yellow"/>
        </w:rPr>
        <w:t xml:space="preserve"> (</w:t>
      </w:r>
      <w:r w:rsidR="00ED56C6" w:rsidRPr="00770846">
        <w:rPr>
          <w:rFonts w:asciiTheme="majorHAnsi" w:hAnsiTheme="majorHAnsi" w:cstheme="majorHAnsi"/>
          <w:b/>
          <w:bCs/>
          <w:highlight w:val="yellow"/>
        </w:rPr>
        <w:t>F</w:t>
      </w:r>
      <w:r w:rsidR="00567CDB" w:rsidRPr="00770846">
        <w:rPr>
          <w:rFonts w:asciiTheme="majorHAnsi" w:hAnsiTheme="majorHAnsi" w:cstheme="majorHAnsi"/>
          <w:b/>
          <w:bCs/>
          <w:highlight w:val="yellow"/>
        </w:rPr>
        <w:t>igure 2</w:t>
      </w:r>
      <w:r w:rsidR="00ED56C6" w:rsidRPr="00770846">
        <w:rPr>
          <w:rFonts w:asciiTheme="majorHAnsi" w:hAnsiTheme="majorHAnsi" w:cstheme="majorHAnsi"/>
          <w:highlight w:val="yellow"/>
        </w:rPr>
        <w:t>)</w:t>
      </w:r>
      <w:r w:rsidR="00F463DF" w:rsidRPr="00770846">
        <w:rPr>
          <w:rFonts w:asciiTheme="majorHAnsi" w:hAnsiTheme="majorHAnsi" w:cstheme="majorHAnsi"/>
          <w:highlight w:val="yellow"/>
        </w:rPr>
        <w:t xml:space="preserve">. </w:t>
      </w:r>
      <w:r w:rsidR="0005734D" w:rsidRPr="00770846">
        <w:rPr>
          <w:rFonts w:asciiTheme="majorHAnsi" w:hAnsiTheme="majorHAnsi" w:cstheme="majorHAnsi"/>
          <w:highlight w:val="yellow"/>
        </w:rPr>
        <w:t xml:space="preserve">If multiple </w:t>
      </w:r>
      <w:r w:rsidR="00383636" w:rsidRPr="00770846">
        <w:rPr>
          <w:rFonts w:asciiTheme="majorHAnsi" w:hAnsiTheme="majorHAnsi" w:cstheme="majorHAnsi"/>
          <w:highlight w:val="yellow"/>
        </w:rPr>
        <w:t>regions have been</w:t>
      </w:r>
      <w:r w:rsidR="00F3092D" w:rsidRPr="00770846">
        <w:rPr>
          <w:rFonts w:asciiTheme="majorHAnsi" w:hAnsiTheme="majorHAnsi" w:cstheme="majorHAnsi"/>
          <w:highlight w:val="yellow"/>
        </w:rPr>
        <w:t xml:space="preserve"> selected, select only the </w:t>
      </w:r>
      <w:r w:rsidR="00BF13DE" w:rsidRPr="00770846">
        <w:rPr>
          <w:rFonts w:asciiTheme="majorHAnsi" w:hAnsiTheme="majorHAnsi" w:cstheme="majorHAnsi"/>
          <w:highlight w:val="yellow"/>
        </w:rPr>
        <w:t>largest</w:t>
      </w:r>
      <w:r w:rsidR="001703EF" w:rsidRPr="00770846">
        <w:rPr>
          <w:rFonts w:asciiTheme="majorHAnsi" w:hAnsiTheme="majorHAnsi" w:cstheme="majorHAnsi"/>
          <w:highlight w:val="yellow"/>
        </w:rPr>
        <w:t xml:space="preserve"> </w:t>
      </w:r>
      <w:r w:rsidR="00383636" w:rsidRPr="00770846">
        <w:rPr>
          <w:rFonts w:asciiTheme="majorHAnsi" w:hAnsiTheme="majorHAnsi" w:cstheme="majorHAnsi"/>
          <w:highlight w:val="yellow"/>
        </w:rPr>
        <w:t>volume</w:t>
      </w:r>
      <w:r w:rsidR="00752DFC" w:rsidRPr="00770846">
        <w:rPr>
          <w:rFonts w:asciiTheme="majorHAnsi" w:hAnsiTheme="majorHAnsi" w:cstheme="majorHAnsi"/>
          <w:highlight w:val="yellow"/>
        </w:rPr>
        <w:t>, t</w:t>
      </w:r>
      <w:r w:rsidR="00945E3E" w:rsidRPr="00770846">
        <w:rPr>
          <w:rFonts w:asciiTheme="majorHAnsi" w:hAnsiTheme="majorHAnsi" w:cstheme="majorHAnsi"/>
          <w:highlight w:val="yellow"/>
        </w:rPr>
        <w:t xml:space="preserve">he </w:t>
      </w:r>
      <w:r w:rsidR="00542BF2" w:rsidRPr="00770846">
        <w:rPr>
          <w:rFonts w:asciiTheme="majorHAnsi" w:hAnsiTheme="majorHAnsi" w:cstheme="majorHAnsi"/>
          <w:highlight w:val="yellow"/>
        </w:rPr>
        <w:t>cent</w:t>
      </w:r>
      <w:r w:rsidR="00752DFC" w:rsidRPr="00770846">
        <w:rPr>
          <w:rFonts w:asciiTheme="majorHAnsi" w:hAnsiTheme="majorHAnsi" w:cstheme="majorHAnsi"/>
          <w:highlight w:val="yellow"/>
        </w:rPr>
        <w:t>er</w:t>
      </w:r>
      <w:r w:rsidR="00542BF2" w:rsidRPr="00770846">
        <w:rPr>
          <w:rFonts w:asciiTheme="majorHAnsi" w:hAnsiTheme="majorHAnsi" w:cstheme="majorHAnsi"/>
          <w:highlight w:val="yellow"/>
        </w:rPr>
        <w:t xml:space="preserve"> </w:t>
      </w:r>
      <w:r w:rsidR="00F36052" w:rsidRPr="00770846">
        <w:rPr>
          <w:rFonts w:asciiTheme="majorHAnsi" w:hAnsiTheme="majorHAnsi" w:cstheme="majorHAnsi"/>
          <w:highlight w:val="yellow"/>
        </w:rPr>
        <w:t xml:space="preserve">of </w:t>
      </w:r>
      <w:r w:rsidR="00752DFC" w:rsidRPr="00770846">
        <w:rPr>
          <w:rFonts w:asciiTheme="majorHAnsi" w:hAnsiTheme="majorHAnsi" w:cstheme="majorHAnsi"/>
          <w:highlight w:val="yellow"/>
        </w:rPr>
        <w:t>which</w:t>
      </w:r>
      <w:r w:rsidR="00F36052" w:rsidRPr="00770846">
        <w:rPr>
          <w:rFonts w:asciiTheme="majorHAnsi" w:hAnsiTheme="majorHAnsi" w:cstheme="majorHAnsi"/>
          <w:highlight w:val="yellow"/>
        </w:rPr>
        <w:t xml:space="preserve"> </w:t>
      </w:r>
      <w:r w:rsidR="00945E3E" w:rsidRPr="00770846">
        <w:rPr>
          <w:rFonts w:asciiTheme="majorHAnsi" w:hAnsiTheme="majorHAnsi" w:cstheme="majorHAnsi"/>
          <w:highlight w:val="yellow"/>
        </w:rPr>
        <w:t>is</w:t>
      </w:r>
      <w:r w:rsidR="0064257F" w:rsidRPr="00770846">
        <w:rPr>
          <w:rFonts w:asciiTheme="majorHAnsi" w:hAnsiTheme="majorHAnsi" w:cstheme="majorHAnsi"/>
          <w:highlight w:val="yellow"/>
        </w:rPr>
        <w:t xml:space="preserve"> considered </w:t>
      </w:r>
      <w:r w:rsidR="00C31213" w:rsidRPr="00770846">
        <w:rPr>
          <w:rFonts w:asciiTheme="majorHAnsi" w:hAnsiTheme="majorHAnsi" w:cstheme="majorHAnsi"/>
          <w:highlight w:val="yellow"/>
        </w:rPr>
        <w:t xml:space="preserve">as </w:t>
      </w:r>
      <w:r w:rsidR="0064257F" w:rsidRPr="00770846">
        <w:rPr>
          <w:rFonts w:asciiTheme="majorHAnsi" w:hAnsiTheme="majorHAnsi" w:cstheme="majorHAnsi"/>
          <w:highlight w:val="yellow"/>
        </w:rPr>
        <w:t>the first isocenter</w:t>
      </w:r>
      <w:r w:rsidR="004841DC" w:rsidRPr="00770846">
        <w:rPr>
          <w:rFonts w:asciiTheme="majorHAnsi" w:hAnsiTheme="majorHAnsi" w:cstheme="majorHAnsi"/>
          <w:highlight w:val="yellow"/>
        </w:rPr>
        <w:t xml:space="preserve"> </w:t>
      </w:r>
      <w:r w:rsidR="00BE1195" w:rsidRPr="00770846">
        <w:rPr>
          <w:rFonts w:asciiTheme="majorHAnsi" w:hAnsiTheme="majorHAnsi" w:cstheme="majorHAnsi"/>
          <w:highlight w:val="yellow"/>
        </w:rPr>
        <w:t xml:space="preserve">to deliver a prescribed dose for RT </w:t>
      </w:r>
      <w:r w:rsidR="004841DC" w:rsidRPr="00770846">
        <w:rPr>
          <w:rFonts w:asciiTheme="majorHAnsi" w:hAnsiTheme="majorHAnsi" w:cstheme="majorHAnsi"/>
          <w:highlight w:val="yellow"/>
        </w:rPr>
        <w:t>(</w:t>
      </w:r>
      <w:r w:rsidR="004841DC" w:rsidRPr="00770846">
        <w:rPr>
          <w:rFonts w:asciiTheme="majorHAnsi" w:hAnsiTheme="majorHAnsi" w:cstheme="majorHAnsi"/>
          <w:b/>
          <w:bCs/>
          <w:highlight w:val="yellow"/>
        </w:rPr>
        <w:t>F</w:t>
      </w:r>
      <w:r w:rsidR="00BF31CD" w:rsidRPr="00770846">
        <w:rPr>
          <w:rFonts w:asciiTheme="majorHAnsi" w:hAnsiTheme="majorHAnsi" w:cstheme="majorHAnsi"/>
          <w:b/>
          <w:bCs/>
          <w:highlight w:val="yellow"/>
        </w:rPr>
        <w:t>igure 3</w:t>
      </w:r>
      <w:r w:rsidR="004841DC" w:rsidRPr="00770846">
        <w:rPr>
          <w:rFonts w:asciiTheme="majorHAnsi" w:hAnsiTheme="majorHAnsi" w:cstheme="majorHAnsi"/>
          <w:highlight w:val="yellow"/>
        </w:rPr>
        <w:t>)</w:t>
      </w:r>
      <w:r w:rsidR="0064257F" w:rsidRPr="00770846">
        <w:rPr>
          <w:rFonts w:asciiTheme="majorHAnsi" w:hAnsiTheme="majorHAnsi" w:cstheme="majorHAnsi"/>
          <w:highlight w:val="yellow"/>
        </w:rPr>
        <w:t>.</w:t>
      </w:r>
    </w:p>
    <w:p w14:paraId="76E02108" w14:textId="77777777" w:rsidR="003356EE" w:rsidRPr="00770846" w:rsidRDefault="003356EE" w:rsidP="00770846">
      <w:pPr>
        <w:rPr>
          <w:rFonts w:asciiTheme="majorHAnsi" w:hAnsiTheme="majorHAnsi" w:cstheme="majorHAnsi"/>
          <w:highlight w:val="yellow"/>
        </w:rPr>
      </w:pPr>
    </w:p>
    <w:p w14:paraId="44642CB6" w14:textId="25D7819D" w:rsidR="007A75D6" w:rsidRPr="00770846" w:rsidRDefault="007C65AE" w:rsidP="00770846">
      <w:pPr>
        <w:pStyle w:val="ListParagraph"/>
        <w:numPr>
          <w:ilvl w:val="2"/>
          <w:numId w:val="31"/>
        </w:numPr>
        <w:ind w:left="0" w:firstLine="0"/>
        <w:rPr>
          <w:rFonts w:asciiTheme="majorHAnsi" w:hAnsiTheme="majorHAnsi" w:cstheme="majorHAnsi"/>
          <w:highlight w:val="yellow"/>
        </w:rPr>
      </w:pPr>
      <w:r w:rsidRPr="00770846">
        <w:rPr>
          <w:rFonts w:asciiTheme="majorHAnsi" w:hAnsiTheme="majorHAnsi" w:cstheme="majorHAnsi"/>
          <w:highlight w:val="yellow"/>
        </w:rPr>
        <w:t>Expand t</w:t>
      </w:r>
      <w:r w:rsidR="00EE1142" w:rsidRPr="00770846">
        <w:rPr>
          <w:rFonts w:asciiTheme="majorHAnsi" w:hAnsiTheme="majorHAnsi" w:cstheme="majorHAnsi"/>
          <w:highlight w:val="yellow"/>
        </w:rPr>
        <w:t xml:space="preserve">he </w:t>
      </w:r>
      <w:r w:rsidR="003547A5" w:rsidRPr="00770846">
        <w:rPr>
          <w:rFonts w:asciiTheme="majorHAnsi" w:hAnsiTheme="majorHAnsi" w:cstheme="majorHAnsi"/>
          <w:highlight w:val="yellow"/>
        </w:rPr>
        <w:t>previously determined MRI contrast</w:t>
      </w:r>
      <w:r w:rsidRPr="00770846">
        <w:rPr>
          <w:rFonts w:asciiTheme="majorHAnsi" w:hAnsiTheme="majorHAnsi" w:cstheme="majorHAnsi"/>
          <w:highlight w:val="yellow"/>
        </w:rPr>
        <w:t xml:space="preserve"> </w:t>
      </w:r>
      <w:r w:rsidR="003547A5" w:rsidRPr="00770846">
        <w:rPr>
          <w:rFonts w:asciiTheme="majorHAnsi" w:hAnsiTheme="majorHAnsi" w:cstheme="majorHAnsi"/>
          <w:highlight w:val="yellow"/>
        </w:rPr>
        <w:t>enhancement</w:t>
      </w:r>
      <w:r w:rsidR="00654CF5" w:rsidRPr="00770846">
        <w:rPr>
          <w:rFonts w:asciiTheme="majorHAnsi" w:hAnsiTheme="majorHAnsi" w:cstheme="majorHAnsi"/>
          <w:highlight w:val="yellow"/>
        </w:rPr>
        <w:t xml:space="preserve"> </w:t>
      </w:r>
      <w:r w:rsidR="003547A5" w:rsidRPr="00770846">
        <w:rPr>
          <w:rFonts w:asciiTheme="majorHAnsi" w:hAnsiTheme="majorHAnsi" w:cstheme="majorHAnsi"/>
          <w:highlight w:val="yellow"/>
        </w:rPr>
        <w:t xml:space="preserve">by </w:t>
      </w:r>
      <w:r w:rsidR="007026A6" w:rsidRPr="00770846">
        <w:rPr>
          <w:rFonts w:asciiTheme="majorHAnsi" w:hAnsiTheme="majorHAnsi" w:cstheme="majorHAnsi"/>
          <w:highlight w:val="yellow"/>
        </w:rPr>
        <w:t xml:space="preserve">10 pixels in each direction. </w:t>
      </w:r>
      <w:r w:rsidR="0068474C" w:rsidRPr="00770846">
        <w:rPr>
          <w:rFonts w:asciiTheme="majorHAnsi" w:hAnsiTheme="majorHAnsi" w:cstheme="majorHAnsi"/>
          <w:highlight w:val="yellow"/>
        </w:rPr>
        <w:t xml:space="preserve">If </w:t>
      </w:r>
      <w:r w:rsidR="00087A2E" w:rsidRPr="00770846">
        <w:rPr>
          <w:rFonts w:asciiTheme="majorHAnsi" w:hAnsiTheme="majorHAnsi" w:cstheme="majorHAnsi"/>
          <w:highlight w:val="yellow"/>
        </w:rPr>
        <w:t xml:space="preserve">multiple </w:t>
      </w:r>
      <w:r w:rsidR="00383636" w:rsidRPr="00770846">
        <w:rPr>
          <w:rFonts w:asciiTheme="majorHAnsi" w:hAnsiTheme="majorHAnsi" w:cstheme="majorHAnsi"/>
          <w:highlight w:val="yellow"/>
        </w:rPr>
        <w:t>regions are</w:t>
      </w:r>
      <w:r w:rsidR="0068474C" w:rsidRPr="00770846">
        <w:rPr>
          <w:rFonts w:asciiTheme="majorHAnsi" w:hAnsiTheme="majorHAnsi" w:cstheme="majorHAnsi"/>
          <w:highlight w:val="yellow"/>
        </w:rPr>
        <w:t xml:space="preserve"> detected, </w:t>
      </w:r>
      <w:r w:rsidRPr="00770846">
        <w:rPr>
          <w:rFonts w:asciiTheme="majorHAnsi" w:hAnsiTheme="majorHAnsi" w:cstheme="majorHAnsi"/>
          <w:highlight w:val="yellow"/>
        </w:rPr>
        <w:t xml:space="preserve">retain </w:t>
      </w:r>
      <w:r w:rsidR="0068474C" w:rsidRPr="00770846">
        <w:rPr>
          <w:rFonts w:asciiTheme="majorHAnsi" w:hAnsiTheme="majorHAnsi" w:cstheme="majorHAnsi"/>
          <w:highlight w:val="yellow"/>
        </w:rPr>
        <w:t xml:space="preserve">only the </w:t>
      </w:r>
      <w:r w:rsidR="00BF13DE" w:rsidRPr="00770846">
        <w:rPr>
          <w:rFonts w:asciiTheme="majorHAnsi" w:hAnsiTheme="majorHAnsi" w:cstheme="majorHAnsi"/>
          <w:highlight w:val="yellow"/>
        </w:rPr>
        <w:t>largest</w:t>
      </w:r>
      <w:r w:rsidR="0068474C" w:rsidRPr="00770846">
        <w:rPr>
          <w:rFonts w:asciiTheme="majorHAnsi" w:hAnsiTheme="majorHAnsi" w:cstheme="majorHAnsi"/>
          <w:highlight w:val="yellow"/>
        </w:rPr>
        <w:t xml:space="preserve"> </w:t>
      </w:r>
      <w:r w:rsidRPr="00770846">
        <w:rPr>
          <w:rFonts w:asciiTheme="majorHAnsi" w:hAnsiTheme="majorHAnsi" w:cstheme="majorHAnsi"/>
          <w:highlight w:val="yellow"/>
        </w:rPr>
        <w:t xml:space="preserve">PET </w:t>
      </w:r>
      <w:r w:rsidR="00383636" w:rsidRPr="00770846">
        <w:rPr>
          <w:rFonts w:asciiTheme="majorHAnsi" w:hAnsiTheme="majorHAnsi" w:cstheme="majorHAnsi"/>
          <w:highlight w:val="yellow"/>
        </w:rPr>
        <w:t>volume</w:t>
      </w:r>
      <w:r w:rsidRPr="00770846">
        <w:rPr>
          <w:rFonts w:asciiTheme="majorHAnsi" w:hAnsiTheme="majorHAnsi" w:cstheme="majorHAnsi"/>
          <w:highlight w:val="yellow"/>
        </w:rPr>
        <w:t>, t</w:t>
      </w:r>
      <w:r w:rsidR="00217C21" w:rsidRPr="00770846">
        <w:rPr>
          <w:rFonts w:asciiTheme="majorHAnsi" w:hAnsiTheme="majorHAnsi" w:cstheme="majorHAnsi"/>
          <w:highlight w:val="yellow"/>
        </w:rPr>
        <w:t>he cent</w:t>
      </w:r>
      <w:r w:rsidRPr="00770846">
        <w:rPr>
          <w:rFonts w:asciiTheme="majorHAnsi" w:hAnsiTheme="majorHAnsi" w:cstheme="majorHAnsi"/>
          <w:highlight w:val="yellow"/>
        </w:rPr>
        <w:t>er</w:t>
      </w:r>
      <w:r w:rsidR="00217C21" w:rsidRPr="00770846">
        <w:rPr>
          <w:rFonts w:asciiTheme="majorHAnsi" w:hAnsiTheme="majorHAnsi" w:cstheme="majorHAnsi"/>
          <w:highlight w:val="yellow"/>
        </w:rPr>
        <w:t xml:space="preserve"> </w:t>
      </w:r>
      <w:r w:rsidR="00CD2012" w:rsidRPr="00770846">
        <w:rPr>
          <w:rFonts w:asciiTheme="majorHAnsi" w:hAnsiTheme="majorHAnsi" w:cstheme="majorHAnsi"/>
          <w:highlight w:val="yellow"/>
        </w:rPr>
        <w:t xml:space="preserve">of </w:t>
      </w:r>
      <w:r w:rsidRPr="00770846">
        <w:rPr>
          <w:rFonts w:asciiTheme="majorHAnsi" w:hAnsiTheme="majorHAnsi" w:cstheme="majorHAnsi"/>
          <w:highlight w:val="yellow"/>
        </w:rPr>
        <w:t>which</w:t>
      </w:r>
      <w:r w:rsidR="00CD2012" w:rsidRPr="00770846">
        <w:rPr>
          <w:rFonts w:asciiTheme="majorHAnsi" w:hAnsiTheme="majorHAnsi" w:cstheme="majorHAnsi"/>
          <w:highlight w:val="yellow"/>
        </w:rPr>
        <w:t xml:space="preserve"> is considered the second isocenter</w:t>
      </w:r>
      <w:r w:rsidR="00087A2E" w:rsidRPr="00770846">
        <w:rPr>
          <w:rFonts w:asciiTheme="majorHAnsi" w:hAnsiTheme="majorHAnsi" w:cstheme="majorHAnsi"/>
          <w:highlight w:val="yellow"/>
        </w:rPr>
        <w:t xml:space="preserve"> to deliver a prescribed dose for RT</w:t>
      </w:r>
      <w:r w:rsidR="00CD2012" w:rsidRPr="00770846">
        <w:rPr>
          <w:rFonts w:asciiTheme="majorHAnsi" w:hAnsiTheme="majorHAnsi" w:cstheme="majorHAnsi"/>
          <w:highlight w:val="yellow"/>
        </w:rPr>
        <w:t xml:space="preserve">. </w:t>
      </w:r>
    </w:p>
    <w:p w14:paraId="4E2F1355" w14:textId="3B0D1899" w:rsidR="003356EE" w:rsidRPr="00770846" w:rsidRDefault="003356EE" w:rsidP="00770846">
      <w:pPr>
        <w:rPr>
          <w:rFonts w:asciiTheme="majorHAnsi" w:hAnsiTheme="majorHAnsi" w:cstheme="majorHAnsi"/>
          <w:highlight w:val="yellow"/>
        </w:rPr>
      </w:pPr>
    </w:p>
    <w:p w14:paraId="00758558" w14:textId="6C9DD17A" w:rsidR="007C65AE" w:rsidRPr="00770846" w:rsidRDefault="007C65AE" w:rsidP="00770846">
      <w:pPr>
        <w:rPr>
          <w:rFonts w:asciiTheme="majorHAnsi" w:hAnsiTheme="majorHAnsi" w:cstheme="majorHAnsi"/>
        </w:rPr>
      </w:pPr>
      <w:r w:rsidRPr="00770846">
        <w:rPr>
          <w:rFonts w:asciiTheme="majorHAnsi" w:hAnsiTheme="majorHAnsi" w:cstheme="majorHAnsi"/>
        </w:rPr>
        <w:t xml:space="preserve">NOTE: In this </w:t>
      </w:r>
      <w:r w:rsidR="00F443C0" w:rsidRPr="00770846">
        <w:rPr>
          <w:rFonts w:asciiTheme="majorHAnsi" w:hAnsiTheme="majorHAnsi" w:cstheme="majorHAnsi"/>
        </w:rPr>
        <w:t xml:space="preserve">PET </w:t>
      </w:r>
      <w:r w:rsidRPr="00770846">
        <w:rPr>
          <w:rFonts w:asciiTheme="majorHAnsi" w:hAnsiTheme="majorHAnsi" w:cstheme="majorHAnsi"/>
        </w:rPr>
        <w:t xml:space="preserve">volume, the PET boost volume is defined by the pixels </w:t>
      </w:r>
      <w:r w:rsidR="00507DE6" w:rsidRPr="00770846">
        <w:rPr>
          <w:rFonts w:asciiTheme="majorHAnsi" w:hAnsiTheme="majorHAnsi" w:cstheme="majorHAnsi"/>
        </w:rPr>
        <w:t>with</w:t>
      </w:r>
      <w:r w:rsidRPr="00770846">
        <w:rPr>
          <w:rFonts w:asciiTheme="majorHAnsi" w:hAnsiTheme="majorHAnsi" w:cstheme="majorHAnsi"/>
        </w:rPr>
        <w:t xml:space="preserve"> a higher signal intensity than 0.90 </w:t>
      </w:r>
      <w:r w:rsidR="00F443C0" w:rsidRPr="00770846">
        <w:rPr>
          <w:rFonts w:asciiTheme="majorHAnsi" w:hAnsiTheme="majorHAnsi" w:cstheme="majorHAnsi"/>
        </w:rPr>
        <w:t>×</w:t>
      </w:r>
      <w:r w:rsidRPr="00770846">
        <w:rPr>
          <w:rFonts w:asciiTheme="majorHAnsi" w:hAnsiTheme="majorHAnsi" w:cstheme="majorHAnsi"/>
        </w:rPr>
        <w:t xml:space="preserve"> maximal signal intensity (in the bounding box) in this volume.</w:t>
      </w:r>
    </w:p>
    <w:p w14:paraId="54CC76FA" w14:textId="77777777" w:rsidR="00F443C0" w:rsidRPr="00770846" w:rsidRDefault="00F443C0" w:rsidP="00770846">
      <w:pPr>
        <w:rPr>
          <w:rFonts w:asciiTheme="majorHAnsi" w:hAnsiTheme="majorHAnsi" w:cstheme="majorHAnsi"/>
          <w:highlight w:val="yellow"/>
        </w:rPr>
      </w:pPr>
    </w:p>
    <w:p w14:paraId="5BC364CE" w14:textId="558E0D13" w:rsidR="003C2BA3" w:rsidRPr="00770846" w:rsidRDefault="00194D82" w:rsidP="00770846">
      <w:pPr>
        <w:pStyle w:val="ListParagraph"/>
        <w:numPr>
          <w:ilvl w:val="2"/>
          <w:numId w:val="31"/>
        </w:numPr>
        <w:ind w:left="0" w:firstLine="0"/>
        <w:rPr>
          <w:rFonts w:asciiTheme="majorHAnsi" w:hAnsiTheme="majorHAnsi" w:cstheme="majorHAnsi"/>
          <w:highlight w:val="yellow"/>
        </w:rPr>
      </w:pPr>
      <w:r w:rsidRPr="00770846">
        <w:rPr>
          <w:rFonts w:asciiTheme="majorHAnsi" w:hAnsiTheme="majorHAnsi" w:cstheme="majorHAnsi"/>
          <w:highlight w:val="yellow"/>
        </w:rPr>
        <w:t xml:space="preserve">Use </w:t>
      </w:r>
      <w:r w:rsidR="00241BAC" w:rsidRPr="00770846">
        <w:rPr>
          <w:rFonts w:asciiTheme="majorHAnsi" w:hAnsiTheme="majorHAnsi" w:cstheme="majorHAnsi"/>
          <w:highlight w:val="yellow"/>
        </w:rPr>
        <w:t xml:space="preserve">the following </w:t>
      </w:r>
      <w:r w:rsidR="0014656C" w:rsidRPr="00770846">
        <w:rPr>
          <w:rFonts w:asciiTheme="majorHAnsi" w:hAnsiTheme="majorHAnsi" w:cstheme="majorHAnsi"/>
          <w:highlight w:val="yellow"/>
        </w:rPr>
        <w:t xml:space="preserve">irradiation </w:t>
      </w:r>
      <w:r w:rsidR="00241BAC" w:rsidRPr="00770846">
        <w:rPr>
          <w:rFonts w:asciiTheme="majorHAnsi" w:hAnsiTheme="majorHAnsi" w:cstheme="majorHAnsi"/>
          <w:highlight w:val="yellow"/>
        </w:rPr>
        <w:t>settings for the calculated isocenters</w:t>
      </w:r>
      <w:r w:rsidR="00835557" w:rsidRPr="00770846">
        <w:rPr>
          <w:rFonts w:asciiTheme="majorHAnsi" w:hAnsiTheme="majorHAnsi" w:cstheme="majorHAnsi"/>
          <w:highlight w:val="yellow"/>
        </w:rPr>
        <w:t xml:space="preserve"> (</w:t>
      </w:r>
      <w:r w:rsidR="00835557" w:rsidRPr="00770846">
        <w:rPr>
          <w:rFonts w:asciiTheme="majorHAnsi" w:hAnsiTheme="majorHAnsi" w:cstheme="majorHAnsi"/>
          <w:b/>
          <w:bCs/>
          <w:highlight w:val="yellow"/>
        </w:rPr>
        <w:t>F</w:t>
      </w:r>
      <w:r w:rsidR="00C21710" w:rsidRPr="00770846">
        <w:rPr>
          <w:rFonts w:asciiTheme="majorHAnsi" w:hAnsiTheme="majorHAnsi" w:cstheme="majorHAnsi"/>
          <w:b/>
          <w:bCs/>
          <w:highlight w:val="yellow"/>
        </w:rPr>
        <w:t>igure 4</w:t>
      </w:r>
      <w:r w:rsidR="008126C9" w:rsidRPr="00770846">
        <w:rPr>
          <w:rFonts w:asciiTheme="majorHAnsi" w:hAnsiTheme="majorHAnsi" w:cstheme="majorHAnsi"/>
          <w:highlight w:val="yellow"/>
        </w:rPr>
        <w:t xml:space="preserve"> and </w:t>
      </w:r>
      <w:r w:rsidR="00130007" w:rsidRPr="00770846">
        <w:rPr>
          <w:rFonts w:asciiTheme="majorHAnsi" w:hAnsiTheme="majorHAnsi" w:cstheme="majorHAnsi"/>
          <w:b/>
          <w:bCs/>
          <w:highlight w:val="yellow"/>
        </w:rPr>
        <w:t xml:space="preserve">Table </w:t>
      </w:r>
      <w:r w:rsidR="00E56D1A" w:rsidRPr="00770846">
        <w:rPr>
          <w:rFonts w:asciiTheme="majorHAnsi" w:hAnsiTheme="majorHAnsi" w:cstheme="majorHAnsi"/>
          <w:b/>
          <w:bCs/>
          <w:highlight w:val="yellow"/>
        </w:rPr>
        <w:t>1</w:t>
      </w:r>
      <w:r w:rsidR="003439A4" w:rsidRPr="00770846">
        <w:rPr>
          <w:rFonts w:asciiTheme="majorHAnsi" w:hAnsiTheme="majorHAnsi" w:cstheme="majorHAnsi"/>
          <w:highlight w:val="yellow"/>
        </w:rPr>
        <w:t>).</w:t>
      </w:r>
    </w:p>
    <w:p w14:paraId="5E0737BD" w14:textId="77777777" w:rsidR="00402C3E" w:rsidRPr="00770846" w:rsidRDefault="00402C3E" w:rsidP="00770846">
      <w:pPr>
        <w:pStyle w:val="ListParagraph"/>
        <w:ind w:left="0"/>
        <w:rPr>
          <w:rFonts w:asciiTheme="majorHAnsi" w:hAnsiTheme="majorHAnsi" w:cstheme="majorHAnsi"/>
          <w:highlight w:val="yellow"/>
        </w:rPr>
      </w:pPr>
    </w:p>
    <w:p w14:paraId="72E39C5A" w14:textId="27CD7D9E" w:rsidR="00241BAC" w:rsidRPr="00770846" w:rsidRDefault="00241BAC" w:rsidP="00770846">
      <w:pPr>
        <w:pStyle w:val="ListParagraph"/>
        <w:numPr>
          <w:ilvl w:val="3"/>
          <w:numId w:val="31"/>
        </w:numPr>
        <w:ind w:left="0" w:firstLine="0"/>
        <w:rPr>
          <w:rFonts w:asciiTheme="majorHAnsi" w:hAnsiTheme="majorHAnsi" w:cstheme="majorHAnsi"/>
          <w:highlight w:val="yellow"/>
        </w:rPr>
      </w:pPr>
      <w:r w:rsidRPr="00770846">
        <w:rPr>
          <w:rFonts w:asciiTheme="majorHAnsi" w:hAnsiTheme="majorHAnsi" w:cstheme="majorHAnsi"/>
          <w:highlight w:val="yellow"/>
        </w:rPr>
        <w:t>F</w:t>
      </w:r>
      <w:r w:rsidR="00402C3E" w:rsidRPr="00770846">
        <w:rPr>
          <w:rFonts w:asciiTheme="majorHAnsi" w:hAnsiTheme="majorHAnsi" w:cstheme="majorHAnsi"/>
          <w:highlight w:val="yellow"/>
        </w:rPr>
        <w:t>or the f</w:t>
      </w:r>
      <w:r w:rsidRPr="00770846">
        <w:rPr>
          <w:rFonts w:asciiTheme="majorHAnsi" w:hAnsiTheme="majorHAnsi" w:cstheme="majorHAnsi"/>
          <w:highlight w:val="yellow"/>
        </w:rPr>
        <w:t>irst isocenter</w:t>
      </w:r>
      <w:r w:rsidR="00972E14" w:rsidRPr="00770846">
        <w:rPr>
          <w:rFonts w:asciiTheme="majorHAnsi" w:hAnsiTheme="majorHAnsi" w:cstheme="majorHAnsi"/>
          <w:highlight w:val="yellow"/>
        </w:rPr>
        <w:t xml:space="preserve"> (MRI)</w:t>
      </w:r>
      <w:r w:rsidR="00402C3E" w:rsidRPr="00770846">
        <w:rPr>
          <w:rFonts w:asciiTheme="majorHAnsi" w:hAnsiTheme="majorHAnsi" w:cstheme="majorHAnsi"/>
          <w:highlight w:val="yellow"/>
        </w:rPr>
        <w:t>,</w:t>
      </w:r>
      <w:r w:rsidR="008A05C3" w:rsidRPr="00770846">
        <w:rPr>
          <w:rFonts w:asciiTheme="majorHAnsi" w:hAnsiTheme="majorHAnsi" w:cstheme="majorHAnsi"/>
          <w:highlight w:val="yellow"/>
        </w:rPr>
        <w:t xml:space="preserve"> </w:t>
      </w:r>
      <w:r w:rsidR="003741A6" w:rsidRPr="00770846">
        <w:rPr>
          <w:rFonts w:asciiTheme="majorHAnsi" w:hAnsiTheme="majorHAnsi" w:cstheme="majorHAnsi"/>
          <w:highlight w:val="yellow"/>
        </w:rPr>
        <w:t xml:space="preserve">give </w:t>
      </w:r>
      <w:r w:rsidR="008A05C3" w:rsidRPr="00770846">
        <w:rPr>
          <w:rFonts w:asciiTheme="majorHAnsi" w:hAnsiTheme="majorHAnsi" w:cstheme="majorHAnsi"/>
          <w:highlight w:val="yellow"/>
        </w:rPr>
        <w:t xml:space="preserve">a prescribed dose of 2000 </w:t>
      </w:r>
      <w:proofErr w:type="spellStart"/>
      <w:r w:rsidR="008A05C3" w:rsidRPr="00770846">
        <w:rPr>
          <w:rFonts w:asciiTheme="majorHAnsi" w:hAnsiTheme="majorHAnsi" w:cstheme="majorHAnsi"/>
          <w:highlight w:val="yellow"/>
        </w:rPr>
        <w:t>cGy</w:t>
      </w:r>
      <w:proofErr w:type="spellEnd"/>
      <w:r w:rsidR="00A879FD" w:rsidRPr="00770846">
        <w:rPr>
          <w:rFonts w:asciiTheme="majorHAnsi" w:hAnsiTheme="majorHAnsi" w:cstheme="majorHAnsi"/>
          <w:highlight w:val="yellow"/>
        </w:rPr>
        <w:t xml:space="preserve"> using 3 non-coplanar arcs at couch positions 0°, -45°, </w:t>
      </w:r>
      <w:r w:rsidR="00402C3E" w:rsidRPr="00770846">
        <w:rPr>
          <w:rFonts w:asciiTheme="majorHAnsi" w:hAnsiTheme="majorHAnsi" w:cstheme="majorHAnsi"/>
          <w:highlight w:val="yellow"/>
        </w:rPr>
        <w:t xml:space="preserve">and </w:t>
      </w:r>
      <w:r w:rsidR="00A879FD" w:rsidRPr="00770846">
        <w:rPr>
          <w:rFonts w:asciiTheme="majorHAnsi" w:hAnsiTheme="majorHAnsi" w:cstheme="majorHAnsi"/>
          <w:highlight w:val="yellow"/>
        </w:rPr>
        <w:t>-90°</w:t>
      </w:r>
      <w:r w:rsidR="00113313" w:rsidRPr="00770846">
        <w:rPr>
          <w:rFonts w:asciiTheme="majorHAnsi" w:hAnsiTheme="majorHAnsi" w:cstheme="majorHAnsi"/>
          <w:highlight w:val="yellow"/>
        </w:rPr>
        <w:t xml:space="preserve"> with </w:t>
      </w:r>
      <w:r w:rsidR="006D4DE2" w:rsidRPr="00770846">
        <w:rPr>
          <w:rFonts w:asciiTheme="majorHAnsi" w:hAnsiTheme="majorHAnsi" w:cstheme="majorHAnsi"/>
          <w:highlight w:val="yellow"/>
        </w:rPr>
        <w:t xml:space="preserve">a </w:t>
      </w:r>
      <w:r w:rsidR="00113313" w:rsidRPr="00770846">
        <w:rPr>
          <w:rFonts w:asciiTheme="majorHAnsi" w:hAnsiTheme="majorHAnsi" w:cstheme="majorHAnsi"/>
          <w:highlight w:val="yellow"/>
        </w:rPr>
        <w:t>gantry rotation of 120°, 120°</w:t>
      </w:r>
      <w:r w:rsidR="00402C3E" w:rsidRPr="00770846">
        <w:rPr>
          <w:rFonts w:asciiTheme="majorHAnsi" w:hAnsiTheme="majorHAnsi" w:cstheme="majorHAnsi"/>
          <w:highlight w:val="yellow"/>
        </w:rPr>
        <w:t>,</w:t>
      </w:r>
      <w:r w:rsidR="00113313" w:rsidRPr="00770846">
        <w:rPr>
          <w:rFonts w:asciiTheme="majorHAnsi" w:hAnsiTheme="majorHAnsi" w:cstheme="majorHAnsi"/>
          <w:highlight w:val="yellow"/>
        </w:rPr>
        <w:t xml:space="preserve"> and 60°, respectively.</w:t>
      </w:r>
      <w:r w:rsidR="00416BA6" w:rsidRPr="00770846">
        <w:rPr>
          <w:rFonts w:asciiTheme="majorHAnsi" w:hAnsiTheme="majorHAnsi" w:cstheme="majorHAnsi"/>
          <w:highlight w:val="yellow"/>
        </w:rPr>
        <w:t xml:space="preserve"> Use a fixed collimator size of 10 x 10 mm</w:t>
      </w:r>
      <w:r w:rsidR="00402C3E" w:rsidRPr="00770846">
        <w:rPr>
          <w:rFonts w:asciiTheme="majorHAnsi" w:hAnsiTheme="majorHAnsi" w:cstheme="majorHAnsi"/>
          <w:highlight w:val="yellow"/>
        </w:rPr>
        <w:t xml:space="preserve">, but </w:t>
      </w:r>
      <w:r w:rsidR="00D97308" w:rsidRPr="00770846">
        <w:rPr>
          <w:rFonts w:asciiTheme="majorHAnsi" w:hAnsiTheme="majorHAnsi" w:cstheme="majorHAnsi"/>
          <w:highlight w:val="yellow"/>
        </w:rPr>
        <w:t>use an appropriate collimator (e.g., a 5 x 5 mm collimator) w</w:t>
      </w:r>
      <w:r w:rsidR="00A63036" w:rsidRPr="00770846">
        <w:rPr>
          <w:rFonts w:asciiTheme="majorHAnsi" w:hAnsiTheme="majorHAnsi" w:cstheme="majorHAnsi"/>
          <w:highlight w:val="yellow"/>
        </w:rPr>
        <w:t xml:space="preserve">hen smaller tumor sizes need to be irradiated. </w:t>
      </w:r>
      <w:r w:rsidR="005B58A3" w:rsidRPr="00770846">
        <w:rPr>
          <w:rFonts w:asciiTheme="majorHAnsi" w:hAnsiTheme="majorHAnsi" w:cstheme="majorHAnsi"/>
          <w:highlight w:val="yellow"/>
        </w:rPr>
        <w:t>Be careful in considering t</w:t>
      </w:r>
      <w:r w:rsidR="00A63036" w:rsidRPr="00770846">
        <w:rPr>
          <w:rFonts w:asciiTheme="majorHAnsi" w:hAnsiTheme="majorHAnsi" w:cstheme="majorHAnsi"/>
          <w:highlight w:val="yellow"/>
        </w:rPr>
        <w:t>he animal’s welfare</w:t>
      </w:r>
      <w:r w:rsidR="00E73ED7" w:rsidRPr="00770846">
        <w:rPr>
          <w:rFonts w:asciiTheme="majorHAnsi" w:hAnsiTheme="majorHAnsi" w:cstheme="majorHAnsi"/>
          <w:highlight w:val="yellow"/>
        </w:rPr>
        <w:t xml:space="preserve"> </w:t>
      </w:r>
      <w:r w:rsidR="00A63036" w:rsidRPr="00770846">
        <w:rPr>
          <w:rFonts w:asciiTheme="majorHAnsi" w:hAnsiTheme="majorHAnsi" w:cstheme="majorHAnsi"/>
          <w:highlight w:val="yellow"/>
        </w:rPr>
        <w:t xml:space="preserve">when </w:t>
      </w:r>
      <w:r w:rsidR="005B58A3" w:rsidRPr="00770846">
        <w:rPr>
          <w:rFonts w:asciiTheme="majorHAnsi" w:hAnsiTheme="majorHAnsi" w:cstheme="majorHAnsi"/>
          <w:highlight w:val="yellow"/>
        </w:rPr>
        <w:t xml:space="preserve">the </w:t>
      </w:r>
      <w:r w:rsidR="00A63036" w:rsidRPr="00770846">
        <w:rPr>
          <w:rFonts w:asciiTheme="majorHAnsi" w:hAnsiTheme="majorHAnsi" w:cstheme="majorHAnsi"/>
          <w:highlight w:val="yellow"/>
        </w:rPr>
        <w:t xml:space="preserve">tumor volumes </w:t>
      </w:r>
      <w:r w:rsidR="005B58A3" w:rsidRPr="00770846">
        <w:rPr>
          <w:rFonts w:asciiTheme="majorHAnsi" w:hAnsiTheme="majorHAnsi" w:cstheme="majorHAnsi"/>
          <w:highlight w:val="yellow"/>
        </w:rPr>
        <w:t xml:space="preserve">are </w:t>
      </w:r>
      <w:r w:rsidR="00A63036" w:rsidRPr="00770846">
        <w:rPr>
          <w:rFonts w:asciiTheme="majorHAnsi" w:hAnsiTheme="majorHAnsi" w:cstheme="majorHAnsi"/>
          <w:highlight w:val="yellow"/>
        </w:rPr>
        <w:t>larger than 10 mm.</w:t>
      </w:r>
    </w:p>
    <w:p w14:paraId="113FED12" w14:textId="77777777" w:rsidR="00FD47E6" w:rsidRPr="00770846" w:rsidRDefault="00FD47E6" w:rsidP="00770846">
      <w:pPr>
        <w:pStyle w:val="ListParagraph"/>
        <w:ind w:left="0"/>
        <w:rPr>
          <w:rFonts w:asciiTheme="majorHAnsi" w:hAnsiTheme="majorHAnsi" w:cstheme="majorHAnsi"/>
          <w:highlight w:val="yellow"/>
        </w:rPr>
      </w:pPr>
    </w:p>
    <w:p w14:paraId="43EF2667" w14:textId="1936862B" w:rsidR="008A05C3" w:rsidRPr="00770846" w:rsidRDefault="00A971E9" w:rsidP="00770846">
      <w:pPr>
        <w:pStyle w:val="ListParagraph"/>
        <w:numPr>
          <w:ilvl w:val="3"/>
          <w:numId w:val="31"/>
        </w:numPr>
        <w:ind w:left="0" w:firstLine="0"/>
        <w:rPr>
          <w:rFonts w:asciiTheme="majorHAnsi" w:hAnsiTheme="majorHAnsi" w:cstheme="majorHAnsi"/>
          <w:highlight w:val="yellow"/>
        </w:rPr>
      </w:pPr>
      <w:r w:rsidRPr="00770846">
        <w:rPr>
          <w:rFonts w:asciiTheme="majorHAnsi" w:hAnsiTheme="majorHAnsi" w:cstheme="majorHAnsi"/>
          <w:highlight w:val="yellow"/>
        </w:rPr>
        <w:t>For the s</w:t>
      </w:r>
      <w:r w:rsidR="008A05C3" w:rsidRPr="00770846">
        <w:rPr>
          <w:rFonts w:asciiTheme="majorHAnsi" w:hAnsiTheme="majorHAnsi" w:cstheme="majorHAnsi"/>
          <w:highlight w:val="yellow"/>
        </w:rPr>
        <w:t>econd isocenter</w:t>
      </w:r>
      <w:r w:rsidR="00972E14" w:rsidRPr="00770846">
        <w:rPr>
          <w:rFonts w:asciiTheme="majorHAnsi" w:hAnsiTheme="majorHAnsi" w:cstheme="majorHAnsi"/>
          <w:highlight w:val="yellow"/>
        </w:rPr>
        <w:t xml:space="preserve"> (PET)</w:t>
      </w:r>
      <w:r w:rsidR="00FD53F1" w:rsidRPr="00770846">
        <w:rPr>
          <w:rFonts w:asciiTheme="majorHAnsi" w:hAnsiTheme="majorHAnsi" w:cstheme="majorHAnsi"/>
          <w:highlight w:val="yellow"/>
        </w:rPr>
        <w:t>,</w:t>
      </w:r>
      <w:r w:rsidR="00256AB4" w:rsidRPr="00770846">
        <w:rPr>
          <w:rFonts w:asciiTheme="majorHAnsi" w:hAnsiTheme="majorHAnsi" w:cstheme="majorHAnsi"/>
          <w:highlight w:val="yellow"/>
        </w:rPr>
        <w:t xml:space="preserve"> </w:t>
      </w:r>
      <w:r w:rsidR="003741A6" w:rsidRPr="00770846">
        <w:rPr>
          <w:rFonts w:asciiTheme="majorHAnsi" w:hAnsiTheme="majorHAnsi" w:cstheme="majorHAnsi"/>
          <w:highlight w:val="yellow"/>
        </w:rPr>
        <w:t xml:space="preserve">give </w:t>
      </w:r>
      <w:r w:rsidR="00256AB4" w:rsidRPr="00770846">
        <w:rPr>
          <w:rFonts w:asciiTheme="majorHAnsi" w:hAnsiTheme="majorHAnsi" w:cstheme="majorHAnsi"/>
          <w:highlight w:val="yellow"/>
        </w:rPr>
        <w:t xml:space="preserve">a prescribed dose of 800 </w:t>
      </w:r>
      <w:proofErr w:type="spellStart"/>
      <w:r w:rsidR="00256AB4" w:rsidRPr="00770846">
        <w:rPr>
          <w:rFonts w:asciiTheme="majorHAnsi" w:hAnsiTheme="majorHAnsi" w:cstheme="majorHAnsi"/>
          <w:highlight w:val="yellow"/>
        </w:rPr>
        <w:t>cGy</w:t>
      </w:r>
      <w:proofErr w:type="spellEnd"/>
      <w:r w:rsidR="00256AB4" w:rsidRPr="00770846">
        <w:rPr>
          <w:rFonts w:asciiTheme="majorHAnsi" w:hAnsiTheme="majorHAnsi" w:cstheme="majorHAnsi"/>
          <w:highlight w:val="yellow"/>
        </w:rPr>
        <w:t xml:space="preserve"> using 3 non-coplanar arcs at couch positions 0°, -45°, </w:t>
      </w:r>
      <w:r w:rsidR="00FD53F1" w:rsidRPr="00770846">
        <w:rPr>
          <w:rFonts w:asciiTheme="majorHAnsi" w:hAnsiTheme="majorHAnsi" w:cstheme="majorHAnsi"/>
          <w:highlight w:val="yellow"/>
        </w:rPr>
        <w:t xml:space="preserve">and </w:t>
      </w:r>
      <w:r w:rsidR="00256AB4" w:rsidRPr="00770846">
        <w:rPr>
          <w:rFonts w:asciiTheme="majorHAnsi" w:hAnsiTheme="majorHAnsi" w:cstheme="majorHAnsi"/>
          <w:highlight w:val="yellow"/>
        </w:rPr>
        <w:t xml:space="preserve">-90° with </w:t>
      </w:r>
      <w:r w:rsidR="006D4DE2" w:rsidRPr="00770846">
        <w:rPr>
          <w:rFonts w:asciiTheme="majorHAnsi" w:hAnsiTheme="majorHAnsi" w:cstheme="majorHAnsi"/>
          <w:highlight w:val="yellow"/>
        </w:rPr>
        <w:t xml:space="preserve">a </w:t>
      </w:r>
      <w:r w:rsidR="00256AB4" w:rsidRPr="00770846">
        <w:rPr>
          <w:rFonts w:asciiTheme="majorHAnsi" w:hAnsiTheme="majorHAnsi" w:cstheme="majorHAnsi"/>
          <w:highlight w:val="yellow"/>
        </w:rPr>
        <w:t>gantry rotation of 120°, 120°</w:t>
      </w:r>
      <w:r w:rsidR="00FD53F1" w:rsidRPr="00770846">
        <w:rPr>
          <w:rFonts w:asciiTheme="majorHAnsi" w:hAnsiTheme="majorHAnsi" w:cstheme="majorHAnsi"/>
          <w:highlight w:val="yellow"/>
        </w:rPr>
        <w:t>,</w:t>
      </w:r>
      <w:r w:rsidR="00256AB4" w:rsidRPr="00770846">
        <w:rPr>
          <w:rFonts w:asciiTheme="majorHAnsi" w:hAnsiTheme="majorHAnsi" w:cstheme="majorHAnsi"/>
          <w:highlight w:val="yellow"/>
        </w:rPr>
        <w:t xml:space="preserve"> and 60°, respectively. Use a fixed collimator size of 3 x 3 mm.</w:t>
      </w:r>
    </w:p>
    <w:p w14:paraId="73B01339" w14:textId="77777777" w:rsidR="003356EE" w:rsidRPr="00770846" w:rsidRDefault="003356EE" w:rsidP="00770846">
      <w:pPr>
        <w:rPr>
          <w:rFonts w:asciiTheme="majorHAnsi" w:hAnsiTheme="majorHAnsi" w:cstheme="majorHAnsi"/>
          <w:highlight w:val="yellow"/>
        </w:rPr>
      </w:pPr>
    </w:p>
    <w:p w14:paraId="6280A1CA" w14:textId="639E49C3" w:rsidR="00F72E9C" w:rsidRPr="00770846" w:rsidRDefault="003C1A04" w:rsidP="00770846">
      <w:pPr>
        <w:pStyle w:val="ListParagraph"/>
        <w:numPr>
          <w:ilvl w:val="2"/>
          <w:numId w:val="31"/>
        </w:numPr>
        <w:ind w:left="0" w:firstLine="0"/>
        <w:rPr>
          <w:rFonts w:asciiTheme="majorHAnsi" w:hAnsiTheme="majorHAnsi" w:cstheme="majorHAnsi"/>
          <w:highlight w:val="yellow"/>
        </w:rPr>
      </w:pPr>
      <w:r w:rsidRPr="00770846">
        <w:rPr>
          <w:rFonts w:asciiTheme="majorHAnsi" w:hAnsiTheme="majorHAnsi" w:cstheme="majorHAnsi"/>
          <w:highlight w:val="yellow"/>
        </w:rPr>
        <w:t>Calculate the dose distribution within the animal and the beam delivery parameters.</w:t>
      </w:r>
    </w:p>
    <w:p w14:paraId="07456DC3" w14:textId="77777777" w:rsidR="00C93CDF" w:rsidRPr="00770846" w:rsidRDefault="00C93CDF" w:rsidP="00770846">
      <w:pPr>
        <w:rPr>
          <w:rFonts w:asciiTheme="majorHAnsi" w:hAnsiTheme="majorHAnsi" w:cstheme="majorHAnsi"/>
          <w:highlight w:val="yellow"/>
        </w:rPr>
      </w:pPr>
    </w:p>
    <w:p w14:paraId="5046A685" w14:textId="04FEA353" w:rsidR="007A75D6" w:rsidRPr="00770846" w:rsidRDefault="006539E8" w:rsidP="00770846">
      <w:pPr>
        <w:pStyle w:val="ListParagraph"/>
        <w:numPr>
          <w:ilvl w:val="1"/>
          <w:numId w:val="31"/>
        </w:numPr>
        <w:ind w:left="0" w:firstLine="0"/>
        <w:rPr>
          <w:rFonts w:asciiTheme="majorHAnsi" w:hAnsiTheme="majorHAnsi" w:cstheme="majorHAnsi"/>
          <w:highlight w:val="yellow"/>
        </w:rPr>
      </w:pPr>
      <w:r w:rsidRPr="00770846">
        <w:rPr>
          <w:rFonts w:asciiTheme="majorHAnsi" w:hAnsiTheme="majorHAnsi" w:cstheme="majorHAnsi"/>
          <w:highlight w:val="yellow"/>
        </w:rPr>
        <w:t xml:space="preserve">Method </w:t>
      </w:r>
      <w:r w:rsidR="00B95D60" w:rsidRPr="00770846">
        <w:rPr>
          <w:rFonts w:asciiTheme="majorHAnsi" w:hAnsiTheme="majorHAnsi" w:cstheme="majorHAnsi"/>
          <w:highlight w:val="yellow"/>
        </w:rPr>
        <w:t>2</w:t>
      </w:r>
    </w:p>
    <w:p w14:paraId="2F9C36B9" w14:textId="77777777" w:rsidR="003356EE" w:rsidRPr="00770846" w:rsidRDefault="003356EE" w:rsidP="00770846">
      <w:pPr>
        <w:rPr>
          <w:rFonts w:asciiTheme="majorHAnsi" w:hAnsiTheme="majorHAnsi" w:cstheme="majorHAnsi"/>
          <w:b/>
          <w:bCs/>
          <w:highlight w:val="yellow"/>
        </w:rPr>
      </w:pPr>
    </w:p>
    <w:p w14:paraId="17E5A025" w14:textId="4FB7D2DE" w:rsidR="00BA1FD8" w:rsidRPr="00770846" w:rsidRDefault="00C228F3" w:rsidP="00770846">
      <w:pPr>
        <w:pStyle w:val="ListParagraph"/>
        <w:numPr>
          <w:ilvl w:val="2"/>
          <w:numId w:val="31"/>
        </w:numPr>
        <w:ind w:left="0" w:firstLine="0"/>
        <w:rPr>
          <w:rFonts w:asciiTheme="majorHAnsi" w:hAnsiTheme="majorHAnsi" w:cstheme="majorHAnsi"/>
          <w:highlight w:val="yellow"/>
        </w:rPr>
      </w:pPr>
      <w:r w:rsidRPr="00770846">
        <w:rPr>
          <w:rFonts w:asciiTheme="majorHAnsi" w:hAnsiTheme="majorHAnsi" w:cstheme="majorHAnsi"/>
          <w:highlight w:val="yellow"/>
        </w:rPr>
        <w:t>Load the three different imaging modalities</w:t>
      </w:r>
      <w:r w:rsidR="00D26FCC" w:rsidRPr="00770846">
        <w:rPr>
          <w:rFonts w:asciiTheme="majorHAnsi" w:hAnsiTheme="majorHAnsi" w:cstheme="majorHAnsi"/>
          <w:highlight w:val="yellow"/>
        </w:rPr>
        <w:t xml:space="preserve"> into the MATLAB app.</w:t>
      </w:r>
      <w:r w:rsidR="00571BBA" w:rsidRPr="00770846">
        <w:rPr>
          <w:rFonts w:asciiTheme="majorHAnsi" w:hAnsiTheme="majorHAnsi" w:cstheme="majorHAnsi"/>
          <w:highlight w:val="yellow"/>
        </w:rPr>
        <w:t xml:space="preserve"> </w:t>
      </w:r>
      <w:r w:rsidR="002A2D77" w:rsidRPr="00770846">
        <w:rPr>
          <w:rFonts w:asciiTheme="majorHAnsi" w:hAnsiTheme="majorHAnsi" w:cstheme="majorHAnsi"/>
          <w:highlight w:val="yellow"/>
        </w:rPr>
        <w:t>P</w:t>
      </w:r>
      <w:r w:rsidRPr="00770846">
        <w:rPr>
          <w:rFonts w:asciiTheme="majorHAnsi" w:hAnsiTheme="majorHAnsi" w:cstheme="majorHAnsi"/>
          <w:highlight w:val="yellow"/>
        </w:rPr>
        <w:t xml:space="preserve">lace a generous bounding box around the contrast-enhancement on the </w:t>
      </w:r>
      <w:r w:rsidR="00C0739D" w:rsidRPr="00770846">
        <w:rPr>
          <w:rFonts w:asciiTheme="majorHAnsi" w:hAnsiTheme="majorHAnsi" w:cstheme="majorHAnsi"/>
          <w:highlight w:val="yellow"/>
        </w:rPr>
        <w:t>[</w:t>
      </w:r>
      <w:r w:rsidR="00C0739D" w:rsidRPr="00770846">
        <w:rPr>
          <w:rFonts w:asciiTheme="majorHAnsi" w:hAnsiTheme="majorHAnsi" w:cstheme="majorHAnsi"/>
          <w:highlight w:val="yellow"/>
          <w:vertAlign w:val="superscript"/>
        </w:rPr>
        <w:t>18</w:t>
      </w:r>
      <w:proofErr w:type="gramStart"/>
      <w:r w:rsidR="00C0739D" w:rsidRPr="00770846">
        <w:rPr>
          <w:rFonts w:asciiTheme="majorHAnsi" w:hAnsiTheme="majorHAnsi" w:cstheme="majorHAnsi"/>
          <w:highlight w:val="yellow"/>
        </w:rPr>
        <w:t>F]FET</w:t>
      </w:r>
      <w:proofErr w:type="gramEnd"/>
      <w:r w:rsidR="00C0739D" w:rsidRPr="00770846">
        <w:rPr>
          <w:rFonts w:asciiTheme="majorHAnsi" w:hAnsiTheme="majorHAnsi" w:cstheme="majorHAnsi"/>
          <w:highlight w:val="yellow"/>
        </w:rPr>
        <w:t xml:space="preserve"> PET image</w:t>
      </w:r>
      <w:r w:rsidR="006B289C" w:rsidRPr="00770846">
        <w:rPr>
          <w:rFonts w:asciiTheme="majorHAnsi" w:hAnsiTheme="majorHAnsi" w:cstheme="majorHAnsi"/>
          <w:highlight w:val="yellow"/>
        </w:rPr>
        <w:t>, analogous to</w:t>
      </w:r>
      <w:r w:rsidR="00942072" w:rsidRPr="00770846">
        <w:rPr>
          <w:rFonts w:asciiTheme="majorHAnsi" w:hAnsiTheme="majorHAnsi" w:cstheme="majorHAnsi"/>
          <w:highlight w:val="yellow"/>
        </w:rPr>
        <w:t xml:space="preserve"> step 5.1.1</w:t>
      </w:r>
      <w:r w:rsidR="006B289C" w:rsidRPr="00770846">
        <w:rPr>
          <w:rFonts w:asciiTheme="majorHAnsi" w:hAnsiTheme="majorHAnsi" w:cstheme="majorHAnsi"/>
          <w:highlight w:val="yellow"/>
        </w:rPr>
        <w:t>.</w:t>
      </w:r>
    </w:p>
    <w:p w14:paraId="21AA8CE9" w14:textId="77777777" w:rsidR="003356EE" w:rsidRPr="00770846" w:rsidRDefault="003356EE" w:rsidP="00770846">
      <w:pPr>
        <w:pStyle w:val="ListParagraph"/>
        <w:ind w:left="0"/>
        <w:rPr>
          <w:rFonts w:asciiTheme="majorHAnsi" w:hAnsiTheme="majorHAnsi" w:cstheme="majorHAnsi"/>
          <w:highlight w:val="yellow"/>
        </w:rPr>
      </w:pPr>
    </w:p>
    <w:p w14:paraId="0C219DF2" w14:textId="05E92B9D" w:rsidR="003356EE" w:rsidRPr="00770846" w:rsidRDefault="001212BB" w:rsidP="00770846">
      <w:pPr>
        <w:pStyle w:val="ListParagraph"/>
        <w:numPr>
          <w:ilvl w:val="2"/>
          <w:numId w:val="31"/>
        </w:numPr>
        <w:ind w:left="0" w:firstLine="0"/>
        <w:rPr>
          <w:rFonts w:asciiTheme="majorHAnsi" w:hAnsiTheme="majorHAnsi" w:cstheme="majorHAnsi"/>
          <w:highlight w:val="yellow"/>
        </w:rPr>
      </w:pPr>
      <w:r w:rsidRPr="00770846">
        <w:rPr>
          <w:rFonts w:asciiTheme="majorHAnsi" w:hAnsiTheme="majorHAnsi" w:cstheme="majorHAnsi"/>
          <w:highlight w:val="yellow"/>
        </w:rPr>
        <w:t xml:space="preserve">Determine </w:t>
      </w:r>
      <w:r w:rsidR="00CD7B3A" w:rsidRPr="00770846">
        <w:rPr>
          <w:rFonts w:asciiTheme="majorHAnsi" w:hAnsiTheme="majorHAnsi" w:cstheme="majorHAnsi"/>
          <w:highlight w:val="yellow"/>
        </w:rPr>
        <w:t xml:space="preserve">the </w:t>
      </w:r>
      <w:r w:rsidR="00287B22" w:rsidRPr="00770846">
        <w:rPr>
          <w:rFonts w:asciiTheme="majorHAnsi" w:hAnsiTheme="majorHAnsi" w:cstheme="majorHAnsi"/>
          <w:highlight w:val="yellow"/>
        </w:rPr>
        <w:t>volumes</w:t>
      </w:r>
      <w:r w:rsidR="00EA3985" w:rsidRPr="00770846">
        <w:rPr>
          <w:rFonts w:asciiTheme="majorHAnsi" w:hAnsiTheme="majorHAnsi" w:cstheme="majorHAnsi"/>
          <w:highlight w:val="yellow"/>
        </w:rPr>
        <w:t xml:space="preserve"> </w:t>
      </w:r>
      <w:r w:rsidR="00F83808" w:rsidRPr="00770846">
        <w:rPr>
          <w:rFonts w:asciiTheme="majorHAnsi" w:hAnsiTheme="majorHAnsi" w:cstheme="majorHAnsi"/>
          <w:highlight w:val="yellow"/>
        </w:rPr>
        <w:t xml:space="preserve">defined by </w:t>
      </w:r>
      <w:r w:rsidR="0024083B" w:rsidRPr="00770846">
        <w:rPr>
          <w:rFonts w:asciiTheme="majorHAnsi" w:hAnsiTheme="majorHAnsi" w:cstheme="majorHAnsi"/>
          <w:highlight w:val="yellow"/>
        </w:rPr>
        <w:t xml:space="preserve">the </w:t>
      </w:r>
      <w:r w:rsidRPr="00770846">
        <w:rPr>
          <w:rFonts w:asciiTheme="majorHAnsi" w:hAnsiTheme="majorHAnsi" w:cstheme="majorHAnsi"/>
          <w:highlight w:val="yellow"/>
        </w:rPr>
        <w:t xml:space="preserve">pixels </w:t>
      </w:r>
      <w:r w:rsidR="00282F92" w:rsidRPr="00770846">
        <w:rPr>
          <w:rFonts w:asciiTheme="majorHAnsi" w:hAnsiTheme="majorHAnsi" w:cstheme="majorHAnsi"/>
          <w:highlight w:val="yellow"/>
        </w:rPr>
        <w:t xml:space="preserve">with </w:t>
      </w:r>
      <w:r w:rsidR="0024083B" w:rsidRPr="00770846">
        <w:rPr>
          <w:rFonts w:asciiTheme="majorHAnsi" w:hAnsiTheme="majorHAnsi" w:cstheme="majorHAnsi"/>
          <w:highlight w:val="yellow"/>
        </w:rPr>
        <w:t xml:space="preserve">a signal intensity higher than </w:t>
      </w:r>
      <w:r w:rsidR="00EA63B7" w:rsidRPr="00770846">
        <w:rPr>
          <w:rFonts w:asciiTheme="majorHAnsi" w:hAnsiTheme="majorHAnsi" w:cstheme="majorHAnsi"/>
          <w:highlight w:val="yellow"/>
        </w:rPr>
        <w:t xml:space="preserve">A </w:t>
      </w:r>
      <w:r w:rsidR="00CD7B3A" w:rsidRPr="00770846">
        <w:rPr>
          <w:rFonts w:asciiTheme="majorHAnsi" w:hAnsiTheme="majorHAnsi" w:cstheme="majorHAnsi"/>
          <w:highlight w:val="yellow"/>
        </w:rPr>
        <w:t>×</w:t>
      </w:r>
      <w:r w:rsidR="0024083B" w:rsidRPr="00770846">
        <w:rPr>
          <w:rFonts w:asciiTheme="majorHAnsi" w:hAnsiTheme="majorHAnsi" w:cstheme="majorHAnsi"/>
          <w:highlight w:val="yellow"/>
        </w:rPr>
        <w:t xml:space="preserve"> maximal signal intensity (in the </w:t>
      </w:r>
      <w:proofErr w:type="gramStart"/>
      <w:r w:rsidR="005C6399" w:rsidRPr="00770846">
        <w:rPr>
          <w:rFonts w:asciiTheme="majorHAnsi" w:hAnsiTheme="majorHAnsi" w:cstheme="majorHAnsi"/>
          <w:highlight w:val="yellow"/>
        </w:rPr>
        <w:t xml:space="preserve">aforementioned </w:t>
      </w:r>
      <w:r w:rsidR="0024083B" w:rsidRPr="00770846">
        <w:rPr>
          <w:rFonts w:asciiTheme="majorHAnsi" w:hAnsiTheme="majorHAnsi" w:cstheme="majorHAnsi"/>
          <w:highlight w:val="yellow"/>
        </w:rPr>
        <w:t>bounding</w:t>
      </w:r>
      <w:proofErr w:type="gramEnd"/>
      <w:r w:rsidR="0024083B" w:rsidRPr="00770846">
        <w:rPr>
          <w:rFonts w:asciiTheme="majorHAnsi" w:hAnsiTheme="majorHAnsi" w:cstheme="majorHAnsi"/>
          <w:highlight w:val="yellow"/>
        </w:rPr>
        <w:t xml:space="preserve"> box)</w:t>
      </w:r>
      <w:r w:rsidR="00EA63B7" w:rsidRPr="00770846">
        <w:rPr>
          <w:rFonts w:asciiTheme="majorHAnsi" w:hAnsiTheme="majorHAnsi" w:cstheme="majorHAnsi"/>
          <w:highlight w:val="yellow"/>
        </w:rPr>
        <w:t xml:space="preserve">, with A equal to 0.50, 0.60, 0.70, </w:t>
      </w:r>
      <w:r w:rsidR="00EA63B7" w:rsidRPr="00770846">
        <w:rPr>
          <w:rFonts w:asciiTheme="majorHAnsi" w:hAnsiTheme="majorHAnsi" w:cstheme="majorHAnsi"/>
          <w:highlight w:val="yellow"/>
        </w:rPr>
        <w:lastRenderedPageBreak/>
        <w:t>0.80</w:t>
      </w:r>
      <w:r w:rsidR="00CD7B3A" w:rsidRPr="00770846">
        <w:rPr>
          <w:rFonts w:asciiTheme="majorHAnsi" w:hAnsiTheme="majorHAnsi" w:cstheme="majorHAnsi"/>
          <w:highlight w:val="yellow"/>
        </w:rPr>
        <w:t>,</w:t>
      </w:r>
      <w:r w:rsidR="00EA63B7" w:rsidRPr="00770846">
        <w:rPr>
          <w:rFonts w:asciiTheme="majorHAnsi" w:hAnsiTheme="majorHAnsi" w:cstheme="majorHAnsi"/>
          <w:highlight w:val="yellow"/>
        </w:rPr>
        <w:t xml:space="preserve"> and 0.90</w:t>
      </w:r>
      <w:r w:rsidR="00CD7B3A" w:rsidRPr="00770846">
        <w:rPr>
          <w:rFonts w:asciiTheme="majorHAnsi" w:hAnsiTheme="majorHAnsi" w:cstheme="majorHAnsi"/>
          <w:highlight w:val="yellow"/>
        </w:rPr>
        <w:t xml:space="preserve">. Name </w:t>
      </w:r>
      <w:r w:rsidR="00B8521A" w:rsidRPr="00770846">
        <w:rPr>
          <w:rFonts w:asciiTheme="majorHAnsi" w:hAnsiTheme="majorHAnsi" w:cstheme="majorHAnsi"/>
          <w:highlight w:val="yellow"/>
        </w:rPr>
        <w:t xml:space="preserve">these volumes V50, V60, V70, V80, </w:t>
      </w:r>
      <w:r w:rsidR="00CD7B3A" w:rsidRPr="00770846">
        <w:rPr>
          <w:rFonts w:asciiTheme="majorHAnsi" w:hAnsiTheme="majorHAnsi" w:cstheme="majorHAnsi"/>
          <w:highlight w:val="yellow"/>
        </w:rPr>
        <w:t xml:space="preserve">and </w:t>
      </w:r>
      <w:r w:rsidR="00B8521A" w:rsidRPr="00770846">
        <w:rPr>
          <w:rFonts w:asciiTheme="majorHAnsi" w:hAnsiTheme="majorHAnsi" w:cstheme="majorHAnsi"/>
          <w:highlight w:val="yellow"/>
        </w:rPr>
        <w:t>V90, respectively.</w:t>
      </w:r>
    </w:p>
    <w:p w14:paraId="1D6A0025" w14:textId="77777777" w:rsidR="003356EE" w:rsidRPr="00770846" w:rsidRDefault="003356EE" w:rsidP="00770846">
      <w:pPr>
        <w:rPr>
          <w:rFonts w:asciiTheme="majorHAnsi" w:hAnsiTheme="majorHAnsi" w:cstheme="majorHAnsi"/>
          <w:highlight w:val="yellow"/>
        </w:rPr>
      </w:pPr>
    </w:p>
    <w:p w14:paraId="3DDDDCB7" w14:textId="050F949D" w:rsidR="003356EE" w:rsidRPr="00770846" w:rsidRDefault="000F7F15" w:rsidP="00770846">
      <w:pPr>
        <w:pStyle w:val="ListParagraph"/>
        <w:numPr>
          <w:ilvl w:val="2"/>
          <w:numId w:val="31"/>
        </w:numPr>
        <w:ind w:left="0" w:firstLine="0"/>
        <w:rPr>
          <w:rFonts w:asciiTheme="majorHAnsi" w:hAnsiTheme="majorHAnsi" w:cstheme="majorHAnsi"/>
          <w:highlight w:val="yellow"/>
        </w:rPr>
      </w:pPr>
      <w:r w:rsidRPr="00770846">
        <w:rPr>
          <w:rFonts w:asciiTheme="majorHAnsi" w:hAnsiTheme="majorHAnsi" w:cstheme="majorHAnsi"/>
          <w:highlight w:val="yellow"/>
        </w:rPr>
        <w:t>Dete</w:t>
      </w:r>
      <w:r w:rsidR="00130007" w:rsidRPr="00770846">
        <w:rPr>
          <w:rFonts w:asciiTheme="majorHAnsi" w:hAnsiTheme="majorHAnsi" w:cstheme="majorHAnsi"/>
          <w:highlight w:val="yellow"/>
        </w:rPr>
        <w:t>r</w:t>
      </w:r>
      <w:r w:rsidRPr="00770846">
        <w:rPr>
          <w:rFonts w:asciiTheme="majorHAnsi" w:hAnsiTheme="majorHAnsi" w:cstheme="majorHAnsi"/>
          <w:highlight w:val="yellow"/>
        </w:rPr>
        <w:t xml:space="preserve">mine </w:t>
      </w:r>
      <w:r w:rsidR="00262249" w:rsidRPr="00770846">
        <w:rPr>
          <w:rFonts w:asciiTheme="majorHAnsi" w:hAnsiTheme="majorHAnsi" w:cstheme="majorHAnsi"/>
          <w:highlight w:val="yellow"/>
        </w:rPr>
        <w:t xml:space="preserve">the </w:t>
      </w:r>
      <w:r w:rsidR="00925B7D" w:rsidRPr="00770846">
        <w:rPr>
          <w:rFonts w:asciiTheme="majorHAnsi" w:hAnsiTheme="majorHAnsi" w:cstheme="majorHAnsi"/>
          <w:highlight w:val="yellow"/>
        </w:rPr>
        <w:t>isocenter</w:t>
      </w:r>
      <w:r w:rsidR="008036C6" w:rsidRPr="00770846">
        <w:rPr>
          <w:rFonts w:asciiTheme="majorHAnsi" w:hAnsiTheme="majorHAnsi" w:cstheme="majorHAnsi"/>
          <w:highlight w:val="yellow"/>
        </w:rPr>
        <w:t>s</w:t>
      </w:r>
      <w:r w:rsidR="00925B7D" w:rsidRPr="00770846">
        <w:rPr>
          <w:rFonts w:asciiTheme="majorHAnsi" w:hAnsiTheme="majorHAnsi" w:cstheme="majorHAnsi"/>
          <w:highlight w:val="yellow"/>
        </w:rPr>
        <w:t xml:space="preserve"> and </w:t>
      </w:r>
      <w:r w:rsidR="009D3B52" w:rsidRPr="00770846">
        <w:rPr>
          <w:rFonts w:asciiTheme="majorHAnsi" w:hAnsiTheme="majorHAnsi" w:cstheme="majorHAnsi"/>
          <w:highlight w:val="yellow"/>
        </w:rPr>
        <w:t xml:space="preserve">the </w:t>
      </w:r>
      <w:r w:rsidR="00925B7D" w:rsidRPr="00770846">
        <w:rPr>
          <w:rFonts w:asciiTheme="majorHAnsi" w:hAnsiTheme="majorHAnsi" w:cstheme="majorHAnsi"/>
          <w:highlight w:val="yellow"/>
        </w:rPr>
        <w:t xml:space="preserve">jaw dimensions </w:t>
      </w:r>
      <w:r w:rsidR="00A40565" w:rsidRPr="00770846">
        <w:rPr>
          <w:rFonts w:asciiTheme="majorHAnsi" w:hAnsiTheme="majorHAnsi" w:cstheme="majorHAnsi"/>
          <w:highlight w:val="yellow"/>
        </w:rPr>
        <w:t xml:space="preserve">for each beam </w:t>
      </w:r>
      <w:r w:rsidR="009D3B52" w:rsidRPr="00770846">
        <w:rPr>
          <w:rFonts w:asciiTheme="majorHAnsi" w:hAnsiTheme="majorHAnsi" w:cstheme="majorHAnsi"/>
          <w:highlight w:val="yellow"/>
        </w:rPr>
        <w:t>required to guide the</w:t>
      </w:r>
      <w:r w:rsidR="00925B7D" w:rsidRPr="00770846">
        <w:rPr>
          <w:rFonts w:asciiTheme="majorHAnsi" w:hAnsiTheme="majorHAnsi" w:cstheme="majorHAnsi"/>
          <w:highlight w:val="yellow"/>
        </w:rPr>
        <w:t xml:space="preserve"> motori</w:t>
      </w:r>
      <w:r w:rsidR="002C28D2" w:rsidRPr="00770846">
        <w:rPr>
          <w:rFonts w:asciiTheme="majorHAnsi" w:hAnsiTheme="majorHAnsi" w:cstheme="majorHAnsi"/>
          <w:highlight w:val="yellow"/>
        </w:rPr>
        <w:t>z</w:t>
      </w:r>
      <w:r w:rsidR="00925B7D" w:rsidRPr="00770846">
        <w:rPr>
          <w:rFonts w:asciiTheme="majorHAnsi" w:hAnsiTheme="majorHAnsi" w:cstheme="majorHAnsi"/>
          <w:highlight w:val="yellow"/>
        </w:rPr>
        <w:t xml:space="preserve">ed variable collimator </w:t>
      </w:r>
      <w:r w:rsidR="005B680A" w:rsidRPr="00770846">
        <w:rPr>
          <w:rFonts w:asciiTheme="majorHAnsi" w:hAnsiTheme="majorHAnsi" w:cstheme="majorHAnsi"/>
          <w:highlight w:val="yellow"/>
        </w:rPr>
        <w:t>using</w:t>
      </w:r>
      <w:r w:rsidR="00925B7D" w:rsidRPr="00770846">
        <w:rPr>
          <w:rFonts w:asciiTheme="majorHAnsi" w:hAnsiTheme="majorHAnsi" w:cstheme="majorHAnsi"/>
          <w:highlight w:val="yellow"/>
        </w:rPr>
        <w:t xml:space="preserve"> </w:t>
      </w:r>
      <w:r w:rsidR="002C28D2" w:rsidRPr="00770846">
        <w:rPr>
          <w:rFonts w:asciiTheme="majorHAnsi" w:hAnsiTheme="majorHAnsi" w:cstheme="majorHAnsi"/>
          <w:highlight w:val="yellow"/>
        </w:rPr>
        <w:t xml:space="preserve">the </w:t>
      </w:r>
      <w:r w:rsidR="00925B7D" w:rsidRPr="00770846">
        <w:rPr>
          <w:rFonts w:asciiTheme="majorHAnsi" w:hAnsiTheme="majorHAnsi" w:cstheme="majorHAnsi"/>
          <w:highlight w:val="yellow"/>
        </w:rPr>
        <w:t>MATLAB script</w:t>
      </w:r>
      <w:r w:rsidR="001E0835" w:rsidRPr="00770846">
        <w:rPr>
          <w:rFonts w:asciiTheme="majorHAnsi" w:hAnsiTheme="majorHAnsi" w:cstheme="majorHAnsi"/>
          <w:highlight w:val="yellow"/>
        </w:rPr>
        <w:t xml:space="preserve"> (see </w:t>
      </w:r>
      <w:r w:rsidR="00D6306C" w:rsidRPr="00770846">
        <w:rPr>
          <w:rFonts w:asciiTheme="majorHAnsi" w:hAnsiTheme="majorHAnsi" w:cstheme="majorHAnsi"/>
          <w:b/>
          <w:bCs/>
          <w:highlight w:val="yellow"/>
        </w:rPr>
        <w:t>Figure 5</w:t>
      </w:r>
      <w:r w:rsidR="001E0835" w:rsidRPr="00770846">
        <w:rPr>
          <w:rFonts w:asciiTheme="majorHAnsi" w:hAnsiTheme="majorHAnsi" w:cstheme="majorHAnsi"/>
          <w:highlight w:val="yellow"/>
        </w:rPr>
        <w:t>)</w:t>
      </w:r>
      <w:r w:rsidR="00925B7D" w:rsidRPr="00770846">
        <w:rPr>
          <w:rFonts w:asciiTheme="majorHAnsi" w:hAnsiTheme="majorHAnsi" w:cstheme="majorHAnsi"/>
          <w:highlight w:val="yellow"/>
        </w:rPr>
        <w:t xml:space="preserve">. </w:t>
      </w:r>
    </w:p>
    <w:p w14:paraId="6B76C679" w14:textId="77777777" w:rsidR="003356EE" w:rsidRPr="00770846" w:rsidRDefault="003356EE" w:rsidP="00770846">
      <w:pPr>
        <w:rPr>
          <w:rFonts w:asciiTheme="majorHAnsi" w:hAnsiTheme="majorHAnsi" w:cstheme="majorHAnsi"/>
          <w:highlight w:val="yellow"/>
        </w:rPr>
      </w:pPr>
    </w:p>
    <w:p w14:paraId="54F0CDED" w14:textId="36427767" w:rsidR="00262249" w:rsidRPr="00770846" w:rsidRDefault="00E45EBD" w:rsidP="00770846">
      <w:pPr>
        <w:pStyle w:val="ListParagraph"/>
        <w:numPr>
          <w:ilvl w:val="2"/>
          <w:numId w:val="32"/>
        </w:numPr>
        <w:ind w:left="0" w:firstLine="0"/>
        <w:rPr>
          <w:rFonts w:asciiTheme="majorHAnsi" w:hAnsiTheme="majorHAnsi" w:cstheme="majorHAnsi"/>
          <w:highlight w:val="yellow"/>
        </w:rPr>
      </w:pPr>
      <w:r w:rsidRPr="00770846">
        <w:rPr>
          <w:rFonts w:asciiTheme="majorHAnsi" w:hAnsiTheme="majorHAnsi" w:cstheme="majorHAnsi"/>
          <w:highlight w:val="yellow"/>
        </w:rPr>
        <w:t>Use the following settings for the calculated isocenters and jaw dimensions:</w:t>
      </w:r>
    </w:p>
    <w:p w14:paraId="2EEB7A5E" w14:textId="77777777" w:rsidR="00B2653A" w:rsidRPr="00770846" w:rsidRDefault="00B2653A" w:rsidP="00770846">
      <w:pPr>
        <w:pStyle w:val="ListParagraph"/>
        <w:ind w:left="0"/>
        <w:rPr>
          <w:rFonts w:asciiTheme="majorHAnsi" w:hAnsiTheme="majorHAnsi" w:cstheme="majorHAnsi"/>
          <w:highlight w:val="yellow"/>
        </w:rPr>
      </w:pPr>
    </w:p>
    <w:p w14:paraId="731DC3F8" w14:textId="459881FF" w:rsidR="00C012A7" w:rsidRPr="00770846" w:rsidRDefault="00366BEF" w:rsidP="00770846">
      <w:pPr>
        <w:pStyle w:val="ListParagraph"/>
        <w:numPr>
          <w:ilvl w:val="3"/>
          <w:numId w:val="32"/>
        </w:numPr>
        <w:ind w:left="0" w:firstLine="0"/>
        <w:rPr>
          <w:rFonts w:asciiTheme="majorHAnsi" w:hAnsiTheme="majorHAnsi" w:cstheme="majorHAnsi"/>
          <w:highlight w:val="yellow"/>
        </w:rPr>
      </w:pPr>
      <w:r w:rsidRPr="00770846">
        <w:rPr>
          <w:rFonts w:asciiTheme="majorHAnsi" w:hAnsiTheme="majorHAnsi" w:cstheme="majorHAnsi"/>
          <w:highlight w:val="yellow"/>
        </w:rPr>
        <w:t>For V50</w:t>
      </w:r>
      <w:r w:rsidR="00B2653A" w:rsidRPr="00770846">
        <w:rPr>
          <w:rFonts w:asciiTheme="majorHAnsi" w:hAnsiTheme="majorHAnsi" w:cstheme="majorHAnsi"/>
          <w:highlight w:val="yellow"/>
        </w:rPr>
        <w:t xml:space="preserve">, </w:t>
      </w:r>
      <w:r w:rsidR="00273571" w:rsidRPr="00770846">
        <w:rPr>
          <w:rFonts w:asciiTheme="majorHAnsi" w:hAnsiTheme="majorHAnsi" w:cstheme="majorHAnsi"/>
          <w:highlight w:val="yellow"/>
        </w:rPr>
        <w:t xml:space="preserve">give </w:t>
      </w:r>
      <w:r w:rsidR="00CC43F4" w:rsidRPr="00770846">
        <w:rPr>
          <w:rFonts w:asciiTheme="majorHAnsi" w:hAnsiTheme="majorHAnsi" w:cstheme="majorHAnsi"/>
          <w:highlight w:val="yellow"/>
        </w:rPr>
        <w:t xml:space="preserve">a prescribed dose of 2000 </w:t>
      </w:r>
      <w:proofErr w:type="spellStart"/>
      <w:r w:rsidR="00CC43F4" w:rsidRPr="00770846">
        <w:rPr>
          <w:rFonts w:asciiTheme="majorHAnsi" w:hAnsiTheme="majorHAnsi" w:cstheme="majorHAnsi"/>
          <w:highlight w:val="yellow"/>
        </w:rPr>
        <w:t>cGy</w:t>
      </w:r>
      <w:proofErr w:type="spellEnd"/>
      <w:r w:rsidR="00CC43F4" w:rsidRPr="00770846">
        <w:rPr>
          <w:rFonts w:asciiTheme="majorHAnsi" w:hAnsiTheme="majorHAnsi" w:cstheme="majorHAnsi"/>
          <w:highlight w:val="yellow"/>
        </w:rPr>
        <w:t xml:space="preserve"> distributed over 16 beams</w:t>
      </w:r>
      <w:r w:rsidR="00F6425D" w:rsidRPr="00770846">
        <w:rPr>
          <w:rFonts w:asciiTheme="majorHAnsi" w:hAnsiTheme="majorHAnsi" w:cstheme="majorHAnsi"/>
          <w:highlight w:val="yellow"/>
        </w:rPr>
        <w:t xml:space="preserve"> (each 125 </w:t>
      </w:r>
      <w:proofErr w:type="spellStart"/>
      <w:r w:rsidR="00F6425D" w:rsidRPr="00770846">
        <w:rPr>
          <w:rFonts w:asciiTheme="majorHAnsi" w:hAnsiTheme="majorHAnsi" w:cstheme="majorHAnsi"/>
          <w:highlight w:val="yellow"/>
        </w:rPr>
        <w:t>cGy</w:t>
      </w:r>
      <w:proofErr w:type="spellEnd"/>
      <w:r w:rsidR="00B2653A" w:rsidRPr="00770846">
        <w:rPr>
          <w:rFonts w:asciiTheme="majorHAnsi" w:hAnsiTheme="majorHAnsi" w:cstheme="majorHAnsi"/>
          <w:highlight w:val="yellow"/>
        </w:rPr>
        <w:t xml:space="preserve">; </w:t>
      </w:r>
      <w:r w:rsidR="00D6306C" w:rsidRPr="00770846">
        <w:rPr>
          <w:rFonts w:asciiTheme="majorHAnsi" w:hAnsiTheme="majorHAnsi" w:cstheme="majorHAnsi"/>
          <w:highlight w:val="yellow"/>
        </w:rPr>
        <w:t xml:space="preserve">couch and gantry positions in </w:t>
      </w:r>
      <w:r w:rsidR="00F6425D" w:rsidRPr="00770846">
        <w:rPr>
          <w:rFonts w:asciiTheme="majorHAnsi" w:hAnsiTheme="majorHAnsi" w:cstheme="majorHAnsi"/>
          <w:b/>
          <w:bCs/>
          <w:highlight w:val="yellow"/>
        </w:rPr>
        <w:t xml:space="preserve">Table </w:t>
      </w:r>
      <w:r w:rsidR="00EB525F" w:rsidRPr="00770846">
        <w:rPr>
          <w:rFonts w:asciiTheme="majorHAnsi" w:hAnsiTheme="majorHAnsi" w:cstheme="majorHAnsi"/>
          <w:b/>
          <w:bCs/>
          <w:highlight w:val="yellow"/>
        </w:rPr>
        <w:t>2</w:t>
      </w:r>
      <w:r w:rsidR="00F6425D" w:rsidRPr="00770846">
        <w:rPr>
          <w:rFonts w:asciiTheme="majorHAnsi" w:hAnsiTheme="majorHAnsi" w:cstheme="majorHAnsi"/>
          <w:highlight w:val="yellow"/>
        </w:rPr>
        <w:t>)</w:t>
      </w:r>
      <w:r w:rsidR="00425596" w:rsidRPr="00770846">
        <w:rPr>
          <w:rFonts w:asciiTheme="majorHAnsi" w:hAnsiTheme="majorHAnsi" w:cstheme="majorHAnsi"/>
          <w:highlight w:val="yellow"/>
        </w:rPr>
        <w:t xml:space="preserve">. Use the calculated </w:t>
      </w:r>
      <w:r w:rsidR="0051753B" w:rsidRPr="00770846">
        <w:rPr>
          <w:rFonts w:asciiTheme="majorHAnsi" w:hAnsiTheme="majorHAnsi" w:cstheme="majorHAnsi"/>
          <w:highlight w:val="yellow"/>
        </w:rPr>
        <w:t>jaw dimensions</w:t>
      </w:r>
      <w:r w:rsidR="00BA737C" w:rsidRPr="00770846">
        <w:rPr>
          <w:rFonts w:asciiTheme="majorHAnsi" w:hAnsiTheme="majorHAnsi" w:cstheme="majorHAnsi"/>
          <w:highlight w:val="yellow"/>
        </w:rPr>
        <w:t xml:space="preserve"> for the</w:t>
      </w:r>
      <w:r w:rsidR="00942699" w:rsidRPr="00770846">
        <w:rPr>
          <w:rFonts w:asciiTheme="majorHAnsi" w:hAnsiTheme="majorHAnsi" w:cstheme="majorHAnsi"/>
          <w:highlight w:val="yellow"/>
        </w:rPr>
        <w:t xml:space="preserve"> </w:t>
      </w:r>
      <w:r w:rsidR="00BA737C" w:rsidRPr="00770846">
        <w:rPr>
          <w:rFonts w:asciiTheme="majorHAnsi" w:hAnsiTheme="majorHAnsi" w:cstheme="majorHAnsi"/>
          <w:highlight w:val="yellow"/>
        </w:rPr>
        <w:t xml:space="preserve">MVC. </w:t>
      </w:r>
    </w:p>
    <w:p w14:paraId="6AE04F08" w14:textId="77777777" w:rsidR="00C012A7" w:rsidRPr="00770846" w:rsidRDefault="00C012A7" w:rsidP="00770846">
      <w:pPr>
        <w:pStyle w:val="ListParagraph"/>
        <w:ind w:left="0"/>
        <w:rPr>
          <w:rFonts w:asciiTheme="majorHAnsi" w:hAnsiTheme="majorHAnsi" w:cstheme="majorHAnsi"/>
          <w:highlight w:val="yellow"/>
        </w:rPr>
      </w:pPr>
    </w:p>
    <w:p w14:paraId="1E9C762C" w14:textId="7171CFDF" w:rsidR="00F932F1" w:rsidRPr="00770846" w:rsidRDefault="00C012A7" w:rsidP="00770846">
      <w:pPr>
        <w:pStyle w:val="ListParagraph"/>
        <w:ind w:left="0"/>
        <w:rPr>
          <w:rFonts w:asciiTheme="majorHAnsi" w:hAnsiTheme="majorHAnsi" w:cstheme="majorHAnsi"/>
        </w:rPr>
      </w:pPr>
      <w:r w:rsidRPr="00770846">
        <w:rPr>
          <w:rFonts w:asciiTheme="majorHAnsi" w:hAnsiTheme="majorHAnsi" w:cstheme="majorHAnsi"/>
        </w:rPr>
        <w:t xml:space="preserve">NOTE: </w:t>
      </w:r>
      <w:r w:rsidR="0045377D" w:rsidRPr="00770846">
        <w:rPr>
          <w:rFonts w:asciiTheme="majorHAnsi" w:hAnsiTheme="majorHAnsi" w:cstheme="majorHAnsi"/>
        </w:rPr>
        <w:t>Here, a</w:t>
      </w:r>
      <w:r w:rsidR="00BA737C" w:rsidRPr="00770846">
        <w:rPr>
          <w:rFonts w:asciiTheme="majorHAnsi" w:hAnsiTheme="majorHAnsi" w:cstheme="majorHAnsi"/>
        </w:rPr>
        <w:t>n additional margin of 1 mm has been included to account for microscopic tumor infiltration.</w:t>
      </w:r>
    </w:p>
    <w:p w14:paraId="2F628B13" w14:textId="77777777" w:rsidR="00E54D6F" w:rsidRPr="00770846" w:rsidRDefault="00E54D6F" w:rsidP="00770846">
      <w:pPr>
        <w:pStyle w:val="ListParagraph"/>
        <w:ind w:left="0"/>
        <w:rPr>
          <w:rFonts w:asciiTheme="majorHAnsi" w:hAnsiTheme="majorHAnsi" w:cstheme="majorHAnsi"/>
          <w:highlight w:val="yellow"/>
        </w:rPr>
      </w:pPr>
    </w:p>
    <w:p w14:paraId="443EA7E7" w14:textId="06BFE34A" w:rsidR="00BC2788" w:rsidRPr="00770846" w:rsidRDefault="00366BEF" w:rsidP="00770846">
      <w:pPr>
        <w:pStyle w:val="ListParagraph"/>
        <w:numPr>
          <w:ilvl w:val="3"/>
          <w:numId w:val="32"/>
        </w:numPr>
        <w:ind w:left="0" w:firstLine="0"/>
        <w:rPr>
          <w:rFonts w:asciiTheme="majorHAnsi" w:hAnsiTheme="majorHAnsi" w:cstheme="majorHAnsi"/>
          <w:highlight w:val="yellow"/>
        </w:rPr>
      </w:pPr>
      <w:r w:rsidRPr="00770846">
        <w:rPr>
          <w:rFonts w:asciiTheme="majorHAnsi" w:hAnsiTheme="majorHAnsi" w:cstheme="majorHAnsi"/>
          <w:highlight w:val="yellow"/>
        </w:rPr>
        <w:t>For V60</w:t>
      </w:r>
      <w:r w:rsidR="006D3075" w:rsidRPr="00770846">
        <w:rPr>
          <w:rFonts w:asciiTheme="majorHAnsi" w:hAnsiTheme="majorHAnsi" w:cstheme="majorHAnsi"/>
          <w:highlight w:val="yellow"/>
        </w:rPr>
        <w:t>–</w:t>
      </w:r>
      <w:r w:rsidRPr="00770846">
        <w:rPr>
          <w:rFonts w:asciiTheme="majorHAnsi" w:hAnsiTheme="majorHAnsi" w:cstheme="majorHAnsi"/>
          <w:highlight w:val="yellow"/>
        </w:rPr>
        <w:t>V90</w:t>
      </w:r>
      <w:r w:rsidR="006D3075" w:rsidRPr="00770846">
        <w:rPr>
          <w:rFonts w:asciiTheme="majorHAnsi" w:hAnsiTheme="majorHAnsi" w:cstheme="majorHAnsi"/>
          <w:highlight w:val="yellow"/>
        </w:rPr>
        <w:t xml:space="preserve">, </w:t>
      </w:r>
      <w:r w:rsidR="00ED686D" w:rsidRPr="00770846">
        <w:rPr>
          <w:rFonts w:asciiTheme="majorHAnsi" w:hAnsiTheme="majorHAnsi" w:cstheme="majorHAnsi"/>
          <w:highlight w:val="yellow"/>
        </w:rPr>
        <w:t xml:space="preserve">give a prescribed dose of 800 </w:t>
      </w:r>
      <w:proofErr w:type="spellStart"/>
      <w:r w:rsidR="00ED686D" w:rsidRPr="00770846">
        <w:rPr>
          <w:rFonts w:asciiTheme="majorHAnsi" w:hAnsiTheme="majorHAnsi" w:cstheme="majorHAnsi"/>
          <w:highlight w:val="yellow"/>
        </w:rPr>
        <w:t>cGy</w:t>
      </w:r>
      <w:proofErr w:type="spellEnd"/>
      <w:r w:rsidR="00ED686D" w:rsidRPr="00770846">
        <w:rPr>
          <w:rFonts w:asciiTheme="majorHAnsi" w:hAnsiTheme="majorHAnsi" w:cstheme="majorHAnsi"/>
          <w:highlight w:val="yellow"/>
        </w:rPr>
        <w:t xml:space="preserve"> distributed over 40 beams (each 20 </w:t>
      </w:r>
      <w:proofErr w:type="spellStart"/>
      <w:r w:rsidR="00ED686D" w:rsidRPr="00770846">
        <w:rPr>
          <w:rFonts w:asciiTheme="majorHAnsi" w:hAnsiTheme="majorHAnsi" w:cstheme="majorHAnsi"/>
          <w:highlight w:val="yellow"/>
        </w:rPr>
        <w:t>cGy</w:t>
      </w:r>
      <w:proofErr w:type="spellEnd"/>
      <w:r w:rsidR="006D3075" w:rsidRPr="00770846">
        <w:rPr>
          <w:rFonts w:asciiTheme="majorHAnsi" w:hAnsiTheme="majorHAnsi" w:cstheme="majorHAnsi"/>
          <w:highlight w:val="yellow"/>
        </w:rPr>
        <w:t>;</w:t>
      </w:r>
      <w:r w:rsidR="00BA737C" w:rsidRPr="00770846">
        <w:rPr>
          <w:rFonts w:asciiTheme="majorHAnsi" w:hAnsiTheme="majorHAnsi" w:cstheme="majorHAnsi"/>
          <w:highlight w:val="yellow"/>
        </w:rPr>
        <w:t xml:space="preserve"> couch and gantry positions in</w:t>
      </w:r>
      <w:r w:rsidR="00ED686D" w:rsidRPr="00770846">
        <w:rPr>
          <w:rFonts w:asciiTheme="majorHAnsi" w:hAnsiTheme="majorHAnsi" w:cstheme="majorHAnsi"/>
          <w:highlight w:val="yellow"/>
        </w:rPr>
        <w:t xml:space="preserve"> </w:t>
      </w:r>
      <w:r w:rsidR="00ED686D" w:rsidRPr="00770846">
        <w:rPr>
          <w:rFonts w:asciiTheme="majorHAnsi" w:hAnsiTheme="majorHAnsi" w:cstheme="majorHAnsi"/>
          <w:b/>
          <w:bCs/>
          <w:highlight w:val="yellow"/>
        </w:rPr>
        <w:t xml:space="preserve">Table </w:t>
      </w:r>
      <w:r w:rsidR="00EB525F" w:rsidRPr="00770846">
        <w:rPr>
          <w:rFonts w:asciiTheme="majorHAnsi" w:hAnsiTheme="majorHAnsi" w:cstheme="majorHAnsi"/>
          <w:b/>
          <w:bCs/>
          <w:highlight w:val="yellow"/>
        </w:rPr>
        <w:t>2</w:t>
      </w:r>
      <w:r w:rsidR="00ED686D" w:rsidRPr="00770846">
        <w:rPr>
          <w:rFonts w:asciiTheme="majorHAnsi" w:hAnsiTheme="majorHAnsi" w:cstheme="majorHAnsi"/>
          <w:highlight w:val="yellow"/>
        </w:rPr>
        <w:t xml:space="preserve">). Use the calculated </w:t>
      </w:r>
      <w:r w:rsidR="0045377D" w:rsidRPr="00770846">
        <w:rPr>
          <w:rFonts w:asciiTheme="majorHAnsi" w:hAnsiTheme="majorHAnsi" w:cstheme="majorHAnsi"/>
          <w:highlight w:val="yellow"/>
        </w:rPr>
        <w:t>jaw dimensions</w:t>
      </w:r>
      <w:r w:rsidR="00BA737C" w:rsidRPr="00770846">
        <w:rPr>
          <w:rFonts w:asciiTheme="majorHAnsi" w:hAnsiTheme="majorHAnsi" w:cstheme="majorHAnsi"/>
          <w:highlight w:val="yellow"/>
        </w:rPr>
        <w:t xml:space="preserve"> for the MVC</w:t>
      </w:r>
      <w:r w:rsidR="00ED686D" w:rsidRPr="00770846">
        <w:rPr>
          <w:rFonts w:asciiTheme="majorHAnsi" w:hAnsiTheme="majorHAnsi" w:cstheme="majorHAnsi"/>
          <w:highlight w:val="yellow"/>
        </w:rPr>
        <w:t>.</w:t>
      </w:r>
    </w:p>
    <w:p w14:paraId="0028FD2B" w14:textId="77777777" w:rsidR="003356EE" w:rsidRPr="00770846" w:rsidRDefault="003356EE" w:rsidP="00770846">
      <w:pPr>
        <w:rPr>
          <w:rFonts w:asciiTheme="majorHAnsi" w:hAnsiTheme="majorHAnsi" w:cstheme="majorHAnsi"/>
          <w:highlight w:val="yellow"/>
        </w:rPr>
      </w:pPr>
    </w:p>
    <w:p w14:paraId="6C2FC3C0" w14:textId="7F5E8853" w:rsidR="000F7F15" w:rsidRPr="00770846" w:rsidRDefault="00F72E9C" w:rsidP="00770846">
      <w:pPr>
        <w:pStyle w:val="ListParagraph"/>
        <w:numPr>
          <w:ilvl w:val="2"/>
          <w:numId w:val="32"/>
        </w:numPr>
        <w:ind w:left="0" w:firstLine="0"/>
        <w:rPr>
          <w:rFonts w:asciiTheme="majorHAnsi" w:hAnsiTheme="majorHAnsi" w:cstheme="majorHAnsi"/>
          <w:highlight w:val="yellow"/>
        </w:rPr>
      </w:pPr>
      <w:r w:rsidRPr="00770846">
        <w:rPr>
          <w:rFonts w:asciiTheme="majorHAnsi" w:hAnsiTheme="majorHAnsi" w:cstheme="majorHAnsi"/>
          <w:highlight w:val="yellow"/>
        </w:rPr>
        <w:t>Calculate the dose distribution within the animal and the beam delivery parameters</w:t>
      </w:r>
      <w:r w:rsidR="006D3B54" w:rsidRPr="00770846">
        <w:rPr>
          <w:rFonts w:asciiTheme="majorHAnsi" w:hAnsiTheme="majorHAnsi" w:cstheme="majorHAnsi"/>
          <w:highlight w:val="yellow"/>
        </w:rPr>
        <w:t>.</w:t>
      </w:r>
    </w:p>
    <w:p w14:paraId="6A7CAF03" w14:textId="77777777" w:rsidR="00180292" w:rsidRPr="00770846" w:rsidRDefault="00180292" w:rsidP="00770846">
      <w:pPr>
        <w:rPr>
          <w:rFonts w:asciiTheme="majorHAnsi" w:hAnsiTheme="majorHAnsi" w:cstheme="majorHAnsi"/>
        </w:rPr>
      </w:pPr>
    </w:p>
    <w:p w14:paraId="1417ECEC" w14:textId="694EF877" w:rsidR="00B45B6B" w:rsidRPr="00660E39" w:rsidRDefault="00DE20E8" w:rsidP="00770846">
      <w:pPr>
        <w:pStyle w:val="ListParagraph"/>
        <w:numPr>
          <w:ilvl w:val="0"/>
          <w:numId w:val="32"/>
        </w:numPr>
        <w:ind w:left="0" w:firstLine="0"/>
        <w:rPr>
          <w:rFonts w:asciiTheme="majorHAnsi" w:hAnsiTheme="majorHAnsi" w:cstheme="majorHAnsi"/>
          <w:b/>
          <w:bCs/>
        </w:rPr>
      </w:pPr>
      <w:r w:rsidRPr="00660E39">
        <w:rPr>
          <w:rFonts w:asciiTheme="majorHAnsi" w:hAnsiTheme="majorHAnsi" w:cstheme="majorHAnsi"/>
          <w:b/>
          <w:bCs/>
        </w:rPr>
        <w:t xml:space="preserve">Plan </w:t>
      </w:r>
      <w:r w:rsidR="007A6140" w:rsidRPr="00660E39">
        <w:rPr>
          <w:rFonts w:asciiTheme="majorHAnsi" w:hAnsiTheme="majorHAnsi" w:cstheme="majorHAnsi"/>
          <w:b/>
          <w:bCs/>
        </w:rPr>
        <w:t>e</w:t>
      </w:r>
      <w:r w:rsidRPr="00660E39">
        <w:rPr>
          <w:rFonts w:asciiTheme="majorHAnsi" w:hAnsiTheme="majorHAnsi" w:cstheme="majorHAnsi"/>
          <w:b/>
          <w:bCs/>
        </w:rPr>
        <w:t>valuation</w:t>
      </w:r>
    </w:p>
    <w:p w14:paraId="10EED3F9" w14:textId="5D6CF52A" w:rsidR="001D34BB" w:rsidRPr="00660E39" w:rsidRDefault="001D34BB" w:rsidP="00770846">
      <w:pPr>
        <w:rPr>
          <w:rFonts w:asciiTheme="majorHAnsi" w:hAnsiTheme="majorHAnsi" w:cstheme="majorHAnsi"/>
        </w:rPr>
      </w:pPr>
    </w:p>
    <w:p w14:paraId="38064292" w14:textId="4D41D781" w:rsidR="001D34BB" w:rsidRPr="00660E39" w:rsidRDefault="00E8734E" w:rsidP="00770846">
      <w:pPr>
        <w:rPr>
          <w:rFonts w:asciiTheme="majorHAnsi" w:hAnsiTheme="majorHAnsi" w:cstheme="majorHAnsi"/>
        </w:rPr>
      </w:pPr>
      <w:r w:rsidRPr="00660E39">
        <w:rPr>
          <w:rFonts w:asciiTheme="majorHAnsi" w:hAnsiTheme="majorHAnsi" w:cstheme="majorHAnsi"/>
        </w:rPr>
        <w:t xml:space="preserve">NOTE: </w:t>
      </w:r>
      <w:r w:rsidR="001D34BB" w:rsidRPr="00660E39">
        <w:rPr>
          <w:rFonts w:asciiTheme="majorHAnsi" w:hAnsiTheme="majorHAnsi" w:cstheme="majorHAnsi"/>
        </w:rPr>
        <w:t>To compare the two methods, calculate the dose-volume histograms</w:t>
      </w:r>
      <w:r w:rsidR="0072486A" w:rsidRPr="00660E39">
        <w:rPr>
          <w:rFonts w:asciiTheme="majorHAnsi" w:hAnsiTheme="majorHAnsi" w:cstheme="majorHAnsi"/>
        </w:rPr>
        <w:t xml:space="preserve"> (DVH)</w:t>
      </w:r>
      <w:r w:rsidR="007A50B4" w:rsidRPr="00660E39">
        <w:rPr>
          <w:rFonts w:asciiTheme="majorHAnsi" w:hAnsiTheme="majorHAnsi" w:cstheme="majorHAnsi"/>
        </w:rPr>
        <w:t xml:space="preserve"> and </w:t>
      </w:r>
      <w:r w:rsidR="001D34BB" w:rsidRPr="00660E39">
        <w:rPr>
          <w:rFonts w:asciiTheme="majorHAnsi" w:hAnsiTheme="majorHAnsi" w:cstheme="majorHAnsi"/>
        </w:rPr>
        <w:t>Q-volume histogram</w:t>
      </w:r>
      <w:r w:rsidR="0072486A" w:rsidRPr="00660E39">
        <w:rPr>
          <w:rFonts w:asciiTheme="majorHAnsi" w:hAnsiTheme="majorHAnsi" w:cstheme="majorHAnsi"/>
        </w:rPr>
        <w:t xml:space="preserve"> (QVH)</w:t>
      </w:r>
      <w:r w:rsidR="005C6501" w:rsidRPr="00660E39">
        <w:rPr>
          <w:rFonts w:asciiTheme="majorHAnsi" w:hAnsiTheme="majorHAnsi" w:cstheme="majorHAnsi"/>
        </w:rPr>
        <w:t xml:space="preserve"> in the V50 PET volume</w:t>
      </w:r>
      <w:r w:rsidR="00300634" w:rsidRPr="00660E39">
        <w:rPr>
          <w:rFonts w:asciiTheme="majorHAnsi" w:hAnsiTheme="majorHAnsi" w:cstheme="majorHAnsi"/>
        </w:rPr>
        <w:t xml:space="preserve">. </w:t>
      </w:r>
      <w:r w:rsidR="007A50B4" w:rsidRPr="00660E39">
        <w:rPr>
          <w:rFonts w:asciiTheme="majorHAnsi" w:hAnsiTheme="majorHAnsi" w:cstheme="majorHAnsi"/>
        </w:rPr>
        <w:t>Here, a</w:t>
      </w:r>
      <w:r w:rsidR="00300634" w:rsidRPr="00660E39">
        <w:rPr>
          <w:rFonts w:asciiTheme="majorHAnsi" w:hAnsiTheme="majorHAnsi" w:cstheme="majorHAnsi"/>
        </w:rPr>
        <w:t xml:space="preserve"> MATLAB script</w:t>
      </w:r>
      <w:r w:rsidR="007A50B4" w:rsidRPr="00660E39">
        <w:rPr>
          <w:rFonts w:asciiTheme="majorHAnsi" w:hAnsiTheme="majorHAnsi" w:cstheme="majorHAnsi"/>
        </w:rPr>
        <w:t>, developed</w:t>
      </w:r>
      <w:r w:rsidR="00300634" w:rsidRPr="00660E39">
        <w:rPr>
          <w:rFonts w:asciiTheme="majorHAnsi" w:hAnsiTheme="majorHAnsi" w:cstheme="majorHAnsi"/>
        </w:rPr>
        <w:t xml:space="preserve"> </w:t>
      </w:r>
      <w:r w:rsidR="007A50B4" w:rsidRPr="00660E39">
        <w:rPr>
          <w:rFonts w:asciiTheme="majorHAnsi" w:hAnsiTheme="majorHAnsi" w:cstheme="majorHAnsi"/>
        </w:rPr>
        <w:t xml:space="preserve">in-house, </w:t>
      </w:r>
      <w:r w:rsidR="00300634" w:rsidRPr="00660E39">
        <w:rPr>
          <w:rFonts w:asciiTheme="majorHAnsi" w:hAnsiTheme="majorHAnsi" w:cstheme="majorHAnsi"/>
        </w:rPr>
        <w:t xml:space="preserve">was used. </w:t>
      </w:r>
      <w:r w:rsidRPr="00660E39">
        <w:rPr>
          <w:rFonts w:asciiTheme="majorHAnsi" w:hAnsiTheme="majorHAnsi" w:cstheme="majorHAnsi"/>
        </w:rPr>
        <w:t xml:space="preserve">The code can be found on </w:t>
      </w:r>
      <w:proofErr w:type="spellStart"/>
      <w:r w:rsidRPr="00660E39">
        <w:rPr>
          <w:rFonts w:asciiTheme="majorHAnsi" w:hAnsiTheme="majorHAnsi" w:cstheme="majorHAnsi"/>
        </w:rPr>
        <w:t>Github</w:t>
      </w:r>
      <w:proofErr w:type="spellEnd"/>
      <w:r w:rsidRPr="00660E39">
        <w:rPr>
          <w:rFonts w:asciiTheme="majorHAnsi" w:hAnsiTheme="majorHAnsi" w:cstheme="majorHAnsi"/>
        </w:rPr>
        <w:t xml:space="preserve"> at </w:t>
      </w:r>
      <w:r w:rsidR="00D604B8" w:rsidRPr="00660E39">
        <w:rPr>
          <w:rFonts w:asciiTheme="majorHAnsi" w:hAnsiTheme="majorHAnsi" w:cstheme="majorHAnsi"/>
        </w:rPr>
        <w:t>https://github.com/sdonche/DosePainting.</w:t>
      </w:r>
      <w:r w:rsidR="00FA3607" w:rsidRPr="00660E39">
        <w:rPr>
          <w:rFonts w:asciiTheme="majorHAnsi" w:hAnsiTheme="majorHAnsi" w:cstheme="majorHAnsi"/>
        </w:rPr>
        <w:t xml:space="preserve"> </w:t>
      </w:r>
    </w:p>
    <w:p w14:paraId="4ECB9F7D" w14:textId="507E0044" w:rsidR="00300634" w:rsidRPr="00660E39" w:rsidRDefault="00300634" w:rsidP="00770846">
      <w:pPr>
        <w:rPr>
          <w:rFonts w:asciiTheme="majorHAnsi" w:hAnsiTheme="majorHAnsi" w:cstheme="majorHAnsi"/>
        </w:rPr>
      </w:pPr>
    </w:p>
    <w:p w14:paraId="4FE24F09" w14:textId="71F55431" w:rsidR="00CA012A" w:rsidRPr="00660E39" w:rsidRDefault="00CA012A" w:rsidP="00770846">
      <w:pPr>
        <w:pStyle w:val="ListParagraph"/>
        <w:numPr>
          <w:ilvl w:val="1"/>
          <w:numId w:val="33"/>
        </w:numPr>
        <w:ind w:left="0" w:firstLine="0"/>
        <w:rPr>
          <w:rFonts w:asciiTheme="majorHAnsi" w:hAnsiTheme="majorHAnsi" w:cstheme="majorHAnsi"/>
        </w:rPr>
      </w:pPr>
      <w:r w:rsidRPr="00660E39">
        <w:rPr>
          <w:rFonts w:asciiTheme="majorHAnsi" w:hAnsiTheme="majorHAnsi" w:cstheme="majorHAnsi"/>
        </w:rPr>
        <w:t xml:space="preserve">Dose-volume </w:t>
      </w:r>
      <w:r w:rsidR="007A50B4" w:rsidRPr="00660E39">
        <w:rPr>
          <w:rFonts w:asciiTheme="majorHAnsi" w:hAnsiTheme="majorHAnsi" w:cstheme="majorHAnsi"/>
        </w:rPr>
        <w:t>h</w:t>
      </w:r>
      <w:r w:rsidRPr="00660E39">
        <w:rPr>
          <w:rFonts w:asciiTheme="majorHAnsi" w:hAnsiTheme="majorHAnsi" w:cstheme="majorHAnsi"/>
        </w:rPr>
        <w:t>istogram</w:t>
      </w:r>
    </w:p>
    <w:p w14:paraId="3084DBD3" w14:textId="77777777" w:rsidR="005C0356" w:rsidRPr="00660E39" w:rsidRDefault="005C0356" w:rsidP="00770846">
      <w:pPr>
        <w:rPr>
          <w:rFonts w:asciiTheme="majorHAnsi" w:hAnsiTheme="majorHAnsi" w:cstheme="majorHAnsi"/>
          <w:b/>
          <w:bCs/>
        </w:rPr>
      </w:pPr>
    </w:p>
    <w:p w14:paraId="15574C48" w14:textId="2ABCF81A" w:rsidR="00CA012A" w:rsidRPr="00660E39" w:rsidRDefault="00E75BCD" w:rsidP="00770846">
      <w:pPr>
        <w:rPr>
          <w:rFonts w:asciiTheme="majorHAnsi" w:hAnsiTheme="majorHAnsi" w:cstheme="majorHAnsi"/>
        </w:rPr>
      </w:pPr>
      <w:r w:rsidRPr="00660E39">
        <w:rPr>
          <w:rFonts w:asciiTheme="majorHAnsi" w:hAnsiTheme="majorHAnsi" w:cstheme="majorHAnsi"/>
        </w:rPr>
        <w:t xml:space="preserve">6.1.1. </w:t>
      </w:r>
      <w:r w:rsidR="00407869" w:rsidRPr="00660E39">
        <w:rPr>
          <w:rFonts w:asciiTheme="majorHAnsi" w:hAnsiTheme="majorHAnsi" w:cstheme="majorHAnsi"/>
        </w:rPr>
        <w:t>Generate DVH from the dose distribution that was obtained from the SARRP</w:t>
      </w:r>
      <w:r w:rsidR="0031221F" w:rsidRPr="00660E39">
        <w:rPr>
          <w:rFonts w:asciiTheme="majorHAnsi" w:hAnsiTheme="majorHAnsi" w:cstheme="majorHAnsi"/>
        </w:rPr>
        <w:t>.</w:t>
      </w:r>
    </w:p>
    <w:p w14:paraId="2E86CD18" w14:textId="77777777" w:rsidR="005C0356" w:rsidRPr="00660E39" w:rsidRDefault="005C0356" w:rsidP="00770846">
      <w:pPr>
        <w:rPr>
          <w:rFonts w:asciiTheme="majorHAnsi" w:hAnsiTheme="majorHAnsi" w:cstheme="majorHAnsi"/>
        </w:rPr>
      </w:pPr>
    </w:p>
    <w:p w14:paraId="0BBB28BE" w14:textId="36A3380C" w:rsidR="0031221F" w:rsidRPr="00660E39" w:rsidRDefault="00E75BCD" w:rsidP="00770846">
      <w:pPr>
        <w:pStyle w:val="ListParagraph"/>
        <w:ind w:left="0"/>
        <w:rPr>
          <w:rFonts w:asciiTheme="majorHAnsi" w:hAnsiTheme="majorHAnsi" w:cstheme="majorHAnsi"/>
        </w:rPr>
      </w:pPr>
      <w:r w:rsidRPr="00660E39">
        <w:rPr>
          <w:rFonts w:asciiTheme="majorHAnsi" w:hAnsiTheme="majorHAnsi" w:cstheme="majorHAnsi"/>
        </w:rPr>
        <w:t xml:space="preserve">6.1.2. </w:t>
      </w:r>
      <w:r w:rsidR="00392E3D" w:rsidRPr="00660E39">
        <w:rPr>
          <w:rFonts w:asciiTheme="majorHAnsi" w:hAnsiTheme="majorHAnsi" w:cstheme="majorHAnsi"/>
        </w:rPr>
        <w:t xml:space="preserve">Determine the </w:t>
      </w:r>
      <w:r w:rsidR="005E4827" w:rsidRPr="00660E39">
        <w:rPr>
          <w:rFonts w:asciiTheme="majorHAnsi" w:hAnsiTheme="majorHAnsi" w:cstheme="majorHAnsi"/>
        </w:rPr>
        <w:t xml:space="preserve">maximum, </w:t>
      </w:r>
      <w:r w:rsidR="00392E3D" w:rsidRPr="00660E39">
        <w:rPr>
          <w:rFonts w:asciiTheme="majorHAnsi" w:hAnsiTheme="majorHAnsi" w:cstheme="majorHAnsi"/>
        </w:rPr>
        <w:t>mean, and minimum dose</w:t>
      </w:r>
      <w:r w:rsidR="00974BD0" w:rsidRPr="00660E39">
        <w:rPr>
          <w:rFonts w:asciiTheme="majorHAnsi" w:hAnsiTheme="majorHAnsi" w:cstheme="majorHAnsi"/>
        </w:rPr>
        <w:t>s</w:t>
      </w:r>
      <w:r w:rsidR="00392E3D" w:rsidRPr="00660E39">
        <w:rPr>
          <w:rFonts w:asciiTheme="majorHAnsi" w:hAnsiTheme="majorHAnsi" w:cstheme="majorHAnsi"/>
        </w:rPr>
        <w:t xml:space="preserve"> </w:t>
      </w:r>
      <w:r w:rsidR="007425D6" w:rsidRPr="00660E39">
        <w:rPr>
          <w:rFonts w:asciiTheme="majorHAnsi" w:hAnsiTheme="majorHAnsi" w:cstheme="majorHAnsi"/>
        </w:rPr>
        <w:t xml:space="preserve">from the DVH </w:t>
      </w:r>
      <w:r w:rsidR="00392E3D" w:rsidRPr="00660E39">
        <w:rPr>
          <w:rFonts w:asciiTheme="majorHAnsi" w:hAnsiTheme="majorHAnsi" w:cstheme="majorHAnsi"/>
        </w:rPr>
        <w:t>by calculating the D</w:t>
      </w:r>
      <w:r w:rsidR="005E4827" w:rsidRPr="00660E39">
        <w:rPr>
          <w:rFonts w:asciiTheme="majorHAnsi" w:hAnsiTheme="majorHAnsi" w:cstheme="majorHAnsi"/>
          <w:vertAlign w:val="subscript"/>
        </w:rPr>
        <w:t>10</w:t>
      </w:r>
      <w:r w:rsidR="00392E3D" w:rsidRPr="00660E39">
        <w:rPr>
          <w:rFonts w:asciiTheme="majorHAnsi" w:hAnsiTheme="majorHAnsi" w:cstheme="majorHAnsi"/>
        </w:rPr>
        <w:t>, D</w:t>
      </w:r>
      <w:r w:rsidR="00392E3D" w:rsidRPr="00660E39">
        <w:rPr>
          <w:rFonts w:asciiTheme="majorHAnsi" w:hAnsiTheme="majorHAnsi" w:cstheme="majorHAnsi"/>
          <w:vertAlign w:val="subscript"/>
        </w:rPr>
        <w:t>50</w:t>
      </w:r>
      <w:r w:rsidR="00974BD0" w:rsidRPr="00660E39">
        <w:rPr>
          <w:rFonts w:asciiTheme="majorHAnsi" w:hAnsiTheme="majorHAnsi" w:cstheme="majorHAnsi"/>
        </w:rPr>
        <w:t>,</w:t>
      </w:r>
      <w:r w:rsidR="00392E3D" w:rsidRPr="00660E39">
        <w:rPr>
          <w:rFonts w:asciiTheme="majorHAnsi" w:hAnsiTheme="majorHAnsi" w:cstheme="majorHAnsi"/>
        </w:rPr>
        <w:t xml:space="preserve"> and D</w:t>
      </w:r>
      <w:r w:rsidR="00392E3D" w:rsidRPr="00660E39">
        <w:rPr>
          <w:rFonts w:asciiTheme="majorHAnsi" w:hAnsiTheme="majorHAnsi" w:cstheme="majorHAnsi"/>
          <w:vertAlign w:val="subscript"/>
        </w:rPr>
        <w:t>90</w:t>
      </w:r>
      <w:r w:rsidR="00974BD0" w:rsidRPr="00660E39">
        <w:rPr>
          <w:rFonts w:asciiTheme="majorHAnsi" w:hAnsiTheme="majorHAnsi" w:cstheme="majorHAnsi"/>
        </w:rPr>
        <w:t xml:space="preserve">, where </w:t>
      </w:r>
      <w:r w:rsidR="00392E3D" w:rsidRPr="00660E39">
        <w:rPr>
          <w:rFonts w:asciiTheme="majorHAnsi" w:hAnsiTheme="majorHAnsi" w:cstheme="majorHAnsi"/>
        </w:rPr>
        <w:t>D</w:t>
      </w:r>
      <w:r w:rsidR="00392E3D" w:rsidRPr="00660E39">
        <w:rPr>
          <w:rFonts w:asciiTheme="majorHAnsi" w:hAnsiTheme="majorHAnsi" w:cstheme="majorHAnsi"/>
          <w:vertAlign w:val="subscript"/>
        </w:rPr>
        <w:t>x</w:t>
      </w:r>
      <w:r w:rsidR="00392E3D" w:rsidRPr="00660E39">
        <w:rPr>
          <w:rFonts w:asciiTheme="majorHAnsi" w:hAnsiTheme="majorHAnsi" w:cstheme="majorHAnsi"/>
        </w:rPr>
        <w:t xml:space="preserve"> stands for the dose received by x% of the volume.</w:t>
      </w:r>
    </w:p>
    <w:p w14:paraId="56F2F516" w14:textId="67F47CCE" w:rsidR="00CA012A" w:rsidRPr="00660E39" w:rsidRDefault="00CA012A" w:rsidP="00770846">
      <w:pPr>
        <w:rPr>
          <w:rFonts w:asciiTheme="majorHAnsi" w:hAnsiTheme="majorHAnsi" w:cstheme="majorHAnsi"/>
        </w:rPr>
      </w:pPr>
    </w:p>
    <w:p w14:paraId="2964D8C2" w14:textId="2EA9E852" w:rsidR="00CA012A" w:rsidRPr="00660E39" w:rsidRDefault="00CA012A" w:rsidP="00770846">
      <w:pPr>
        <w:pStyle w:val="ListParagraph"/>
        <w:numPr>
          <w:ilvl w:val="1"/>
          <w:numId w:val="33"/>
        </w:numPr>
        <w:ind w:left="0" w:firstLine="0"/>
        <w:rPr>
          <w:rFonts w:asciiTheme="majorHAnsi" w:hAnsiTheme="majorHAnsi" w:cstheme="majorHAnsi"/>
        </w:rPr>
      </w:pPr>
      <w:r w:rsidRPr="00660E39">
        <w:rPr>
          <w:rFonts w:asciiTheme="majorHAnsi" w:hAnsiTheme="majorHAnsi" w:cstheme="majorHAnsi"/>
        </w:rPr>
        <w:t xml:space="preserve">Q-volume </w:t>
      </w:r>
      <w:r w:rsidR="007E0319" w:rsidRPr="00660E39">
        <w:rPr>
          <w:rFonts w:asciiTheme="majorHAnsi" w:hAnsiTheme="majorHAnsi" w:cstheme="majorHAnsi"/>
        </w:rPr>
        <w:t>h</w:t>
      </w:r>
      <w:r w:rsidRPr="00660E39">
        <w:rPr>
          <w:rFonts w:asciiTheme="majorHAnsi" w:hAnsiTheme="majorHAnsi" w:cstheme="majorHAnsi"/>
        </w:rPr>
        <w:t>istogram</w:t>
      </w:r>
    </w:p>
    <w:p w14:paraId="61C3F462" w14:textId="77777777" w:rsidR="005C0356" w:rsidRPr="00660E39" w:rsidRDefault="005C0356" w:rsidP="00770846">
      <w:pPr>
        <w:pStyle w:val="ListParagraph"/>
        <w:ind w:left="0"/>
        <w:rPr>
          <w:rFonts w:asciiTheme="majorHAnsi" w:hAnsiTheme="majorHAnsi" w:cstheme="majorHAnsi"/>
          <w:b/>
          <w:bCs/>
        </w:rPr>
      </w:pPr>
    </w:p>
    <w:p w14:paraId="493AFF7A" w14:textId="0C6F6D8B" w:rsidR="00180292" w:rsidRPr="00660E39" w:rsidRDefault="00E75BCD" w:rsidP="00770846">
      <w:pPr>
        <w:pStyle w:val="ListParagraph"/>
        <w:ind w:left="0"/>
        <w:rPr>
          <w:rFonts w:asciiTheme="majorHAnsi" w:hAnsiTheme="majorHAnsi" w:cstheme="majorHAnsi"/>
        </w:rPr>
      </w:pPr>
      <w:r w:rsidRPr="00660E39">
        <w:rPr>
          <w:rFonts w:asciiTheme="majorHAnsi" w:hAnsiTheme="majorHAnsi" w:cstheme="majorHAnsi"/>
        </w:rPr>
        <w:t xml:space="preserve">6.2.1. </w:t>
      </w:r>
      <w:r w:rsidR="00553029" w:rsidRPr="00660E39">
        <w:rPr>
          <w:rFonts w:asciiTheme="majorHAnsi" w:hAnsiTheme="majorHAnsi" w:cstheme="majorHAnsi"/>
        </w:rPr>
        <w:t xml:space="preserve">Calculate an ideal dose </w:t>
      </w:r>
      <w:r w:rsidR="00853E10" w:rsidRPr="00660E39">
        <w:rPr>
          <w:rFonts w:asciiTheme="majorHAnsi" w:hAnsiTheme="majorHAnsi" w:cstheme="majorHAnsi"/>
        </w:rPr>
        <w:t xml:space="preserve">for every pixel </w:t>
      </w:r>
      <w:r w:rsidR="00553029" w:rsidRPr="00660E39">
        <w:rPr>
          <w:rFonts w:asciiTheme="majorHAnsi" w:hAnsiTheme="majorHAnsi" w:cstheme="majorHAnsi"/>
        </w:rPr>
        <w:t xml:space="preserve">using </w:t>
      </w:r>
      <w:r w:rsidR="00553029" w:rsidRPr="00660E39">
        <w:rPr>
          <w:rFonts w:asciiTheme="majorHAnsi" w:hAnsiTheme="majorHAnsi" w:cstheme="majorHAnsi"/>
          <w:b/>
          <w:bCs/>
        </w:rPr>
        <w:t>Eq. 1</w:t>
      </w:r>
      <w:r w:rsidR="00DE63BF" w:rsidRPr="00660E39">
        <w:rPr>
          <w:rFonts w:asciiTheme="majorHAnsi" w:hAnsiTheme="majorHAnsi" w:cstheme="majorHAnsi"/>
        </w:rPr>
        <w:t>, which</w:t>
      </w:r>
      <w:r w:rsidR="005C0356" w:rsidRPr="00660E39">
        <w:rPr>
          <w:rFonts w:asciiTheme="majorHAnsi" w:hAnsiTheme="majorHAnsi" w:cstheme="majorHAnsi"/>
        </w:rPr>
        <w:t xml:space="preserve"> is a linear interpolation between </w:t>
      </w:r>
      <w:r w:rsidR="00DE63BF" w:rsidRPr="00660E39">
        <w:rPr>
          <w:rFonts w:asciiTheme="majorHAnsi" w:hAnsiTheme="majorHAnsi" w:cstheme="majorHAnsi"/>
        </w:rPr>
        <w:t xml:space="preserve">the </w:t>
      </w:r>
      <w:r w:rsidR="005C0356" w:rsidRPr="00660E39">
        <w:rPr>
          <w:rFonts w:asciiTheme="majorHAnsi" w:hAnsiTheme="majorHAnsi" w:cstheme="majorHAnsi"/>
        </w:rPr>
        <w:t>minimum and maximum dose</w:t>
      </w:r>
      <w:r w:rsidR="00DE63BF" w:rsidRPr="00660E39">
        <w:rPr>
          <w:rFonts w:asciiTheme="majorHAnsi" w:hAnsiTheme="majorHAnsi" w:cstheme="majorHAnsi"/>
        </w:rPr>
        <w:t>s</w:t>
      </w:r>
      <w:r w:rsidR="005C0356" w:rsidRPr="00660E39">
        <w:rPr>
          <w:rFonts w:asciiTheme="majorHAnsi" w:hAnsiTheme="majorHAnsi" w:cstheme="majorHAnsi"/>
        </w:rPr>
        <w:t>, proportional</w:t>
      </w:r>
      <w:r w:rsidR="00DE63BF" w:rsidRPr="00660E39">
        <w:rPr>
          <w:rFonts w:asciiTheme="majorHAnsi" w:hAnsiTheme="majorHAnsi" w:cstheme="majorHAnsi"/>
        </w:rPr>
        <w:t>ly</w:t>
      </w:r>
      <w:r w:rsidR="005C0356" w:rsidRPr="00660E39">
        <w:rPr>
          <w:rFonts w:asciiTheme="majorHAnsi" w:hAnsiTheme="majorHAnsi" w:cstheme="majorHAnsi"/>
        </w:rPr>
        <w:t xml:space="preserve"> varying between the minimum PET intensity and maximum PET intensity within the target volume</w:t>
      </w:r>
      <w:r w:rsidR="00DE63BF" w:rsidRPr="00660E39">
        <w:rPr>
          <w:rFonts w:asciiTheme="majorHAnsi" w:hAnsiTheme="majorHAnsi" w:cstheme="majorHAnsi"/>
        </w:rPr>
        <w:t xml:space="preserve"> to give</w:t>
      </w:r>
      <w:r w:rsidR="00553029" w:rsidRPr="00660E39">
        <w:rPr>
          <w:rFonts w:asciiTheme="majorHAnsi" w:hAnsiTheme="majorHAnsi" w:cstheme="majorHAnsi"/>
        </w:rPr>
        <w:t xml:space="preserve"> an ideal dose map. </w:t>
      </w:r>
    </w:p>
    <w:p w14:paraId="3E72CFAD" w14:textId="77777777" w:rsidR="005C0356" w:rsidRPr="00660E39" w:rsidRDefault="005C0356" w:rsidP="00770846">
      <w:pPr>
        <w:pStyle w:val="ListParagraph"/>
        <w:ind w:left="0"/>
        <w:rPr>
          <w:rFonts w:asciiTheme="majorHAnsi" w:hAnsiTheme="majorHAnsi" w:cstheme="majorHAnsi"/>
        </w:rPr>
      </w:pPr>
    </w:p>
    <w:p w14:paraId="675A554D" w14:textId="1B805692" w:rsidR="00853E10" w:rsidRPr="00660E39" w:rsidRDefault="00E75BCD" w:rsidP="00770846">
      <w:pPr>
        <w:pStyle w:val="ListParagraph"/>
        <w:ind w:left="0"/>
        <w:rPr>
          <w:rFonts w:asciiTheme="majorHAnsi" w:hAnsiTheme="majorHAnsi" w:cstheme="majorHAnsi"/>
        </w:rPr>
      </w:pPr>
      <w:r w:rsidRPr="00660E39">
        <w:rPr>
          <w:rFonts w:asciiTheme="majorHAnsi" w:hAnsiTheme="majorHAnsi" w:cstheme="majorHAnsi"/>
        </w:rPr>
        <w:t xml:space="preserve">6.2.2. </w:t>
      </w:r>
      <w:r w:rsidR="00853E10" w:rsidRPr="00660E39">
        <w:rPr>
          <w:rFonts w:asciiTheme="majorHAnsi" w:hAnsiTheme="majorHAnsi" w:cstheme="majorHAnsi"/>
        </w:rPr>
        <w:t xml:space="preserve">Calculate the Q-value </w:t>
      </w:r>
      <m:oMath>
        <m:sSub>
          <m:sSubPr>
            <m:ctrlPr>
              <w:rPr>
                <w:rFonts w:ascii="Cambria Math" w:hAnsi="Cambria Math" w:cstheme="majorHAnsi"/>
                <w:i/>
              </w:rPr>
            </m:ctrlPr>
          </m:sSubPr>
          <m:e>
            <m:r>
              <w:rPr>
                <w:rFonts w:ascii="Cambria Math" w:hAnsi="Cambria Math" w:cstheme="majorHAnsi"/>
              </w:rPr>
              <m:t>Q</m:t>
            </m:r>
          </m:e>
          <m:sub>
            <m:r>
              <w:rPr>
                <w:rFonts w:ascii="Cambria Math" w:hAnsi="Cambria Math" w:cstheme="majorHAnsi"/>
              </w:rPr>
              <m:t>p</m:t>
            </m:r>
          </m:sub>
        </m:sSub>
      </m:oMath>
      <w:r w:rsidR="00853E10" w:rsidRPr="00660E39">
        <w:rPr>
          <w:rFonts w:asciiTheme="majorHAnsi" w:hAnsiTheme="majorHAnsi" w:cstheme="majorHAnsi"/>
        </w:rPr>
        <w:t xml:space="preserve"> for every pixel using </w:t>
      </w:r>
      <w:r w:rsidR="006D4DE2" w:rsidRPr="00660E39">
        <w:rPr>
          <w:rFonts w:asciiTheme="majorHAnsi" w:hAnsiTheme="majorHAnsi" w:cstheme="majorHAnsi"/>
        </w:rPr>
        <w:t xml:space="preserve">the </w:t>
      </w:r>
      <w:r w:rsidR="00853E10" w:rsidRPr="00660E39">
        <w:rPr>
          <w:rFonts w:asciiTheme="majorHAnsi" w:hAnsiTheme="majorHAnsi" w:cstheme="majorHAnsi"/>
        </w:rPr>
        <w:t>following equation</w:t>
      </w:r>
      <w:r w:rsidR="00EE4606" w:rsidRPr="00660E39">
        <w:rPr>
          <w:rFonts w:asciiTheme="majorHAnsi" w:hAnsiTheme="majorHAnsi" w:cstheme="majorHAnsi"/>
        </w:rPr>
        <w:t xml:space="preserve"> (</w:t>
      </w:r>
      <w:r w:rsidR="00EE4606" w:rsidRPr="00660E39">
        <w:rPr>
          <w:rFonts w:asciiTheme="majorHAnsi" w:hAnsiTheme="majorHAnsi" w:cstheme="majorHAnsi"/>
          <w:b/>
          <w:bCs/>
        </w:rPr>
        <w:t>Eq. 2</w:t>
      </w:r>
      <w:r w:rsidR="00EE4606" w:rsidRPr="00660E39">
        <w:rPr>
          <w:rFonts w:asciiTheme="majorHAnsi" w:hAnsiTheme="majorHAnsi" w:cstheme="majorHAnsi"/>
        </w:rPr>
        <w:t>)</w:t>
      </w:r>
      <w:r w:rsidR="00853E10" w:rsidRPr="00660E39">
        <w:rPr>
          <w:rFonts w:asciiTheme="majorHAnsi" w:hAnsiTheme="majorHAnsi" w:cstheme="majorHAnsi"/>
        </w:rPr>
        <w:t>:</w:t>
      </w:r>
    </w:p>
    <w:p w14:paraId="45235FF3" w14:textId="790458E8" w:rsidR="005F21E8" w:rsidRPr="00660E39" w:rsidRDefault="005F21E8" w:rsidP="00770846">
      <w:pPr>
        <w:pStyle w:val="Caption"/>
        <w:keepNext/>
        <w:spacing w:after="0"/>
        <w:rPr>
          <w:rFonts w:asciiTheme="majorHAnsi" w:hAnsiTheme="majorHAnsi" w:cstheme="majorHAnsi"/>
          <w:color w:val="auto"/>
          <w:sz w:val="24"/>
          <w:szCs w:val="24"/>
        </w:rPr>
      </w:pPr>
    </w:p>
    <w:tbl>
      <w:tblPr>
        <w:tblStyle w:val="TableGrid"/>
        <w:tblW w:w="5000"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8050"/>
        <w:gridCol w:w="655"/>
      </w:tblGrid>
      <w:tr w:rsidR="00770846" w:rsidRPr="00660E39" w14:paraId="30677CCB" w14:textId="77777777" w:rsidTr="00355366">
        <w:tc>
          <w:tcPr>
            <w:tcW w:w="350" w:type="pct"/>
          </w:tcPr>
          <w:p w14:paraId="20A6E2B1" w14:textId="77777777" w:rsidR="00853E10" w:rsidRPr="00660E39" w:rsidRDefault="00853E10" w:rsidP="00770846">
            <w:pPr>
              <w:rPr>
                <w:rFonts w:asciiTheme="majorHAnsi" w:hAnsiTheme="majorHAnsi" w:cstheme="majorHAnsi"/>
              </w:rPr>
            </w:pPr>
          </w:p>
        </w:tc>
        <w:tc>
          <w:tcPr>
            <w:tcW w:w="4300" w:type="pct"/>
          </w:tcPr>
          <w:p w14:paraId="3D535400" w14:textId="51D08717" w:rsidR="00853E10" w:rsidRPr="00660E39" w:rsidRDefault="00427763" w:rsidP="00770846">
            <w:pPr>
              <w:rPr>
                <w:rFonts w:asciiTheme="majorHAnsi" w:hAnsiTheme="majorHAnsi" w:cstheme="majorHAnsi"/>
              </w:rPr>
            </w:pPr>
            <m:oMathPara>
              <m:oMath>
                <m:sSub>
                  <m:sSubPr>
                    <m:ctrlPr>
                      <w:rPr>
                        <w:rFonts w:ascii="Cambria Math" w:hAnsi="Cambria Math" w:cstheme="majorHAnsi"/>
                        <w:i/>
                      </w:rPr>
                    </m:ctrlPr>
                  </m:sSubPr>
                  <m:e>
                    <m:r>
                      <w:rPr>
                        <w:rFonts w:ascii="Cambria Math" w:hAnsi="Cambria Math" w:cstheme="majorHAnsi"/>
                      </w:rPr>
                      <m:t>Q</m:t>
                    </m:r>
                  </m:e>
                  <m:sub>
                    <m:r>
                      <w:rPr>
                        <w:rFonts w:ascii="Cambria Math" w:hAnsi="Cambria Math" w:cstheme="majorHAnsi"/>
                      </w:rPr>
                      <m:t>p</m:t>
                    </m:r>
                  </m:sub>
                </m:sSub>
                <m:r>
                  <w:rPr>
                    <w:rFonts w:ascii="Cambria Math" w:hAnsi="Cambria Math" w:cstheme="majorHAnsi"/>
                  </w:rPr>
                  <m:t xml:space="preserve">= </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D</m:t>
                        </m:r>
                      </m:e>
                      <m:sub>
                        <m:r>
                          <w:rPr>
                            <w:rFonts w:ascii="Cambria Math" w:hAnsi="Cambria Math" w:cstheme="majorHAnsi"/>
                          </w:rPr>
                          <m:t>p</m:t>
                        </m:r>
                      </m:sub>
                    </m:sSub>
                  </m:num>
                  <m:den>
                    <m:sSub>
                      <m:sSubPr>
                        <m:ctrlPr>
                          <w:rPr>
                            <w:rFonts w:ascii="Cambria Math" w:hAnsi="Cambria Math" w:cstheme="majorHAnsi"/>
                            <w:i/>
                          </w:rPr>
                        </m:ctrlPr>
                      </m:sSubPr>
                      <m:e>
                        <m:r>
                          <w:rPr>
                            <w:rFonts w:ascii="Cambria Math" w:hAnsi="Cambria Math" w:cstheme="majorHAnsi"/>
                          </w:rPr>
                          <m:t>D</m:t>
                        </m:r>
                      </m:e>
                      <m:sub>
                        <m:r>
                          <w:rPr>
                            <w:rFonts w:ascii="Cambria Math" w:hAnsi="Cambria Math" w:cstheme="majorHAnsi"/>
                          </w:rPr>
                          <m:t>i</m:t>
                        </m:r>
                      </m:sub>
                    </m:sSub>
                  </m:den>
                </m:f>
              </m:oMath>
            </m:oMathPara>
          </w:p>
        </w:tc>
        <w:tc>
          <w:tcPr>
            <w:tcW w:w="350" w:type="pct"/>
            <w:vAlign w:val="center"/>
          </w:tcPr>
          <w:p w14:paraId="40CA6A94" w14:textId="52FE809D" w:rsidR="00853E10" w:rsidRPr="00660E39" w:rsidRDefault="005F21E8" w:rsidP="00770846">
            <w:pPr>
              <w:rPr>
                <w:rFonts w:asciiTheme="majorHAnsi" w:hAnsiTheme="majorHAnsi" w:cstheme="majorHAnsi"/>
              </w:rPr>
            </w:pPr>
            <w:r w:rsidRPr="00660E39">
              <w:rPr>
                <w:rFonts w:asciiTheme="majorHAnsi" w:hAnsiTheme="majorHAnsi" w:cstheme="majorHAnsi"/>
              </w:rPr>
              <w:t xml:space="preserve">Eq. </w:t>
            </w:r>
            <w:r w:rsidRPr="00660E39">
              <w:rPr>
                <w:rFonts w:asciiTheme="majorHAnsi" w:hAnsiTheme="majorHAnsi" w:cstheme="majorHAnsi"/>
              </w:rPr>
              <w:fldChar w:fldCharType="begin"/>
            </w:r>
            <w:r w:rsidRPr="00660E39">
              <w:rPr>
                <w:rFonts w:asciiTheme="majorHAnsi" w:hAnsiTheme="majorHAnsi" w:cstheme="majorHAnsi"/>
              </w:rPr>
              <w:instrText xml:space="preserve"> SEQ Equation \* ARABIC </w:instrText>
            </w:r>
            <w:r w:rsidRPr="00660E39">
              <w:rPr>
                <w:rFonts w:asciiTheme="majorHAnsi" w:hAnsiTheme="majorHAnsi" w:cstheme="majorHAnsi"/>
              </w:rPr>
              <w:fldChar w:fldCharType="separate"/>
            </w:r>
            <w:r w:rsidR="006E7D5A" w:rsidRPr="00660E39">
              <w:rPr>
                <w:rFonts w:asciiTheme="majorHAnsi" w:hAnsiTheme="majorHAnsi" w:cstheme="majorHAnsi"/>
                <w:noProof/>
              </w:rPr>
              <w:t>2</w:t>
            </w:r>
            <w:r w:rsidRPr="00660E39">
              <w:rPr>
                <w:rFonts w:asciiTheme="majorHAnsi" w:hAnsiTheme="majorHAnsi" w:cstheme="majorHAnsi"/>
              </w:rPr>
              <w:fldChar w:fldCharType="end"/>
            </w:r>
          </w:p>
        </w:tc>
      </w:tr>
    </w:tbl>
    <w:p w14:paraId="0E9572AA" w14:textId="23908081" w:rsidR="00853E10" w:rsidRPr="00660E39" w:rsidRDefault="00853E10" w:rsidP="00770846">
      <w:pPr>
        <w:rPr>
          <w:rFonts w:asciiTheme="majorHAnsi" w:hAnsiTheme="majorHAnsi" w:cstheme="majorHAnsi"/>
        </w:rPr>
      </w:pPr>
      <w:r w:rsidRPr="00660E39">
        <w:rPr>
          <w:rFonts w:asciiTheme="majorHAnsi" w:hAnsiTheme="majorHAnsi" w:cstheme="majorHAnsi"/>
        </w:rPr>
        <w:tab/>
      </w:r>
    </w:p>
    <w:p w14:paraId="43542803" w14:textId="7BEECA97" w:rsidR="00853E10" w:rsidRPr="00660E39" w:rsidRDefault="00853E10" w:rsidP="00770846">
      <w:pPr>
        <w:rPr>
          <w:rFonts w:asciiTheme="majorHAnsi" w:hAnsiTheme="majorHAnsi" w:cstheme="majorHAnsi"/>
        </w:rPr>
      </w:pPr>
      <w:r w:rsidRPr="00660E39">
        <w:rPr>
          <w:rFonts w:asciiTheme="majorHAnsi" w:hAnsiTheme="majorHAnsi" w:cstheme="majorHAnsi"/>
        </w:rPr>
        <w:tab/>
        <w:t xml:space="preserve">With </w:t>
      </w:r>
      <m:oMath>
        <m:sSub>
          <m:sSubPr>
            <m:ctrlPr>
              <w:rPr>
                <w:rFonts w:ascii="Cambria Math" w:hAnsi="Cambria Math" w:cstheme="majorHAnsi"/>
                <w:i/>
              </w:rPr>
            </m:ctrlPr>
          </m:sSubPr>
          <m:e>
            <m:r>
              <w:rPr>
                <w:rFonts w:ascii="Cambria Math" w:hAnsi="Cambria Math" w:cstheme="majorHAnsi"/>
              </w:rPr>
              <m:t>D</m:t>
            </m:r>
          </m:e>
          <m:sub>
            <m:r>
              <w:rPr>
                <w:rFonts w:ascii="Cambria Math" w:hAnsi="Cambria Math" w:cstheme="majorHAnsi"/>
              </w:rPr>
              <m:t>p</m:t>
            </m:r>
          </m:sub>
        </m:sSub>
      </m:oMath>
      <w:r w:rsidRPr="00660E39">
        <w:rPr>
          <w:rFonts w:asciiTheme="majorHAnsi" w:hAnsiTheme="majorHAnsi" w:cstheme="majorHAnsi"/>
        </w:rPr>
        <w:t xml:space="preserve"> </w:t>
      </w:r>
      <w:r w:rsidR="00EE4606" w:rsidRPr="00660E39">
        <w:rPr>
          <w:rFonts w:asciiTheme="majorHAnsi" w:hAnsiTheme="majorHAnsi" w:cstheme="majorHAnsi"/>
        </w:rPr>
        <w:t xml:space="preserve">being </w:t>
      </w:r>
      <w:r w:rsidRPr="00660E39">
        <w:rPr>
          <w:rFonts w:asciiTheme="majorHAnsi" w:hAnsiTheme="majorHAnsi" w:cstheme="majorHAnsi"/>
        </w:rPr>
        <w:t xml:space="preserve">the dose obtained by planning and </w:t>
      </w:r>
      <m:oMath>
        <m:sSub>
          <m:sSubPr>
            <m:ctrlPr>
              <w:rPr>
                <w:rFonts w:ascii="Cambria Math" w:hAnsi="Cambria Math" w:cstheme="majorHAnsi"/>
                <w:i/>
              </w:rPr>
            </m:ctrlPr>
          </m:sSubPr>
          <m:e>
            <m:r>
              <w:rPr>
                <w:rFonts w:ascii="Cambria Math" w:hAnsi="Cambria Math" w:cstheme="majorHAnsi"/>
              </w:rPr>
              <m:t>D</m:t>
            </m:r>
          </m:e>
          <m:sub>
            <m:r>
              <w:rPr>
                <w:rFonts w:ascii="Cambria Math" w:hAnsi="Cambria Math" w:cstheme="majorHAnsi"/>
              </w:rPr>
              <m:t>i</m:t>
            </m:r>
          </m:sub>
        </m:sSub>
        <m:r>
          <w:rPr>
            <w:rFonts w:ascii="Cambria Math" w:hAnsi="Cambria Math" w:cstheme="majorHAnsi"/>
          </w:rPr>
          <m:t>,</m:t>
        </m:r>
      </m:oMath>
      <w:r w:rsidRPr="00660E39">
        <w:rPr>
          <w:rFonts w:asciiTheme="majorHAnsi" w:hAnsiTheme="majorHAnsi" w:cstheme="majorHAnsi"/>
        </w:rPr>
        <w:t xml:space="preserve"> the dose objective for planning.</w:t>
      </w:r>
    </w:p>
    <w:p w14:paraId="3EA20E05" w14:textId="77777777" w:rsidR="003356EE" w:rsidRPr="00660E39" w:rsidRDefault="003356EE" w:rsidP="00770846">
      <w:pPr>
        <w:rPr>
          <w:rFonts w:asciiTheme="majorHAnsi" w:hAnsiTheme="majorHAnsi" w:cstheme="majorHAnsi"/>
        </w:rPr>
      </w:pPr>
    </w:p>
    <w:p w14:paraId="47129F5F" w14:textId="419749DA" w:rsidR="00B6548F" w:rsidRPr="00660E39" w:rsidRDefault="00B6548F" w:rsidP="00770846">
      <w:pPr>
        <w:pStyle w:val="ListParagraph"/>
        <w:numPr>
          <w:ilvl w:val="2"/>
          <w:numId w:val="34"/>
        </w:numPr>
        <w:ind w:left="0" w:firstLine="0"/>
        <w:rPr>
          <w:rFonts w:asciiTheme="majorHAnsi" w:hAnsiTheme="majorHAnsi" w:cstheme="majorHAnsi"/>
        </w:rPr>
      </w:pPr>
      <w:r w:rsidRPr="00660E39">
        <w:rPr>
          <w:rFonts w:asciiTheme="majorHAnsi" w:hAnsiTheme="majorHAnsi" w:cstheme="majorHAnsi"/>
        </w:rPr>
        <w:lastRenderedPageBreak/>
        <w:t xml:space="preserve">Generate QVH from the </w:t>
      </w:r>
      <w:r w:rsidR="00D631C1" w:rsidRPr="00660E39">
        <w:rPr>
          <w:rFonts w:asciiTheme="majorHAnsi" w:hAnsiTheme="majorHAnsi" w:cstheme="majorHAnsi"/>
        </w:rPr>
        <w:t xml:space="preserve">obtained Q-values. </w:t>
      </w:r>
    </w:p>
    <w:p w14:paraId="2ED9B51E" w14:textId="77777777" w:rsidR="003356EE" w:rsidRPr="00660E39" w:rsidRDefault="003356EE" w:rsidP="00770846">
      <w:pPr>
        <w:rPr>
          <w:rFonts w:asciiTheme="majorHAnsi" w:hAnsiTheme="majorHAnsi" w:cstheme="majorHAnsi"/>
        </w:rPr>
      </w:pPr>
    </w:p>
    <w:p w14:paraId="5735CF72" w14:textId="1D6CB425" w:rsidR="00180292" w:rsidRPr="00660E39" w:rsidRDefault="00853E10" w:rsidP="00770846">
      <w:pPr>
        <w:pStyle w:val="ListParagraph"/>
        <w:numPr>
          <w:ilvl w:val="2"/>
          <w:numId w:val="34"/>
        </w:numPr>
        <w:ind w:left="0" w:firstLine="0"/>
        <w:rPr>
          <w:rFonts w:asciiTheme="majorHAnsi" w:hAnsiTheme="majorHAnsi" w:cstheme="majorHAnsi"/>
        </w:rPr>
      </w:pPr>
      <w:r w:rsidRPr="00660E39">
        <w:rPr>
          <w:rFonts w:asciiTheme="majorHAnsi" w:hAnsiTheme="majorHAnsi" w:cstheme="majorHAnsi"/>
        </w:rPr>
        <w:t>Calculate the quality factor</w:t>
      </w:r>
      <w:r w:rsidR="006E7D5A" w:rsidRPr="00660E39">
        <w:rPr>
          <w:rFonts w:asciiTheme="majorHAnsi" w:hAnsiTheme="majorHAnsi" w:cstheme="majorHAnsi"/>
        </w:rPr>
        <w:t xml:space="preserve"> (Q-factor, </w:t>
      </w:r>
      <m:oMath>
        <m:sSub>
          <m:sSubPr>
            <m:ctrlPr>
              <w:rPr>
                <w:rFonts w:ascii="Cambria Math" w:hAnsi="Cambria Math" w:cstheme="majorHAnsi"/>
                <w:i/>
              </w:rPr>
            </m:ctrlPr>
          </m:sSubPr>
          <m:e>
            <m:r>
              <w:rPr>
                <w:rFonts w:ascii="Cambria Math" w:hAnsi="Cambria Math" w:cstheme="majorHAnsi"/>
              </w:rPr>
              <m:t>Q</m:t>
            </m:r>
          </m:e>
          <m:sub>
            <m:r>
              <w:rPr>
                <w:rFonts w:ascii="Cambria Math" w:hAnsi="Cambria Math" w:cstheme="majorHAnsi"/>
              </w:rPr>
              <m:t>F</m:t>
            </m:r>
          </m:sub>
        </m:sSub>
      </m:oMath>
      <w:r w:rsidR="006E7D5A" w:rsidRPr="00660E39">
        <w:rPr>
          <w:rFonts w:asciiTheme="majorHAnsi" w:hAnsiTheme="majorHAnsi" w:cstheme="majorHAnsi"/>
        </w:rPr>
        <w:t>)</w:t>
      </w:r>
      <w:r w:rsidRPr="00660E39">
        <w:rPr>
          <w:rFonts w:asciiTheme="majorHAnsi" w:hAnsiTheme="majorHAnsi" w:cstheme="majorHAnsi"/>
        </w:rPr>
        <w:t xml:space="preserve"> </w:t>
      </w:r>
      <w:r w:rsidR="005F21E8" w:rsidRPr="00660E39">
        <w:rPr>
          <w:rFonts w:asciiTheme="majorHAnsi" w:hAnsiTheme="majorHAnsi" w:cstheme="majorHAnsi"/>
        </w:rPr>
        <w:t>to evaluate the difference between the planned and intended dose</w:t>
      </w:r>
      <w:r w:rsidR="00EF2340" w:rsidRPr="00660E39">
        <w:rPr>
          <w:rFonts w:asciiTheme="majorHAnsi" w:hAnsiTheme="majorHAnsi" w:cstheme="majorHAnsi"/>
        </w:rPr>
        <w:t>s</w:t>
      </w:r>
      <w:r w:rsidR="001C36F5" w:rsidRPr="00660E39">
        <w:rPr>
          <w:rFonts w:asciiTheme="majorHAnsi" w:hAnsiTheme="majorHAnsi" w:cstheme="majorHAnsi"/>
        </w:rPr>
        <w:t xml:space="preserve"> using </w:t>
      </w:r>
      <w:r w:rsidR="001C36F5" w:rsidRPr="00660E39">
        <w:rPr>
          <w:rFonts w:asciiTheme="majorHAnsi" w:hAnsiTheme="majorHAnsi" w:cstheme="majorHAnsi"/>
          <w:b/>
          <w:bCs/>
        </w:rPr>
        <w:t>Eq. 3</w:t>
      </w:r>
      <w:r w:rsidR="005F21E8" w:rsidRPr="00660E39">
        <w:rPr>
          <w:rFonts w:asciiTheme="majorHAnsi" w:hAnsiTheme="majorHAnsi" w:cstheme="majorHAnsi"/>
        </w:rPr>
        <w:t xml:space="preserve">: </w:t>
      </w:r>
    </w:p>
    <w:p w14:paraId="3913499A" w14:textId="39F9272B" w:rsidR="006E7D5A" w:rsidRPr="00660E39" w:rsidRDefault="006E7D5A" w:rsidP="00770846">
      <w:pPr>
        <w:pStyle w:val="Caption"/>
        <w:keepNext/>
        <w:spacing w:after="0"/>
        <w:rPr>
          <w:rFonts w:asciiTheme="majorHAnsi" w:hAnsiTheme="majorHAnsi" w:cstheme="majorHAnsi"/>
          <w:color w:val="auto"/>
          <w:sz w:val="24"/>
          <w:szCs w:val="24"/>
        </w:rPr>
      </w:pPr>
    </w:p>
    <w:tbl>
      <w:tblPr>
        <w:tblStyle w:val="TableGrid"/>
        <w:tblW w:w="5000" w:type="pct"/>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8050"/>
        <w:gridCol w:w="655"/>
      </w:tblGrid>
      <w:tr w:rsidR="000A7ED6" w:rsidRPr="00770846" w14:paraId="3568EEE4" w14:textId="77777777" w:rsidTr="00E27792">
        <w:tc>
          <w:tcPr>
            <w:tcW w:w="350" w:type="pct"/>
          </w:tcPr>
          <w:p w14:paraId="45243CBF" w14:textId="77777777" w:rsidR="00DE20E8" w:rsidRPr="00660E39" w:rsidRDefault="00DE20E8" w:rsidP="00770846">
            <w:pPr>
              <w:pStyle w:val="ListParagraph"/>
              <w:ind w:left="0"/>
              <w:rPr>
                <w:rFonts w:asciiTheme="majorHAnsi" w:hAnsiTheme="majorHAnsi" w:cstheme="majorHAnsi"/>
              </w:rPr>
            </w:pPr>
          </w:p>
        </w:tc>
        <w:tc>
          <w:tcPr>
            <w:tcW w:w="4300" w:type="pct"/>
          </w:tcPr>
          <w:p w14:paraId="1A3B54AA" w14:textId="6EFD992A" w:rsidR="00DE20E8" w:rsidRPr="00660E39" w:rsidRDefault="00427763" w:rsidP="00770846">
            <w:pPr>
              <w:pStyle w:val="ListParagraph"/>
              <w:ind w:left="0"/>
              <w:rPr>
                <w:rFonts w:asciiTheme="majorHAnsi" w:hAnsiTheme="majorHAnsi" w:cstheme="majorHAnsi"/>
              </w:rPr>
            </w:pPr>
            <m:oMathPara>
              <m:oMath>
                <m:sSub>
                  <m:sSubPr>
                    <m:ctrlPr>
                      <w:rPr>
                        <w:rFonts w:ascii="Cambria Math" w:hAnsi="Cambria Math" w:cstheme="majorHAnsi"/>
                        <w:i/>
                      </w:rPr>
                    </m:ctrlPr>
                  </m:sSubPr>
                  <m:e>
                    <m:r>
                      <w:rPr>
                        <w:rFonts w:ascii="Cambria Math" w:hAnsi="Cambria Math" w:cstheme="majorHAnsi"/>
                      </w:rPr>
                      <m:t>Q</m:t>
                    </m:r>
                  </m:e>
                  <m:sub>
                    <m:r>
                      <w:rPr>
                        <w:rFonts w:ascii="Cambria Math" w:hAnsi="Cambria Math" w:cstheme="majorHAnsi"/>
                      </w:rPr>
                      <m:t>F</m:t>
                    </m:r>
                  </m:sub>
                </m:sSub>
                <m:r>
                  <w:rPr>
                    <w:rFonts w:ascii="Cambria Math" w:hAnsi="Cambria Math" w:cstheme="majorHAnsi"/>
                  </w:rPr>
                  <m:t xml:space="preserve">= </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n</m:t>
                    </m:r>
                  </m:den>
                </m:f>
                <m:r>
                  <w:rPr>
                    <w:rFonts w:ascii="Cambria Math" w:hAnsi="Cambria Math" w:cstheme="majorHAnsi"/>
                  </w:rPr>
                  <m:t xml:space="preserve"> </m:t>
                </m:r>
                <m:nary>
                  <m:naryPr>
                    <m:chr m:val="∑"/>
                    <m:limLoc m:val="undOvr"/>
                    <m:ctrlPr>
                      <w:rPr>
                        <w:rFonts w:ascii="Cambria Math" w:hAnsi="Cambria Math" w:cstheme="majorHAnsi"/>
                        <w:i/>
                      </w:rPr>
                    </m:ctrlPr>
                  </m:naryPr>
                  <m:sub>
                    <m:r>
                      <w:rPr>
                        <w:rFonts w:ascii="Cambria Math" w:hAnsi="Cambria Math" w:cstheme="majorHAnsi"/>
                      </w:rPr>
                      <m:t>p=1</m:t>
                    </m:r>
                  </m:sub>
                  <m:sup>
                    <m:r>
                      <w:rPr>
                        <w:rFonts w:ascii="Cambria Math" w:hAnsi="Cambria Math" w:cstheme="majorHAnsi"/>
                      </w:rPr>
                      <m:t>p=n</m:t>
                    </m:r>
                  </m:sup>
                  <m:e>
                    <m:d>
                      <m:dPr>
                        <m:begChr m:val="|"/>
                        <m:endChr m:val="|"/>
                        <m:ctrlPr>
                          <w:rPr>
                            <w:rFonts w:ascii="Cambria Math" w:hAnsi="Cambria Math" w:cstheme="majorHAnsi"/>
                            <w:i/>
                          </w:rPr>
                        </m:ctrlPr>
                      </m:dPr>
                      <m:e>
                        <m:sSub>
                          <m:sSubPr>
                            <m:ctrlPr>
                              <w:rPr>
                                <w:rFonts w:ascii="Cambria Math" w:hAnsi="Cambria Math" w:cstheme="majorHAnsi"/>
                                <w:i/>
                              </w:rPr>
                            </m:ctrlPr>
                          </m:sSubPr>
                          <m:e>
                            <m:r>
                              <w:rPr>
                                <w:rFonts w:ascii="Cambria Math" w:hAnsi="Cambria Math" w:cstheme="majorHAnsi"/>
                              </w:rPr>
                              <m:t>Q</m:t>
                            </m:r>
                          </m:e>
                          <m:sub>
                            <m:r>
                              <w:rPr>
                                <w:rFonts w:ascii="Cambria Math" w:hAnsi="Cambria Math" w:cstheme="majorHAnsi"/>
                              </w:rPr>
                              <m:t>p</m:t>
                            </m:r>
                          </m:sub>
                        </m:sSub>
                        <m:r>
                          <w:rPr>
                            <w:rFonts w:ascii="Cambria Math" w:hAnsi="Cambria Math" w:cstheme="majorHAnsi"/>
                          </w:rPr>
                          <m:t>-1</m:t>
                        </m:r>
                      </m:e>
                    </m:d>
                  </m:e>
                </m:nary>
              </m:oMath>
            </m:oMathPara>
          </w:p>
        </w:tc>
        <w:tc>
          <w:tcPr>
            <w:tcW w:w="350" w:type="pct"/>
            <w:vAlign w:val="center"/>
          </w:tcPr>
          <w:p w14:paraId="712BB919" w14:textId="22113C0C" w:rsidR="00DE20E8" w:rsidRPr="00770846" w:rsidRDefault="00E27792" w:rsidP="00770846">
            <w:pPr>
              <w:pStyle w:val="ListParagraph"/>
              <w:ind w:left="0"/>
              <w:rPr>
                <w:rFonts w:asciiTheme="majorHAnsi" w:hAnsiTheme="majorHAnsi" w:cstheme="majorHAnsi"/>
              </w:rPr>
            </w:pPr>
            <w:r w:rsidRPr="00660E39">
              <w:rPr>
                <w:rFonts w:asciiTheme="majorHAnsi" w:hAnsiTheme="majorHAnsi" w:cstheme="majorHAnsi"/>
              </w:rPr>
              <w:t xml:space="preserve">Eq. </w:t>
            </w:r>
            <w:r w:rsidRPr="00660E39">
              <w:rPr>
                <w:rFonts w:asciiTheme="majorHAnsi" w:hAnsiTheme="majorHAnsi" w:cstheme="majorHAnsi"/>
              </w:rPr>
              <w:fldChar w:fldCharType="begin"/>
            </w:r>
            <w:r w:rsidRPr="00660E39">
              <w:rPr>
                <w:rFonts w:asciiTheme="majorHAnsi" w:hAnsiTheme="majorHAnsi" w:cstheme="majorHAnsi"/>
              </w:rPr>
              <w:instrText xml:space="preserve"> SEQ Equation \* ARABIC </w:instrText>
            </w:r>
            <w:r w:rsidRPr="00660E39">
              <w:rPr>
                <w:rFonts w:asciiTheme="majorHAnsi" w:hAnsiTheme="majorHAnsi" w:cstheme="majorHAnsi"/>
              </w:rPr>
              <w:fldChar w:fldCharType="separate"/>
            </w:r>
            <w:r w:rsidRPr="00660E39">
              <w:rPr>
                <w:rFonts w:asciiTheme="majorHAnsi" w:hAnsiTheme="majorHAnsi" w:cstheme="majorHAnsi"/>
                <w:noProof/>
              </w:rPr>
              <w:t>3</w:t>
            </w:r>
            <w:r w:rsidRPr="00660E39">
              <w:rPr>
                <w:rFonts w:asciiTheme="majorHAnsi" w:hAnsiTheme="majorHAnsi" w:cstheme="majorHAnsi"/>
              </w:rPr>
              <w:fldChar w:fldCharType="end"/>
            </w:r>
          </w:p>
        </w:tc>
      </w:tr>
    </w:tbl>
    <w:p w14:paraId="4015356B" w14:textId="77777777" w:rsidR="006E4797" w:rsidRPr="00770846" w:rsidRDefault="006E4797" w:rsidP="00770846">
      <w:pPr>
        <w:pBdr>
          <w:top w:val="nil"/>
          <w:left w:val="nil"/>
          <w:bottom w:val="nil"/>
          <w:right w:val="nil"/>
          <w:between w:val="nil"/>
        </w:pBdr>
        <w:rPr>
          <w:rFonts w:asciiTheme="majorHAnsi" w:hAnsiTheme="majorHAnsi" w:cstheme="majorHAnsi"/>
          <w:b/>
        </w:rPr>
      </w:pPr>
    </w:p>
    <w:p w14:paraId="08AF3300" w14:textId="663A9A88" w:rsidR="006E4797" w:rsidRPr="00770846" w:rsidRDefault="00551D82" w:rsidP="00770846">
      <w:pPr>
        <w:pBdr>
          <w:top w:val="nil"/>
          <w:left w:val="nil"/>
          <w:bottom w:val="nil"/>
          <w:right w:val="nil"/>
          <w:between w:val="nil"/>
        </w:pBdr>
        <w:rPr>
          <w:rFonts w:asciiTheme="majorHAnsi" w:hAnsiTheme="majorHAnsi" w:cstheme="majorHAnsi"/>
        </w:rPr>
      </w:pPr>
      <w:r w:rsidRPr="00770846">
        <w:rPr>
          <w:rFonts w:asciiTheme="majorHAnsi" w:hAnsiTheme="majorHAnsi" w:cstheme="majorHAnsi"/>
          <w:b/>
        </w:rPr>
        <w:t>REPRESENTATIVE RESULTS:</w:t>
      </w:r>
    </w:p>
    <w:p w14:paraId="73496B73" w14:textId="547BC0BF" w:rsidR="0024253C" w:rsidRPr="00770846" w:rsidRDefault="00F46AED" w:rsidP="00770846">
      <w:pPr>
        <w:rPr>
          <w:rFonts w:asciiTheme="majorHAnsi" w:hAnsiTheme="majorHAnsi" w:cstheme="majorHAnsi"/>
        </w:rPr>
      </w:pPr>
      <w:r w:rsidRPr="00770846">
        <w:rPr>
          <w:rFonts w:asciiTheme="majorHAnsi" w:hAnsiTheme="majorHAnsi" w:cstheme="majorHAnsi"/>
        </w:rPr>
        <w:t>The</w:t>
      </w:r>
      <w:r w:rsidR="00102A20" w:rsidRPr="00770846">
        <w:rPr>
          <w:rFonts w:asciiTheme="majorHAnsi" w:hAnsiTheme="majorHAnsi" w:cstheme="majorHAnsi"/>
        </w:rPr>
        <w:t xml:space="preserve"> feasibility of</w:t>
      </w:r>
      <w:r w:rsidR="001151D4" w:rsidRPr="00770846">
        <w:rPr>
          <w:rFonts w:asciiTheme="majorHAnsi" w:hAnsiTheme="majorHAnsi" w:cstheme="majorHAnsi"/>
        </w:rPr>
        <w:t xml:space="preserve"> PET</w:t>
      </w:r>
      <w:r w:rsidR="00ED19FA" w:rsidRPr="00770846">
        <w:rPr>
          <w:rFonts w:asciiTheme="majorHAnsi" w:hAnsiTheme="majorHAnsi" w:cstheme="majorHAnsi"/>
        </w:rPr>
        <w:t>-</w:t>
      </w:r>
      <w:r w:rsidR="001151D4" w:rsidRPr="00770846">
        <w:rPr>
          <w:rFonts w:asciiTheme="majorHAnsi" w:hAnsiTheme="majorHAnsi" w:cstheme="majorHAnsi"/>
        </w:rPr>
        <w:t xml:space="preserve"> and MRI</w:t>
      </w:r>
      <w:r w:rsidR="00ED19FA" w:rsidRPr="00770846">
        <w:rPr>
          <w:rFonts w:asciiTheme="majorHAnsi" w:hAnsiTheme="majorHAnsi" w:cstheme="majorHAnsi"/>
        </w:rPr>
        <w:t>-</w:t>
      </w:r>
      <w:r w:rsidR="001151D4" w:rsidRPr="00770846">
        <w:rPr>
          <w:rFonts w:asciiTheme="majorHAnsi" w:hAnsiTheme="majorHAnsi" w:cstheme="majorHAnsi"/>
        </w:rPr>
        <w:t>guided irradiation in a glioblastoma rat model using the SARRP</w:t>
      </w:r>
      <w:r w:rsidR="0020202E" w:rsidRPr="00770846">
        <w:rPr>
          <w:rFonts w:asciiTheme="majorHAnsi" w:hAnsiTheme="majorHAnsi" w:cstheme="majorHAnsi"/>
        </w:rPr>
        <w:t xml:space="preserve"> to</w:t>
      </w:r>
      <w:r w:rsidR="00084FFE" w:rsidRPr="00770846">
        <w:rPr>
          <w:rFonts w:asciiTheme="majorHAnsi" w:hAnsiTheme="majorHAnsi" w:cstheme="majorHAnsi"/>
        </w:rPr>
        <w:t xml:space="preserve"> mimic t</w:t>
      </w:r>
      <w:r w:rsidR="00033522" w:rsidRPr="00770846">
        <w:rPr>
          <w:rFonts w:asciiTheme="majorHAnsi" w:hAnsiTheme="majorHAnsi" w:cstheme="majorHAnsi"/>
        </w:rPr>
        <w:t>he human treatment strategy</w:t>
      </w:r>
      <w:r w:rsidR="00ED19FA" w:rsidRPr="00770846">
        <w:rPr>
          <w:rFonts w:asciiTheme="majorHAnsi" w:hAnsiTheme="majorHAnsi" w:cstheme="majorHAnsi"/>
        </w:rPr>
        <w:t xml:space="preserve"> has been </w:t>
      </w:r>
      <w:r w:rsidRPr="00770846">
        <w:rPr>
          <w:rFonts w:asciiTheme="majorHAnsi" w:hAnsiTheme="majorHAnsi" w:cstheme="majorHAnsi"/>
        </w:rPr>
        <w:t>previously described</w:t>
      </w:r>
      <w:r w:rsidR="00980ED2"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{"citationItems":[{"id":"ITEM-1","itemData":{"DOI":"10.3791/56601","ISSN":"1940-087X","abstract":"© 2017, Journal of Visualized Experiments. All rights reserved. For decades, small animal radiation research was mostly performed using fairly crude experimental setups applying simple single-beam techniques without the ability to target a specific or well-delineated tumor volume. The delivery of radiation was achieved using fixed radiation sources or linear accelerators producing megavoltage (MV) X-rays. These devices are unable to achieve sub-millimeter precision required for small animals. Furthermore, the high doses delivered to healthy surrounding tissue hamper response assessment. To increase the translation between small animal studies and humans, our goal was to mimic the treatment of human glioblastoma in a rat model. To enable a more accurate irradiation in a preclinical setting, recently, precision image-guided small animal radiation research platforms were developed. Similar to human planning systems, treatment planning on these micro-irradiators is based on computed tomography (CT). However, low soft-tissue contrast on CT makes it very challenging to localize targets in certain tissues, such as the brain. Therefore, incorporating magnetic resonance imaging (MRI), which has excellent soft-tissue contrast compared to CT, would enable a more precise delineation of the target for irradiation. In the last decade also biological imaging techniques, such as positron emission tomography (PET) gained interest for radiation therapy treatment guidance. PET enables the visualization of e.g., glucose consumption, amino-acid transport, or hypoxia, present in the tumor. Targeting those highly proliferative or radio-resistant parts of the tumor with a higher dose could give a survival benefit. This hypothesis led to the introduction of the biological tumor volume (BTV), besides the conventional gross target volume (GTV), clinical target volume (CTV), and planned target volume (PTV). At the preclinical imaging lab of Ghent University, a micro-irradiator, a small animal PET, and a 7 T small animal MRI are available. The goal was to incorporate MRI-guided irradiation and PET-guided sub-volume boosting in a glioblastoma rat model.","author":[{"dropping-particle":"","family":"Bolcaen","given":"Julie","non-dropping-particle":"","parse-names":false,"suffix":""},{"dropping-particle":"","family":"Descamps","given":"Benedicte","non-dropping-particle":"","parse-names":false,"suffix":""},{"dropping-particle":"","family":"Boterberg","given":"Tom","non-dropping-particle":"","parse-names":false,"suffix":""},{"dropping-particle":"","family":"Vanhove","given":"Christian","non-dropping-particle":"","parse-names":false,"suffix":""},{"dropping-particle":"","family":"Goethals","given":"Ingeborg","non-dropping-particle":"","parse-names":false,"suffix":""}],"container-title":"Journal of Visualized Experiments","id":"ITEM-1","issue":"130","issued":{"date-parts":[["2017"]]},"page":"1-10","title":"PET and MRI Guided Irradiation of a Glioblastoma Rat Model Using a Micro-irradiator","type":"article-journal"},"uris":["http://www.mendeley.com/documents/?uuid=76745ea2-6d36-4fa7-9363-418bece7db83"]},{"id":"ITEM-2","itemData":{"DOI":"10.1007/s11060-014-1552-9","ISSN":"1573-7373","PMID":"25069566","abstract":"Current glioblastoma (GB) small animal models for cranial radiation therapy (RT) use simple single beam technologies, which differ from the advanced conformal image-guided radiation techniques used in clinical practice. This technological disparity presents a major disadvantage for the development of new therapeutic approaches. Hence, we established a F98 GB rat model using magnetic resonance imaging (MRI)-guided three-dimensional (3D)-conformal arc RT with the Small Animal Radiation Research Platform (SARRP). Ten Fischer rats were inoculated with F98 tumor cells. When the tumor reached a volume of approximately 27 mm(3) on T2-weighted MR images, the animals were randomized into a treatment group (n = 5) receiving RT and concomitant temozolomide, and a sham group (n = 5) receiving control injections. For the treated animals, contrast-enhanced T1-weighted MR images were acquired followed by a cone-beam computed tomography (CBCT) on the SARRP system. Both scans were co-registered; MRI was used to define the target whereas CBCT was used for calculating a dose plan (20 Gy, three non-coplanar arc beams, 3 × 3 mm collimator). Tumor volumes were evaluated on follow-up contrast-enhanced T1-weighted MR images. Verification of treatment accuracy with γH2AX immunohistochemical staining was performed. Tumors in the control animals showed rapid proliferation during follow-up, encompassing almost the entire right cerebral hemisphere at day 12-15. Treated animals showed no significant tumor growth from 2 to 9 days post RT. γH2AX results confirmed the accuracy of dose delivery. This model, which is quite similar to the approach in the clinic, is valid for combined RT and chemotherapy of GB in rats.","author":[{"dropping-particle":"","family":"Bolcaen","given":"Julie","non-dropping-particle":"","parse-names":false,"suffix":""},{"dropping-particle":"","family":"Descamps","given":"Benedicte","non-dropping-particle":"","parse-names":false,"suffix":""},{"dropping-particle":"","family":"Deblaere","given":"Karel","non-dropping-particle":"","parse-names":false,"suffix":""},{"dropping-particle":"","family":"Boterberg","given":"Tom","non-dropping-particle":"","parse-names":false,"suffix":""},{"dropping-particle":"","family":"Hallaert","given":"Giorgio","non-dropping-particle":"","parse-names":false,"suffix":""},{"dropping-particle":"","family":"Broecke","given":"Caroline","non-dropping-particle":"Van den","parse-names":false,"suffix":""},{"dropping-particle":"","family":"Decrock","given":"Elke","non-dropping-particle":"","parse-names":false,"suffix":""},{"dropping-particle":"","family":"Vral","given":"Anne","non-dropping-particle":"","parse-names":false,"suffix":""},{"dropping-particle":"","family":"Leybaert","given":"Luc","non-dropping-particle":"","parse-names":false,"suffix":""},{"dropping-particle":"","family":"Vanhove","given":"Christian","non-dropping-particle":"","parse-names":false,"suffix":""},{"dropping-particle":"","family":"Goethals","given":"Ingeborg","non-dropping-particle":"","parse-names":false,"suffix":""}],"container-title":"Journal of neuro-oncology","id":"ITEM-2","issue":"2","issued":{"date-parts":[["2014","11"]]},"page":"257-66","title":"MRI-guided 3D conformal arc micro-irradiation of a F98 glioblastoma rat model using the Small Animal Radiation Research Platform (SARRP).","type":"article-journal","volume":"120"},"uris":["http://www.mendeley.com/documents/?uuid=2644fe47-8dbf-46aa-b4d0-10a7d636faf7"]},{"id":"ITEM-3","itemData":{"DOI":"10.1186/s13014-019-1290-4","ISSN":"1748717X","abstract":"© 2019 The Author(s). Background: Glioblastoma (GB) is the most common primary malignant brain tumor. Standard medical treatment consists of a maximal safe surgical resection, subsequently radiation therapy (RT) and chemotherapy with temozolomide (TMZ). An accurate definition of the tumor volume is of utmost importance for guiding RT. In this project we investigated the feasibility and treatment response of subvolume boosting to a PET-defined tumor part. Method: F98 GB cells inoculated in the rat brain were imaged using T2- and contrast-enhanced T1-weighted (T1w) MRI. A dose of 20 Gy (5 × 5 mm2) was delivered to the target volume delineated based on T1w MRI for three treatment groups. Two of those treatment groups received an additional radiation boost of 5 Gy (1 × 1 mm2) delivered to the region either with maximum [18F]FET or [18F]FAZA PET tracer uptake, respectively. All therapy groups received intraperitoneal (IP) injections of TMZ. Finally, a control group received no RT and only control IP injections. The average, minimum and maximum dose, as well as the D90-, D50- and D2- values were calculated for nine rats using both RT plans. To evaluate response to therapy, follow-up tumor volumes were delineated based on T1w MRI. Results: When comparing the dose volume histograms, a significant difference was found exclusively between the D2-values. A significant difference in tumor growth was only found between active therapy and sham therapy respectively, while no significant differences were found when comparing the three treatment groups. Conclusion: In this study we showed the feasibility of PET guided subvolume boosting of F98 glioblastoma in rats. No evidence was found for a beneficial effect regarding tumor response. However, improvements for dose targeting in rodents and studies investigating new targeted drugs for GB treatment are mandatory.","author":[{"dropping-particle":"","family":"Verhoeven","given":"J.","non-dropping-particle":"","parse-names":false,"suffix":""},{"dropping-particle":"","family":"Bolcaen","given":"J.","non-dropping-particle":"","parse-names":false,"suffix":""},{"dropping-particle":"","family":"Meulenaere","given":"V.","non-dropping-particle":"De","parse-names":false,"suffix":""},{"dropping-particle":"","family":"Kersemans","given":"K.","non-dropping-particle":"","parse-names":false,"suffix":""},{"dropping-particle":"","family":"Descamps","given":"B.","non-dropping-particle":"","parse-names":false,"suffix":""},{"dropping-particle":"","family":"Donche","given":"S.","non-dropping-particle":"","parse-names":false,"suffix":""},{"dropping-particle":"","family":"Broecke","given":"C.","non-dropping-particle":"Van Den","parse-names":false,"suffix":""},{"dropping-particle":"","family":"Boterberg","given":"T.","non-dropping-particle":"","parse-names":false,"suffix":""},{"dropping-particle":"","family":"Kalala","given":"J.-P.","non-dropping-particle":"","parse-names":false,"suffix":""},{"dropping-particle":"","family":"Deblaere","given":"K.","non-dropping-particle":"","parse-names":false,"suffix":""},{"dropping-particle":"","family":"Vanhove","given":"C.","non-dropping-particle":"","parse-names":false,"suffix":""},{"dropping-particle":"","family":"Vos","given":"F.","non-dropping-particle":"De","parse-names":false,"suffix":""},{"dropping-particle":"","family":"Goethals","given":"I.","non-dropping-particle":"","parse-names":false,"suffix":""}],"container-title":"Radiation Oncology","id":"ITEM-3","issue":"1","issued":{"date-parts":[["2019"]]},"title":"Technical feasibility of [&lt;sup&gt;18&lt;/sup&gt;F]FET and [&lt;sup&gt;18&lt;/sup&gt;F]FAZA PET guided radiotherapy in a F98 glioblastoma rat model","type":"article-journal","volume":"14"},"uris":["http://www.mendeley.com/documents/?uuid=579295ad-8f4d-3f75-884e-ad23f2c9660b"]}],"mendeley":{"formattedCitation":"&lt;sup&gt;20–22&lt;/sup&gt;","plainTextFormattedCitation":"20–22","previouslyFormattedCitation":"&lt;sup&gt;20–22&lt;/sup&gt;"},"properties":{"noteIndex":0},"schema":"https://github.com/citation-style-language/schema/raw/master/csl-citation.json"}</w:instrText>
      </w:r>
      <w:r w:rsidR="00980ED2"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20–22</w:t>
      </w:r>
      <w:r w:rsidR="00980ED2" w:rsidRPr="00770846">
        <w:rPr>
          <w:rFonts w:asciiTheme="majorHAnsi" w:hAnsiTheme="majorHAnsi" w:cstheme="majorHAnsi"/>
        </w:rPr>
        <w:fldChar w:fldCharType="end"/>
      </w:r>
      <w:r w:rsidR="001151D4" w:rsidRPr="00770846">
        <w:rPr>
          <w:rFonts w:asciiTheme="majorHAnsi" w:hAnsiTheme="majorHAnsi" w:cstheme="majorHAnsi"/>
        </w:rPr>
        <w:t>.</w:t>
      </w:r>
      <w:r w:rsidR="008E6FEF" w:rsidRPr="00770846">
        <w:rPr>
          <w:rFonts w:asciiTheme="majorHAnsi" w:hAnsiTheme="majorHAnsi" w:cstheme="majorHAnsi"/>
        </w:rPr>
        <w:t xml:space="preserve"> </w:t>
      </w:r>
      <w:r w:rsidR="00B31402" w:rsidRPr="00770846">
        <w:rPr>
          <w:rFonts w:asciiTheme="majorHAnsi" w:hAnsiTheme="majorHAnsi" w:cstheme="majorHAnsi"/>
        </w:rPr>
        <w:t>While the animal was fixed on a multimodality bed</w:t>
      </w:r>
      <w:r w:rsidR="00ED19FA" w:rsidRPr="00770846">
        <w:rPr>
          <w:rFonts w:asciiTheme="majorHAnsi" w:hAnsiTheme="majorHAnsi" w:cstheme="majorHAnsi"/>
        </w:rPr>
        <w:t xml:space="preserve"> made in-house</w:t>
      </w:r>
      <w:r w:rsidR="00B31402" w:rsidRPr="00770846">
        <w:rPr>
          <w:rFonts w:asciiTheme="majorHAnsi" w:hAnsiTheme="majorHAnsi" w:cstheme="majorHAnsi"/>
        </w:rPr>
        <w:t xml:space="preserve">, </w:t>
      </w:r>
      <w:r w:rsidRPr="00770846">
        <w:rPr>
          <w:rFonts w:asciiTheme="majorHAnsi" w:hAnsiTheme="majorHAnsi" w:cstheme="majorHAnsi"/>
        </w:rPr>
        <w:t>it was possible</w:t>
      </w:r>
      <w:r w:rsidR="00F903B1" w:rsidRPr="00770846">
        <w:rPr>
          <w:rFonts w:asciiTheme="majorHAnsi" w:hAnsiTheme="majorHAnsi" w:cstheme="majorHAnsi"/>
        </w:rPr>
        <w:t xml:space="preserve"> to </w:t>
      </w:r>
      <w:r w:rsidR="006E6D4E" w:rsidRPr="00770846">
        <w:rPr>
          <w:rFonts w:asciiTheme="majorHAnsi" w:hAnsiTheme="majorHAnsi" w:cstheme="majorHAnsi"/>
        </w:rPr>
        <w:t>create</w:t>
      </w:r>
      <w:r w:rsidR="00060ED7" w:rsidRPr="00770846">
        <w:rPr>
          <w:rFonts w:asciiTheme="majorHAnsi" w:hAnsiTheme="majorHAnsi" w:cstheme="majorHAnsi"/>
        </w:rPr>
        <w:t xml:space="preserve"> a</w:t>
      </w:r>
      <w:r w:rsidR="00A5060E" w:rsidRPr="00770846">
        <w:rPr>
          <w:rFonts w:asciiTheme="majorHAnsi" w:hAnsiTheme="majorHAnsi" w:cstheme="majorHAnsi"/>
        </w:rPr>
        <w:t>n acceptable</w:t>
      </w:r>
      <w:r w:rsidR="00060ED7" w:rsidRPr="00770846">
        <w:rPr>
          <w:rFonts w:asciiTheme="majorHAnsi" w:hAnsiTheme="majorHAnsi" w:cstheme="majorHAnsi"/>
        </w:rPr>
        <w:t xml:space="preserve"> radiation </w:t>
      </w:r>
      <w:r w:rsidR="006E6D4E" w:rsidRPr="00770846">
        <w:rPr>
          <w:rFonts w:asciiTheme="majorHAnsi" w:hAnsiTheme="majorHAnsi" w:cstheme="majorHAnsi"/>
        </w:rPr>
        <w:t>treatment</w:t>
      </w:r>
      <w:r w:rsidR="00060ED7" w:rsidRPr="00770846">
        <w:rPr>
          <w:rFonts w:asciiTheme="majorHAnsi" w:hAnsiTheme="majorHAnsi" w:cstheme="majorHAnsi"/>
        </w:rPr>
        <w:t xml:space="preserve"> plan combining</w:t>
      </w:r>
      <w:r w:rsidR="00F903B1" w:rsidRPr="00770846">
        <w:rPr>
          <w:rFonts w:asciiTheme="majorHAnsi" w:hAnsiTheme="majorHAnsi" w:cstheme="majorHAnsi"/>
        </w:rPr>
        <w:t xml:space="preserve"> three imaging modalities: PET, MRI</w:t>
      </w:r>
      <w:r w:rsidR="00850B85" w:rsidRPr="00770846">
        <w:rPr>
          <w:rFonts w:asciiTheme="majorHAnsi" w:hAnsiTheme="majorHAnsi" w:cstheme="majorHAnsi"/>
        </w:rPr>
        <w:t>,</w:t>
      </w:r>
      <w:r w:rsidR="00F903B1" w:rsidRPr="00770846">
        <w:rPr>
          <w:rFonts w:asciiTheme="majorHAnsi" w:hAnsiTheme="majorHAnsi" w:cstheme="majorHAnsi"/>
        </w:rPr>
        <w:t xml:space="preserve"> and CT</w:t>
      </w:r>
      <w:r w:rsidR="00B31402" w:rsidRPr="00770846">
        <w:rPr>
          <w:rFonts w:asciiTheme="majorHAnsi" w:hAnsiTheme="majorHAnsi" w:cstheme="majorHAnsi"/>
        </w:rPr>
        <w:t xml:space="preserve">. </w:t>
      </w:r>
      <w:r w:rsidR="000706CA" w:rsidRPr="00770846">
        <w:rPr>
          <w:rFonts w:asciiTheme="majorHAnsi" w:hAnsiTheme="majorHAnsi" w:cstheme="majorHAnsi"/>
        </w:rPr>
        <w:t>In these methods</w:t>
      </w:r>
      <w:r w:rsidR="006D4DE2" w:rsidRPr="00770846">
        <w:rPr>
          <w:rFonts w:asciiTheme="majorHAnsi" w:hAnsiTheme="majorHAnsi" w:cstheme="majorHAnsi"/>
        </w:rPr>
        <w:t>,</w:t>
      </w:r>
      <w:r w:rsidR="00FB589F" w:rsidRPr="00770846">
        <w:rPr>
          <w:rFonts w:asciiTheme="majorHAnsi" w:hAnsiTheme="majorHAnsi" w:cstheme="majorHAnsi"/>
        </w:rPr>
        <w:t xml:space="preserve"> an external software</w:t>
      </w:r>
      <w:r w:rsidR="00F10965" w:rsidRPr="00770846">
        <w:rPr>
          <w:rFonts w:asciiTheme="majorHAnsi" w:hAnsiTheme="majorHAnsi" w:cstheme="majorHAnsi"/>
        </w:rPr>
        <w:t xml:space="preserve"> package</w:t>
      </w:r>
      <w:r w:rsidR="00822324" w:rsidRPr="00770846">
        <w:rPr>
          <w:rFonts w:asciiTheme="majorHAnsi" w:hAnsiTheme="majorHAnsi" w:cstheme="majorHAnsi"/>
        </w:rPr>
        <w:t xml:space="preserve"> (</w:t>
      </w:r>
      <w:r w:rsidR="00F151D2" w:rsidRPr="00770846">
        <w:rPr>
          <w:rFonts w:asciiTheme="majorHAnsi" w:hAnsiTheme="majorHAnsi" w:cstheme="majorHAnsi"/>
        </w:rPr>
        <w:t xml:space="preserve">see the </w:t>
      </w:r>
      <w:r w:rsidR="00F151D2" w:rsidRPr="00770846">
        <w:rPr>
          <w:rFonts w:asciiTheme="majorHAnsi" w:hAnsiTheme="majorHAnsi" w:cstheme="majorHAnsi"/>
          <w:b/>
          <w:bCs/>
        </w:rPr>
        <w:t>Table of Materials</w:t>
      </w:r>
      <w:r w:rsidR="00822324" w:rsidRPr="00770846">
        <w:rPr>
          <w:rFonts w:asciiTheme="majorHAnsi" w:hAnsiTheme="majorHAnsi" w:cstheme="majorHAnsi"/>
        </w:rPr>
        <w:t>)</w:t>
      </w:r>
      <w:r w:rsidR="00FB589F" w:rsidRPr="00770846">
        <w:rPr>
          <w:rFonts w:asciiTheme="majorHAnsi" w:hAnsiTheme="majorHAnsi" w:cstheme="majorHAnsi"/>
        </w:rPr>
        <w:t xml:space="preserve"> was used to co</w:t>
      </w:r>
      <w:r w:rsidR="00C33D18" w:rsidRPr="00770846">
        <w:rPr>
          <w:rFonts w:asciiTheme="majorHAnsi" w:hAnsiTheme="majorHAnsi" w:cstheme="majorHAnsi"/>
        </w:rPr>
        <w:t>-</w:t>
      </w:r>
      <w:r w:rsidR="00FB589F" w:rsidRPr="00770846">
        <w:rPr>
          <w:rFonts w:asciiTheme="majorHAnsi" w:hAnsiTheme="majorHAnsi" w:cstheme="majorHAnsi"/>
        </w:rPr>
        <w:t>register the images using rigid-body transformations</w:t>
      </w:r>
      <w:r w:rsidR="00944E7B" w:rsidRPr="00770846">
        <w:rPr>
          <w:rFonts w:asciiTheme="majorHAnsi" w:hAnsiTheme="majorHAnsi" w:cstheme="majorHAnsi"/>
        </w:rPr>
        <w:t xml:space="preserve"> manually</w:t>
      </w:r>
      <w:r w:rsidR="00FB589F" w:rsidRPr="00770846">
        <w:rPr>
          <w:rFonts w:asciiTheme="majorHAnsi" w:hAnsiTheme="majorHAnsi" w:cstheme="majorHAnsi"/>
        </w:rPr>
        <w:t xml:space="preserve">. </w:t>
      </w:r>
      <w:r w:rsidR="00E642D5" w:rsidRPr="00770846">
        <w:rPr>
          <w:rFonts w:asciiTheme="majorHAnsi" w:hAnsiTheme="majorHAnsi" w:cstheme="majorHAnsi"/>
        </w:rPr>
        <w:t>The contrast-enhanced T</w:t>
      </w:r>
      <w:r w:rsidR="00E642D5" w:rsidRPr="00770846">
        <w:rPr>
          <w:rFonts w:asciiTheme="majorHAnsi" w:hAnsiTheme="majorHAnsi" w:cstheme="majorHAnsi"/>
          <w:vertAlign w:val="subscript"/>
        </w:rPr>
        <w:t>1</w:t>
      </w:r>
      <w:r w:rsidR="00E642D5" w:rsidRPr="00770846">
        <w:rPr>
          <w:rFonts w:asciiTheme="majorHAnsi" w:hAnsiTheme="majorHAnsi" w:cstheme="majorHAnsi"/>
        </w:rPr>
        <w:t xml:space="preserve">-weighted MRI and PET </w:t>
      </w:r>
      <w:r w:rsidR="00614DBF" w:rsidRPr="00770846">
        <w:rPr>
          <w:rFonts w:asciiTheme="majorHAnsi" w:hAnsiTheme="majorHAnsi" w:cstheme="majorHAnsi"/>
        </w:rPr>
        <w:t>images</w:t>
      </w:r>
      <w:r w:rsidR="00E642D5" w:rsidRPr="00770846">
        <w:rPr>
          <w:rFonts w:asciiTheme="majorHAnsi" w:hAnsiTheme="majorHAnsi" w:cstheme="majorHAnsi"/>
        </w:rPr>
        <w:t xml:space="preserve"> w</w:t>
      </w:r>
      <w:r w:rsidR="00614DBF" w:rsidRPr="00770846">
        <w:rPr>
          <w:rFonts w:asciiTheme="majorHAnsi" w:hAnsiTheme="majorHAnsi" w:cstheme="majorHAnsi"/>
        </w:rPr>
        <w:t>ere</w:t>
      </w:r>
      <w:r w:rsidR="00E642D5" w:rsidRPr="00770846">
        <w:rPr>
          <w:rFonts w:asciiTheme="majorHAnsi" w:hAnsiTheme="majorHAnsi" w:cstheme="majorHAnsi"/>
        </w:rPr>
        <w:t xml:space="preserve"> visually assessed</w:t>
      </w:r>
      <w:r w:rsidR="006405EC" w:rsidRPr="00770846">
        <w:rPr>
          <w:rFonts w:asciiTheme="majorHAnsi" w:hAnsiTheme="majorHAnsi" w:cstheme="majorHAnsi"/>
        </w:rPr>
        <w:t xml:space="preserve"> </w:t>
      </w:r>
      <w:r w:rsidR="00614DBF" w:rsidRPr="00770846">
        <w:rPr>
          <w:rFonts w:asciiTheme="majorHAnsi" w:hAnsiTheme="majorHAnsi" w:cstheme="majorHAnsi"/>
        </w:rPr>
        <w:t>from</w:t>
      </w:r>
      <w:r w:rsidR="006405EC" w:rsidRPr="00770846">
        <w:rPr>
          <w:rFonts w:asciiTheme="majorHAnsi" w:hAnsiTheme="majorHAnsi" w:cstheme="majorHAnsi"/>
        </w:rPr>
        <w:t xml:space="preserve"> which the</w:t>
      </w:r>
      <w:r w:rsidR="00E642D5" w:rsidRPr="00770846">
        <w:rPr>
          <w:rFonts w:asciiTheme="majorHAnsi" w:hAnsiTheme="majorHAnsi" w:cstheme="majorHAnsi"/>
        </w:rPr>
        <w:t xml:space="preserve"> isocenter</w:t>
      </w:r>
      <w:r w:rsidR="002C6681" w:rsidRPr="00770846">
        <w:rPr>
          <w:rFonts w:asciiTheme="majorHAnsi" w:hAnsiTheme="majorHAnsi" w:cstheme="majorHAnsi"/>
        </w:rPr>
        <w:t>s</w:t>
      </w:r>
      <w:r w:rsidR="0040656A" w:rsidRPr="00770846">
        <w:rPr>
          <w:rFonts w:asciiTheme="majorHAnsi" w:hAnsiTheme="majorHAnsi" w:cstheme="majorHAnsi"/>
        </w:rPr>
        <w:t xml:space="preserve"> w</w:t>
      </w:r>
      <w:r w:rsidR="002C6681" w:rsidRPr="00770846">
        <w:rPr>
          <w:rFonts w:asciiTheme="majorHAnsi" w:hAnsiTheme="majorHAnsi" w:cstheme="majorHAnsi"/>
        </w:rPr>
        <w:t>ere</w:t>
      </w:r>
      <w:r w:rsidR="0040656A" w:rsidRPr="00770846">
        <w:rPr>
          <w:rFonts w:asciiTheme="majorHAnsi" w:hAnsiTheme="majorHAnsi" w:cstheme="majorHAnsi"/>
        </w:rPr>
        <w:t xml:space="preserve"> manually </w:t>
      </w:r>
      <w:r w:rsidR="00A9056C" w:rsidRPr="00770846">
        <w:rPr>
          <w:rFonts w:asciiTheme="majorHAnsi" w:hAnsiTheme="majorHAnsi" w:cstheme="majorHAnsi"/>
        </w:rPr>
        <w:t>selected</w:t>
      </w:r>
      <w:r w:rsidR="0040656A" w:rsidRPr="00770846">
        <w:rPr>
          <w:rFonts w:asciiTheme="majorHAnsi" w:hAnsiTheme="majorHAnsi" w:cstheme="majorHAnsi"/>
        </w:rPr>
        <w:t xml:space="preserve">. </w:t>
      </w:r>
      <w:r w:rsidR="00A9056C" w:rsidRPr="00770846">
        <w:rPr>
          <w:rFonts w:asciiTheme="majorHAnsi" w:hAnsiTheme="majorHAnsi" w:cstheme="majorHAnsi"/>
        </w:rPr>
        <w:t>However, t</w:t>
      </w:r>
      <w:r w:rsidR="006004D4" w:rsidRPr="00770846">
        <w:rPr>
          <w:rFonts w:asciiTheme="majorHAnsi" w:hAnsiTheme="majorHAnsi" w:cstheme="majorHAnsi"/>
        </w:rPr>
        <w:t xml:space="preserve">his methodology proved to be </w:t>
      </w:r>
      <w:r w:rsidR="003869E9" w:rsidRPr="00770846">
        <w:rPr>
          <w:rFonts w:asciiTheme="majorHAnsi" w:hAnsiTheme="majorHAnsi" w:cstheme="majorHAnsi"/>
        </w:rPr>
        <w:t>labor</w:t>
      </w:r>
      <w:r w:rsidR="00F151D2" w:rsidRPr="00770846">
        <w:rPr>
          <w:rFonts w:asciiTheme="majorHAnsi" w:hAnsiTheme="majorHAnsi" w:cstheme="majorHAnsi"/>
        </w:rPr>
        <w:t>-</w:t>
      </w:r>
      <w:r w:rsidR="003869E9" w:rsidRPr="00770846">
        <w:rPr>
          <w:rFonts w:asciiTheme="majorHAnsi" w:hAnsiTheme="majorHAnsi" w:cstheme="majorHAnsi"/>
        </w:rPr>
        <w:t>intensive</w:t>
      </w:r>
      <w:r w:rsidR="002951D3" w:rsidRPr="00770846">
        <w:rPr>
          <w:rFonts w:asciiTheme="majorHAnsi" w:hAnsiTheme="majorHAnsi" w:cstheme="majorHAnsi"/>
        </w:rPr>
        <w:t xml:space="preserve"> </w:t>
      </w:r>
      <w:r w:rsidR="008E642D" w:rsidRPr="00770846">
        <w:rPr>
          <w:rFonts w:asciiTheme="majorHAnsi" w:hAnsiTheme="majorHAnsi" w:cstheme="majorHAnsi"/>
        </w:rPr>
        <w:t>and certainly has an impact on the animal</w:t>
      </w:r>
      <w:r w:rsidR="00A9056C" w:rsidRPr="00770846">
        <w:rPr>
          <w:rFonts w:asciiTheme="majorHAnsi" w:hAnsiTheme="majorHAnsi" w:cstheme="majorHAnsi"/>
        </w:rPr>
        <w:t>s</w:t>
      </w:r>
      <w:r w:rsidR="00893B30" w:rsidRPr="00770846">
        <w:rPr>
          <w:rFonts w:asciiTheme="majorHAnsi" w:hAnsiTheme="majorHAnsi" w:cstheme="majorHAnsi"/>
        </w:rPr>
        <w:t xml:space="preserve"> as they </w:t>
      </w:r>
      <w:proofErr w:type="gramStart"/>
      <w:r w:rsidR="00893B30" w:rsidRPr="00770846">
        <w:rPr>
          <w:rFonts w:asciiTheme="majorHAnsi" w:hAnsiTheme="majorHAnsi" w:cstheme="majorHAnsi"/>
        </w:rPr>
        <w:t>have to</w:t>
      </w:r>
      <w:proofErr w:type="gramEnd"/>
      <w:r w:rsidR="00893B30" w:rsidRPr="00770846">
        <w:rPr>
          <w:rFonts w:asciiTheme="majorHAnsi" w:hAnsiTheme="majorHAnsi" w:cstheme="majorHAnsi"/>
        </w:rPr>
        <w:t xml:space="preserve"> stay under general anesthesia </w:t>
      </w:r>
      <w:r w:rsidR="00E312A6" w:rsidRPr="00770846">
        <w:rPr>
          <w:rFonts w:asciiTheme="majorHAnsi" w:hAnsiTheme="majorHAnsi" w:cstheme="majorHAnsi"/>
        </w:rPr>
        <w:t>during</w:t>
      </w:r>
      <w:r w:rsidR="00893B30" w:rsidRPr="00770846">
        <w:rPr>
          <w:rFonts w:asciiTheme="majorHAnsi" w:hAnsiTheme="majorHAnsi" w:cstheme="majorHAnsi"/>
        </w:rPr>
        <w:t xml:space="preserve"> </w:t>
      </w:r>
      <w:r w:rsidR="00E312A6" w:rsidRPr="00770846">
        <w:rPr>
          <w:rFonts w:asciiTheme="majorHAnsi" w:hAnsiTheme="majorHAnsi" w:cstheme="majorHAnsi"/>
        </w:rPr>
        <w:t>the</w:t>
      </w:r>
      <w:r w:rsidR="00893B30" w:rsidRPr="00770846">
        <w:rPr>
          <w:rFonts w:asciiTheme="majorHAnsi" w:hAnsiTheme="majorHAnsi" w:cstheme="majorHAnsi"/>
        </w:rPr>
        <w:t xml:space="preserve"> multi</w:t>
      </w:r>
      <w:r w:rsidR="003F627A" w:rsidRPr="00770846">
        <w:rPr>
          <w:rFonts w:asciiTheme="majorHAnsi" w:hAnsiTheme="majorHAnsi" w:cstheme="majorHAnsi"/>
        </w:rPr>
        <w:t xml:space="preserve">modality imaging and </w:t>
      </w:r>
      <w:r w:rsidR="00E312A6" w:rsidRPr="00770846">
        <w:rPr>
          <w:rFonts w:asciiTheme="majorHAnsi" w:hAnsiTheme="majorHAnsi" w:cstheme="majorHAnsi"/>
        </w:rPr>
        <w:t xml:space="preserve">the </w:t>
      </w:r>
      <w:r w:rsidR="003F627A" w:rsidRPr="00770846">
        <w:rPr>
          <w:rFonts w:asciiTheme="majorHAnsi" w:hAnsiTheme="majorHAnsi" w:cstheme="majorHAnsi"/>
        </w:rPr>
        <w:t>creat</w:t>
      </w:r>
      <w:r w:rsidR="00E312A6" w:rsidRPr="00770846">
        <w:rPr>
          <w:rFonts w:asciiTheme="majorHAnsi" w:hAnsiTheme="majorHAnsi" w:cstheme="majorHAnsi"/>
        </w:rPr>
        <w:t>ion of</w:t>
      </w:r>
      <w:r w:rsidR="003F627A" w:rsidRPr="00770846">
        <w:rPr>
          <w:rFonts w:asciiTheme="majorHAnsi" w:hAnsiTheme="majorHAnsi" w:cstheme="majorHAnsi"/>
        </w:rPr>
        <w:t xml:space="preserve"> a treatment plan.</w:t>
      </w:r>
      <w:r w:rsidR="00470B19" w:rsidRPr="00770846">
        <w:rPr>
          <w:rFonts w:asciiTheme="majorHAnsi" w:hAnsiTheme="majorHAnsi" w:cstheme="majorHAnsi"/>
        </w:rPr>
        <w:t xml:space="preserve"> </w:t>
      </w:r>
      <w:r w:rsidR="0024253C" w:rsidRPr="00770846">
        <w:rPr>
          <w:rFonts w:asciiTheme="majorHAnsi" w:hAnsiTheme="majorHAnsi" w:cstheme="majorHAnsi"/>
        </w:rPr>
        <w:t xml:space="preserve">Therefore, </w:t>
      </w:r>
      <w:r w:rsidR="0053776F" w:rsidRPr="00770846">
        <w:rPr>
          <w:rFonts w:asciiTheme="majorHAnsi" w:hAnsiTheme="majorHAnsi" w:cstheme="majorHAnsi"/>
        </w:rPr>
        <w:t>the</w:t>
      </w:r>
      <w:r w:rsidR="0024253C" w:rsidRPr="00770846">
        <w:rPr>
          <w:rFonts w:asciiTheme="majorHAnsi" w:hAnsiTheme="majorHAnsi" w:cstheme="majorHAnsi"/>
        </w:rPr>
        <w:t xml:space="preserve"> new methodology aims to </w:t>
      </w:r>
      <w:r w:rsidR="00D41344" w:rsidRPr="00770846">
        <w:rPr>
          <w:rFonts w:asciiTheme="majorHAnsi" w:hAnsiTheme="majorHAnsi" w:cstheme="majorHAnsi"/>
        </w:rPr>
        <w:t xml:space="preserve">automate </w:t>
      </w:r>
      <w:r w:rsidR="00635CC8" w:rsidRPr="00770846">
        <w:rPr>
          <w:rFonts w:asciiTheme="majorHAnsi" w:hAnsiTheme="majorHAnsi" w:cstheme="majorHAnsi"/>
        </w:rPr>
        <w:t>specific</w:t>
      </w:r>
      <w:r w:rsidR="00D41344" w:rsidRPr="00770846">
        <w:rPr>
          <w:rFonts w:asciiTheme="majorHAnsi" w:hAnsiTheme="majorHAnsi" w:cstheme="majorHAnsi"/>
        </w:rPr>
        <w:t xml:space="preserve"> steps in this process</w:t>
      </w:r>
      <w:r w:rsidR="00B87853" w:rsidRPr="00770846">
        <w:rPr>
          <w:rFonts w:asciiTheme="majorHAnsi" w:hAnsiTheme="majorHAnsi" w:cstheme="majorHAnsi"/>
        </w:rPr>
        <w:t xml:space="preserve"> to reduce </w:t>
      </w:r>
      <w:r w:rsidR="00B95F8C" w:rsidRPr="00770846">
        <w:rPr>
          <w:rFonts w:asciiTheme="majorHAnsi" w:hAnsiTheme="majorHAnsi" w:cstheme="majorHAnsi"/>
        </w:rPr>
        <w:t xml:space="preserve">the </w:t>
      </w:r>
      <w:r w:rsidR="006405EC" w:rsidRPr="00770846">
        <w:rPr>
          <w:rFonts w:asciiTheme="majorHAnsi" w:hAnsiTheme="majorHAnsi" w:cstheme="majorHAnsi"/>
        </w:rPr>
        <w:t xml:space="preserve">overall </w:t>
      </w:r>
      <w:r w:rsidR="00B87853" w:rsidRPr="00770846">
        <w:rPr>
          <w:rFonts w:asciiTheme="majorHAnsi" w:hAnsiTheme="majorHAnsi" w:cstheme="majorHAnsi"/>
        </w:rPr>
        <w:t xml:space="preserve">variance and </w:t>
      </w:r>
      <w:r w:rsidR="00024F27" w:rsidRPr="00770846">
        <w:rPr>
          <w:rFonts w:asciiTheme="majorHAnsi" w:hAnsiTheme="majorHAnsi" w:cstheme="majorHAnsi"/>
        </w:rPr>
        <w:t xml:space="preserve">time </w:t>
      </w:r>
      <w:r w:rsidR="00E16265" w:rsidRPr="00770846">
        <w:rPr>
          <w:rFonts w:asciiTheme="majorHAnsi" w:hAnsiTheme="majorHAnsi" w:cstheme="majorHAnsi"/>
        </w:rPr>
        <w:t xml:space="preserve">required </w:t>
      </w:r>
      <w:r w:rsidR="00024F27" w:rsidRPr="00770846">
        <w:rPr>
          <w:rFonts w:asciiTheme="majorHAnsi" w:hAnsiTheme="majorHAnsi" w:cstheme="majorHAnsi"/>
        </w:rPr>
        <w:t xml:space="preserve">to </w:t>
      </w:r>
      <w:r w:rsidR="00D17337" w:rsidRPr="00770846">
        <w:rPr>
          <w:rFonts w:asciiTheme="majorHAnsi" w:hAnsiTheme="majorHAnsi" w:cstheme="majorHAnsi"/>
        </w:rPr>
        <w:t>create a radiation treatment plan.</w:t>
      </w:r>
      <w:r w:rsidR="00024F27" w:rsidRPr="00770846">
        <w:rPr>
          <w:rFonts w:asciiTheme="majorHAnsi" w:hAnsiTheme="majorHAnsi" w:cstheme="majorHAnsi"/>
        </w:rPr>
        <w:t xml:space="preserve"> </w:t>
      </w:r>
    </w:p>
    <w:p w14:paraId="079E8E1F" w14:textId="0A2A9A31" w:rsidR="00724023" w:rsidRPr="00770846" w:rsidRDefault="00724023" w:rsidP="00770846">
      <w:pPr>
        <w:rPr>
          <w:rFonts w:asciiTheme="majorHAnsi" w:hAnsiTheme="majorHAnsi" w:cstheme="majorHAnsi"/>
        </w:rPr>
      </w:pPr>
    </w:p>
    <w:p w14:paraId="59A76CF7" w14:textId="1C779369" w:rsidR="00E107B9" w:rsidRPr="00770846" w:rsidRDefault="006E3775" w:rsidP="00770846">
      <w:pPr>
        <w:rPr>
          <w:rFonts w:asciiTheme="majorHAnsi" w:hAnsiTheme="majorHAnsi" w:cstheme="majorHAnsi"/>
        </w:rPr>
      </w:pPr>
      <w:r w:rsidRPr="00770846">
        <w:rPr>
          <w:rFonts w:asciiTheme="majorHAnsi" w:hAnsiTheme="majorHAnsi" w:cstheme="majorHAnsi"/>
        </w:rPr>
        <w:t xml:space="preserve">In this paper, </w:t>
      </w:r>
      <w:r w:rsidR="003A0540" w:rsidRPr="00770846">
        <w:rPr>
          <w:rFonts w:asciiTheme="majorHAnsi" w:hAnsiTheme="majorHAnsi" w:cstheme="majorHAnsi"/>
        </w:rPr>
        <w:t xml:space="preserve">two </w:t>
      </w:r>
      <w:r w:rsidR="00596CD5" w:rsidRPr="00770846">
        <w:rPr>
          <w:rFonts w:asciiTheme="majorHAnsi" w:hAnsiTheme="majorHAnsi" w:cstheme="majorHAnsi"/>
        </w:rPr>
        <w:t xml:space="preserve">methodologies are compared. Method 1 is very similar to </w:t>
      </w:r>
      <w:r w:rsidR="0053776F" w:rsidRPr="00770846">
        <w:rPr>
          <w:rFonts w:asciiTheme="majorHAnsi" w:hAnsiTheme="majorHAnsi" w:cstheme="majorHAnsi"/>
        </w:rPr>
        <w:t>the</w:t>
      </w:r>
      <w:r w:rsidR="00596CD5" w:rsidRPr="00770846">
        <w:rPr>
          <w:rFonts w:asciiTheme="majorHAnsi" w:hAnsiTheme="majorHAnsi" w:cstheme="majorHAnsi"/>
        </w:rPr>
        <w:t xml:space="preserve"> previously published methodology</w:t>
      </w:r>
      <w:r w:rsidR="00E107B9"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{"citationItems":[{"id":"ITEM-1","itemData":{"DOI":"10.1007/s11060-014-1552-9","ISSN":"1573-7373","PMID":"25069566","abstract":"Current glioblastoma (GB) small animal models for cranial radiation therapy (RT) use simple single beam technologies, which differ from the advanced conformal image-guided radiation techniques used in clinical practice. This technological disparity presents a major disadvantage for the development of new therapeutic approaches. Hence, we established a F98 GB rat model using magnetic resonance imaging (MRI)-guided three-dimensional (3D)-conformal arc RT with the Small Animal Radiation Research Platform (SARRP). Ten Fischer rats were inoculated with F98 tumor cells. When the tumor reached a volume of approximately 27 mm(3) on T2-weighted MR images, the animals were randomized into a treatment group (n = 5) receiving RT and concomitant temozolomide, and a sham group (n = 5) receiving control injections. For the treated animals, contrast-enhanced T1-weighted MR images were acquired followed by a cone-beam computed tomography (CBCT) on the SARRP system. Both scans were co-registered; MRI was used to define the target whereas CBCT was used for calculating a dose plan (20 Gy, three non-coplanar arc beams, 3 × 3 mm collimator). Tumor volumes were evaluated on follow-up contrast-enhanced T1-weighted MR images. Verification of treatment accuracy with γH2AX immunohistochemical staining was performed. Tumors in the control animals showed rapid proliferation during follow-up, encompassing almost the entire right cerebral hemisphere at day 12-15. Treated animals showed no significant tumor growth from 2 to 9 days post RT. γH2AX results confirmed the accuracy of dose delivery. This model, which is quite similar to the approach in the clinic, is valid for combined RT and chemotherapy of GB in rats.","author":[{"dropping-particle":"","family":"Bolcaen","given":"Julie","non-dropping-particle":"","parse-names":false,"suffix":""},{"dropping-particle":"","family":"Descamps","given":"Benedicte","non-dropping-particle":"","parse-names":false,"suffix":""},{"dropping-particle":"","family":"Deblaere","given":"Karel","non-dropping-particle":"","parse-names":false,"suffix":""},{"dropping-particle":"","family":"Boterberg","given":"Tom","non-dropping-particle":"","parse-names":false,"suffix":""},{"dropping-particle":"","family":"Hallaert","given":"Giorgio","non-dropping-particle":"","parse-names":false,"suffix":""},{"dropping-particle":"","family":"Broecke","given":"Caroline","non-dropping-particle":"Van den","parse-names":false,"suffix":""},{"dropping-particle":"","family":"Decrock","given":"Elke","non-dropping-particle":"","parse-names":false,"suffix":""},{"dropping-particle":"","family":"Vral","given":"Anne","non-dropping-particle":"","parse-names":false,"suffix":""},{"dropping-particle":"","family":"Leybaert","given":"Luc","non-dropping-particle":"","parse-names":false,"suffix":""},{"dropping-particle":"","family":"Vanhove","given":"Christian","non-dropping-particle":"","parse-names":false,"suffix":""},{"dropping-particle":"","family":"Goethals","given":"Ingeborg","non-dropping-particle":"","parse-names":false,"suffix":""}],"container-title":"Journal of neuro-oncology","id":"ITEM-1","issue":"2","issued":{"date-parts":[["2014","11"]]},"page":"257-66","title":"MRI-guided 3D conformal arc micro-irradiation of a F98 glioblastoma rat model using the Small Animal Radiation Research Platform (SARRP).","type":"article-journal","volume":"120"},"uris":["http://www.mendeley.com/documents/?uuid=2644fe47-8dbf-46aa-b4d0-10a7d636faf7"]},{"id":"ITEM-2","itemData":{"DOI":"10.3791/56601","ISSN":"1940-087X","abstract":"© 2017, Journal of Visualized Experiments. All rights reserved. For decades, small animal radiation research was mostly performed using fairly crude experimental setups applying simple single-beam techniques without the ability to target a specific or well-delineated tumor volume. The delivery of radiation was achieved using fixed radiation sources or linear accelerators producing megavoltage (MV) X-rays. These devices are unable to achieve sub-millimeter precision required for small animals. Furthermore, the high doses delivered to healthy surrounding tissue hamper response assessment. To increase the translation between small animal studies and humans, our goal was to mimic the treatment of human glioblastoma in a rat model. To enable a more accurate irradiation in a preclinical setting, recently, precision image-guided small animal radiation research platforms were developed. Similar to human planning systems, treatment planning on these micro-irradiators is based on computed tomography (CT). However, low soft-tissue contrast on CT makes it very challenging to localize targets in certain tissues, such as the brain. Therefore, incorporating magnetic resonance imaging (MRI), which has excellent soft-tissue contrast compared to CT, would enable a more precise delineation of the target for irradiation. In the last decade also biological imaging techniques, such as positron emission tomography (PET) gained interest for radiation therapy treatment guidance. PET enables the visualization of e.g., glucose consumption, amino-acid transport, or hypoxia, present in the tumor. Targeting those highly proliferative or radio-resistant parts of the tumor with a higher dose could give a survival benefit. This hypothesis led to the introduction of the biological tumor volume (BTV), besides the conventional gross target volume (GTV), clinical target volume (CTV), and planned target volume (PTV). At the preclinical imaging lab of Ghent University, a micro-irradiator, a small animal PET, and a 7 T small animal MRI are available. The goal was to incorporate MRI-guided irradiation and PET-guided sub-volume boosting in a glioblastoma rat model.","author":[{"dropping-particle":"","family":"Bolcaen","given":"Julie","non-dropping-particle":"","parse-names":false,"suffix":""},{"dropping-particle":"","family":"Descamps","given":"Benedicte","non-dropping-particle":"","parse-names":false,"suffix":""},{"dropping-particle":"","family":"Boterberg","given":"Tom","non-dropping-particle":"","parse-names":false,"suffix":""},{"dropping-particle":"","family":"Vanhove","given":"Christian","non-dropping-particle":"","parse-names":false,"suffix":""},{"dropping-particle":"","family":"Goethals","given":"Ingeborg","non-dropping-particle":"","parse-names":false,"suffix":""}],"container-title":"Journal of Visualized Experiments","id":"ITEM-2","issue":"130","issued":{"date-parts":[["2017"]]},"page":"1-10","title":"PET and MRI Guided Irradiation of a Glioblastoma Rat Model Using a Micro-irradiator","type":"article-journal"},"uris":["http://www.mendeley.com/documents/?uuid=76745ea2-6d36-4fa7-9363-418bece7db83"]},{"id":"ITEM-3","itemData":{"DOI":"10.1186/s13014-019-1290-4","ISSN":"1748717X","abstract":"© 2019 The Author(s). Background: Glioblastoma (GB) is the most common primary malignant brain tumor. Standard medical treatment consists of a maximal safe surgical resection, subsequently radiation therapy (RT) and chemotherapy with temozolomide (TMZ). An accurate definition of the tumor volume is of utmost importance for guiding RT. In this project we investigated the feasibility and treatment response of subvolume boosting to a PET-defined tumor part. Method: F98 GB cells inoculated in the rat brain were imaged using T2- and contrast-enhanced T1-weighted (T1w) MRI. A dose of 20 Gy (5 × 5 mm2) was delivered to the target volume delineated based on T1w MRI for three treatment groups. Two of those treatment groups received an additional radiation boost of 5 Gy (1 × 1 mm2) delivered to the region either with maximum [18F]FET or [18F]FAZA PET tracer uptake, respectively. All therapy groups received intraperitoneal (IP) injections of TMZ. Finally, a control group received no RT and only control IP injections. The average, minimum and maximum dose, as well as the D90-, D50- and D2- values were calculated for nine rats using both RT plans. To evaluate response to therapy, follow-up tumor volumes were delineated based on T1w MRI. Results: When comparing the dose volume histograms, a significant difference was found exclusively between the D2-values. A significant difference in tumor growth was only found between active therapy and sham therapy respectively, while no significant differences were found when comparing the three treatment groups. Conclusion: In this study we showed the feasibility of PET guided subvolume boosting of F98 glioblastoma in rats. No evidence was found for a beneficial effect regarding tumor response. However, improvements for dose targeting in rodents and studies investigating new targeted drugs for GB treatment are mandatory.","author":[{"dropping-particle":"","family":"Verhoeven","given":"J.","non-dropping-particle":"","parse-names":false,"suffix":""},{"dropping-particle":"","family":"Bolcaen","given":"J.","non-dropping-particle":"","parse-names":false,"suffix":""},{"dropping-particle":"","family":"Meulenaere","given":"V.","non-dropping-particle":"De","parse-names":false,"suffix":""},{"dropping-particle":"","family":"Kersemans","given":"K.","non-dropping-particle":"","parse-names":false,"suffix":""},{"dropping-particle":"","family":"Descamps","given":"B.","non-dropping-particle":"","parse-names":false,"suffix":""},{"dropping-particle":"","family":"Donche","given":"S.","non-dropping-particle":"","parse-names":false,"suffix":""},{"dropping-particle":"","family":"Broecke","given":"C.","non-dropping-particle":"Van Den","parse-names":false,"suffix":""},{"dropping-particle":"","family":"Boterberg","given":"T.","non-dropping-particle":"","parse-names":false,"suffix":""},{"dropping-particle":"","family":"Kalala","given":"J.-P.","non-dropping-particle":"","parse-names":false,"suffix":""},{"dropping-particle":"","family":"Deblaere","given":"K.","non-dropping-particle":"","parse-names":false,"suffix":""},{"dropping-particle":"","family":"Vanhove","given":"C.","non-dropping-particle":"","parse-names":false,"suffix":""},{"dropping-particle":"","family":"Vos","given":"F.","non-dropping-particle":"De","parse-names":false,"suffix":""},{"dropping-particle":"","family":"Goethals","given":"I.","non-dropping-particle":"","parse-names":false,"suffix":""}],"container-title":"Radiation Oncology","id":"ITEM-3","issue":"1","issued":{"date-parts":[["2019"]]},"title":"Technical feasibility of [&lt;sup&gt;18&lt;/sup&gt;F]FET and [&lt;sup&gt;18&lt;/sup&gt;F]FAZA PET guided radiotherapy in a F98 glioblastoma rat model","type":"article-journal","volume":"14"},"uris":["http://www.mendeley.com/documents/?uuid=579295ad-8f4d-3f75-884e-ad23f2c9660b"]}],"mendeley":{"formattedCitation":"&lt;sup&gt;20–22&lt;/sup&gt;","plainTextFormattedCitation":"20–22","previouslyFormattedCitation":"&lt;sup&gt;20–22&lt;/sup&gt;"},"properties":{"noteIndex":0},"schema":"https://github.com/citation-style-language/schema/raw/master/csl-citation.json"}</w:instrText>
      </w:r>
      <w:r w:rsidR="00E107B9"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20–22</w:t>
      </w:r>
      <w:r w:rsidR="00E107B9" w:rsidRPr="00770846">
        <w:rPr>
          <w:rFonts w:asciiTheme="majorHAnsi" w:hAnsiTheme="majorHAnsi" w:cstheme="majorHAnsi"/>
        </w:rPr>
        <w:fldChar w:fldCharType="end"/>
      </w:r>
      <w:r w:rsidR="00596CD5" w:rsidRPr="00770846">
        <w:rPr>
          <w:rFonts w:asciiTheme="majorHAnsi" w:hAnsiTheme="majorHAnsi" w:cstheme="majorHAnsi"/>
        </w:rPr>
        <w:t xml:space="preserve"> with a few adjustments (</w:t>
      </w:r>
      <w:r w:rsidR="00596CD5" w:rsidRPr="00770846">
        <w:rPr>
          <w:rFonts w:asciiTheme="majorHAnsi" w:hAnsiTheme="majorHAnsi" w:cstheme="majorHAnsi"/>
          <w:b/>
          <w:bCs/>
        </w:rPr>
        <w:t>Table</w:t>
      </w:r>
      <w:r w:rsidR="00354AEC" w:rsidRPr="00770846">
        <w:rPr>
          <w:rFonts w:asciiTheme="majorHAnsi" w:hAnsiTheme="majorHAnsi" w:cstheme="majorHAnsi"/>
          <w:b/>
          <w:bCs/>
        </w:rPr>
        <w:t xml:space="preserve"> </w:t>
      </w:r>
      <w:r w:rsidR="00EB525F" w:rsidRPr="00770846">
        <w:rPr>
          <w:rFonts w:asciiTheme="majorHAnsi" w:hAnsiTheme="majorHAnsi" w:cstheme="majorHAnsi"/>
          <w:b/>
          <w:bCs/>
        </w:rPr>
        <w:t>1</w:t>
      </w:r>
      <w:r w:rsidR="00596CD5" w:rsidRPr="00770846">
        <w:rPr>
          <w:rFonts w:asciiTheme="majorHAnsi" w:hAnsiTheme="majorHAnsi" w:cstheme="majorHAnsi"/>
        </w:rPr>
        <w:t>)</w:t>
      </w:r>
      <w:r w:rsidR="00E107B9" w:rsidRPr="00770846">
        <w:rPr>
          <w:rFonts w:asciiTheme="majorHAnsi" w:hAnsiTheme="majorHAnsi" w:cstheme="majorHAnsi"/>
        </w:rPr>
        <w:t xml:space="preserve">. </w:t>
      </w:r>
      <w:r w:rsidR="00596CD5" w:rsidRPr="00770846">
        <w:rPr>
          <w:rFonts w:asciiTheme="majorHAnsi" w:hAnsiTheme="majorHAnsi" w:cstheme="majorHAnsi"/>
        </w:rPr>
        <w:t xml:space="preserve">However, </w:t>
      </w:r>
      <w:r w:rsidR="005F0A3F" w:rsidRPr="00770846">
        <w:rPr>
          <w:rFonts w:asciiTheme="majorHAnsi" w:hAnsiTheme="majorHAnsi" w:cstheme="majorHAnsi"/>
        </w:rPr>
        <w:t xml:space="preserve">in contrast to </w:t>
      </w:r>
      <w:r w:rsidR="0053776F" w:rsidRPr="00770846">
        <w:rPr>
          <w:rFonts w:asciiTheme="majorHAnsi" w:hAnsiTheme="majorHAnsi" w:cstheme="majorHAnsi"/>
        </w:rPr>
        <w:t>the</w:t>
      </w:r>
      <w:r w:rsidR="005F0A3F" w:rsidRPr="00770846">
        <w:rPr>
          <w:rFonts w:asciiTheme="majorHAnsi" w:hAnsiTheme="majorHAnsi" w:cstheme="majorHAnsi"/>
        </w:rPr>
        <w:t xml:space="preserve"> </w:t>
      </w:r>
      <w:r w:rsidR="0097558D" w:rsidRPr="00770846">
        <w:rPr>
          <w:rFonts w:asciiTheme="majorHAnsi" w:hAnsiTheme="majorHAnsi" w:cstheme="majorHAnsi"/>
        </w:rPr>
        <w:t>previous</w:t>
      </w:r>
      <w:r w:rsidR="001E7BCC" w:rsidRPr="00770846">
        <w:rPr>
          <w:rFonts w:asciiTheme="majorHAnsi" w:hAnsiTheme="majorHAnsi" w:cstheme="majorHAnsi"/>
        </w:rPr>
        <w:t>ly</w:t>
      </w:r>
      <w:r w:rsidR="0097558D" w:rsidRPr="00770846">
        <w:rPr>
          <w:rFonts w:asciiTheme="majorHAnsi" w:hAnsiTheme="majorHAnsi" w:cstheme="majorHAnsi"/>
        </w:rPr>
        <w:t xml:space="preserve"> </w:t>
      </w:r>
      <w:r w:rsidR="00556A71" w:rsidRPr="00770846">
        <w:rPr>
          <w:rFonts w:asciiTheme="majorHAnsi" w:hAnsiTheme="majorHAnsi" w:cstheme="majorHAnsi"/>
        </w:rPr>
        <w:t xml:space="preserve">published </w:t>
      </w:r>
      <w:r w:rsidR="0097558D" w:rsidRPr="00770846">
        <w:rPr>
          <w:rFonts w:asciiTheme="majorHAnsi" w:hAnsiTheme="majorHAnsi" w:cstheme="majorHAnsi"/>
        </w:rPr>
        <w:t>metho</w:t>
      </w:r>
      <w:r w:rsidR="00704238" w:rsidRPr="00770846">
        <w:rPr>
          <w:rFonts w:asciiTheme="majorHAnsi" w:hAnsiTheme="majorHAnsi" w:cstheme="majorHAnsi"/>
        </w:rPr>
        <w:t>do</w:t>
      </w:r>
      <w:r w:rsidR="0097558D" w:rsidRPr="00770846">
        <w:rPr>
          <w:rFonts w:asciiTheme="majorHAnsi" w:hAnsiTheme="majorHAnsi" w:cstheme="majorHAnsi"/>
        </w:rPr>
        <w:t>logy</w:t>
      </w:r>
      <w:r w:rsidR="001E7BCC" w:rsidRPr="00770846">
        <w:rPr>
          <w:rFonts w:asciiTheme="majorHAnsi" w:hAnsiTheme="majorHAnsi" w:cstheme="majorHAnsi"/>
        </w:rPr>
        <w:t>,</w:t>
      </w:r>
      <w:r w:rsidR="0097558D" w:rsidRPr="00770846">
        <w:rPr>
          <w:rFonts w:asciiTheme="majorHAnsi" w:hAnsiTheme="majorHAnsi" w:cstheme="majorHAnsi"/>
        </w:rPr>
        <w:t xml:space="preserve"> most of the process is automated </w:t>
      </w:r>
      <w:r w:rsidR="00D91F2A" w:rsidRPr="00770846">
        <w:rPr>
          <w:rFonts w:asciiTheme="majorHAnsi" w:hAnsiTheme="majorHAnsi" w:cstheme="majorHAnsi"/>
        </w:rPr>
        <w:t xml:space="preserve">using </w:t>
      </w:r>
      <w:r w:rsidR="0079697C" w:rsidRPr="00770846">
        <w:rPr>
          <w:rFonts w:asciiTheme="majorHAnsi" w:hAnsiTheme="majorHAnsi" w:cstheme="majorHAnsi"/>
        </w:rPr>
        <w:t xml:space="preserve">a </w:t>
      </w:r>
      <w:r w:rsidR="0097558D" w:rsidRPr="00770846">
        <w:rPr>
          <w:rFonts w:asciiTheme="majorHAnsi" w:hAnsiTheme="majorHAnsi" w:cstheme="majorHAnsi"/>
        </w:rPr>
        <w:t>MATLAB code</w:t>
      </w:r>
      <w:r w:rsidR="0079697C" w:rsidRPr="00770846">
        <w:rPr>
          <w:rFonts w:asciiTheme="majorHAnsi" w:hAnsiTheme="majorHAnsi" w:cstheme="majorHAnsi"/>
        </w:rPr>
        <w:t xml:space="preserve"> developed in-house</w:t>
      </w:r>
      <w:r w:rsidR="0097558D" w:rsidRPr="00770846">
        <w:rPr>
          <w:rFonts w:asciiTheme="majorHAnsi" w:hAnsiTheme="majorHAnsi" w:cstheme="majorHAnsi"/>
        </w:rPr>
        <w:t xml:space="preserve">. Method 2 </w:t>
      </w:r>
      <w:r w:rsidR="00886F0B" w:rsidRPr="00770846">
        <w:rPr>
          <w:rFonts w:asciiTheme="majorHAnsi" w:hAnsiTheme="majorHAnsi" w:cstheme="majorHAnsi"/>
        </w:rPr>
        <w:t>is</w:t>
      </w:r>
      <w:r w:rsidR="0097558D" w:rsidRPr="00770846">
        <w:rPr>
          <w:rFonts w:asciiTheme="majorHAnsi" w:hAnsiTheme="majorHAnsi" w:cstheme="majorHAnsi"/>
        </w:rPr>
        <w:t xml:space="preserve"> a more sophisticated method </w:t>
      </w:r>
      <w:r w:rsidR="00670A31" w:rsidRPr="00770846">
        <w:rPr>
          <w:rFonts w:asciiTheme="majorHAnsi" w:hAnsiTheme="majorHAnsi" w:cstheme="majorHAnsi"/>
        </w:rPr>
        <w:t>in which</w:t>
      </w:r>
      <w:r w:rsidR="0097558D" w:rsidRPr="00770846">
        <w:rPr>
          <w:rFonts w:asciiTheme="majorHAnsi" w:hAnsiTheme="majorHAnsi" w:cstheme="majorHAnsi"/>
        </w:rPr>
        <w:t xml:space="preserve"> </w:t>
      </w:r>
      <w:r w:rsidR="005F332A" w:rsidRPr="00770846">
        <w:rPr>
          <w:rFonts w:asciiTheme="majorHAnsi" w:hAnsiTheme="majorHAnsi" w:cstheme="majorHAnsi"/>
        </w:rPr>
        <w:t xml:space="preserve">a series of </w:t>
      </w:r>
      <w:r w:rsidR="0097558D" w:rsidRPr="00770846">
        <w:rPr>
          <w:rFonts w:asciiTheme="majorHAnsi" w:hAnsiTheme="majorHAnsi" w:cstheme="majorHAnsi"/>
        </w:rPr>
        <w:t>isocenter</w:t>
      </w:r>
      <w:r w:rsidR="005F332A" w:rsidRPr="00770846">
        <w:rPr>
          <w:rFonts w:asciiTheme="majorHAnsi" w:hAnsiTheme="majorHAnsi" w:cstheme="majorHAnsi"/>
        </w:rPr>
        <w:t>s</w:t>
      </w:r>
      <w:r w:rsidR="0097558D" w:rsidRPr="00770846">
        <w:rPr>
          <w:rFonts w:asciiTheme="majorHAnsi" w:hAnsiTheme="majorHAnsi" w:cstheme="majorHAnsi"/>
        </w:rPr>
        <w:t xml:space="preserve"> and jaw dimensions</w:t>
      </w:r>
      <w:r w:rsidR="004A5DB8" w:rsidRPr="00770846">
        <w:rPr>
          <w:rFonts w:asciiTheme="majorHAnsi" w:hAnsiTheme="majorHAnsi" w:cstheme="majorHAnsi"/>
        </w:rPr>
        <w:t xml:space="preserve"> for</w:t>
      </w:r>
      <w:r w:rsidR="0097558D" w:rsidRPr="00770846">
        <w:rPr>
          <w:rFonts w:asciiTheme="majorHAnsi" w:hAnsiTheme="majorHAnsi" w:cstheme="majorHAnsi"/>
        </w:rPr>
        <w:t xml:space="preserve"> the</w:t>
      </w:r>
      <w:r w:rsidR="00670A31" w:rsidRPr="00770846">
        <w:rPr>
          <w:rFonts w:asciiTheme="majorHAnsi" w:hAnsiTheme="majorHAnsi" w:cstheme="majorHAnsi"/>
        </w:rPr>
        <w:t xml:space="preserve"> MVC</w:t>
      </w:r>
      <w:r w:rsidR="00F70253" w:rsidRPr="00770846">
        <w:rPr>
          <w:rFonts w:asciiTheme="majorHAnsi" w:hAnsiTheme="majorHAnsi" w:cstheme="majorHAnsi"/>
        </w:rPr>
        <w:t xml:space="preserve"> </w:t>
      </w:r>
      <w:r w:rsidR="0062251D" w:rsidRPr="00770846">
        <w:rPr>
          <w:rFonts w:asciiTheme="majorHAnsi" w:hAnsiTheme="majorHAnsi" w:cstheme="majorHAnsi"/>
        </w:rPr>
        <w:t xml:space="preserve">will be determined based on </w:t>
      </w:r>
      <w:r w:rsidR="007E4FA1" w:rsidRPr="00770846">
        <w:rPr>
          <w:rFonts w:asciiTheme="majorHAnsi" w:hAnsiTheme="majorHAnsi" w:cstheme="majorHAnsi"/>
        </w:rPr>
        <w:t>the [</w:t>
      </w:r>
      <w:r w:rsidR="007E4FA1" w:rsidRPr="00770846">
        <w:rPr>
          <w:rFonts w:asciiTheme="majorHAnsi" w:hAnsiTheme="majorHAnsi" w:cstheme="majorHAnsi"/>
          <w:vertAlign w:val="superscript"/>
        </w:rPr>
        <w:t>18</w:t>
      </w:r>
      <w:proofErr w:type="gramStart"/>
      <w:r w:rsidR="007E4FA1" w:rsidRPr="00770846">
        <w:rPr>
          <w:rFonts w:asciiTheme="majorHAnsi" w:hAnsiTheme="majorHAnsi" w:cstheme="majorHAnsi"/>
        </w:rPr>
        <w:t>F]FET</w:t>
      </w:r>
      <w:proofErr w:type="gramEnd"/>
      <w:r w:rsidR="007E4FA1" w:rsidRPr="00770846">
        <w:rPr>
          <w:rFonts w:asciiTheme="majorHAnsi" w:hAnsiTheme="majorHAnsi" w:cstheme="majorHAnsi"/>
        </w:rPr>
        <w:t xml:space="preserve"> PET uptake </w:t>
      </w:r>
      <w:r w:rsidR="00F70253" w:rsidRPr="00770846">
        <w:rPr>
          <w:rFonts w:asciiTheme="majorHAnsi" w:hAnsiTheme="majorHAnsi" w:cstheme="majorHAnsi"/>
        </w:rPr>
        <w:t>(</w:t>
      </w:r>
      <w:r w:rsidR="00F70253" w:rsidRPr="00770846">
        <w:rPr>
          <w:rFonts w:asciiTheme="majorHAnsi" w:hAnsiTheme="majorHAnsi" w:cstheme="majorHAnsi"/>
          <w:b/>
          <w:bCs/>
        </w:rPr>
        <w:t>Figure 5</w:t>
      </w:r>
      <w:r w:rsidR="00F70253" w:rsidRPr="00770846">
        <w:rPr>
          <w:rFonts w:asciiTheme="majorHAnsi" w:hAnsiTheme="majorHAnsi" w:cstheme="majorHAnsi"/>
        </w:rPr>
        <w:t>)</w:t>
      </w:r>
      <w:r w:rsidR="0097558D" w:rsidRPr="00770846">
        <w:rPr>
          <w:rFonts w:asciiTheme="majorHAnsi" w:hAnsiTheme="majorHAnsi" w:cstheme="majorHAnsi"/>
        </w:rPr>
        <w:t xml:space="preserve">. </w:t>
      </w:r>
      <w:r w:rsidR="009149AA" w:rsidRPr="00770846">
        <w:rPr>
          <w:rFonts w:asciiTheme="majorHAnsi" w:hAnsiTheme="majorHAnsi" w:cstheme="majorHAnsi"/>
        </w:rPr>
        <w:t>T</w:t>
      </w:r>
      <w:r w:rsidR="009149AA" w:rsidRPr="00770846">
        <w:rPr>
          <w:rFonts w:asciiTheme="majorHAnsi" w:hAnsiTheme="majorHAnsi" w:cstheme="majorHAnsi"/>
          <w:lang w:val="en-GB"/>
        </w:rPr>
        <w:t xml:space="preserve">he </w:t>
      </w:r>
      <w:proofErr w:type="spellStart"/>
      <w:r w:rsidR="009149AA" w:rsidRPr="00770846">
        <w:rPr>
          <w:rFonts w:asciiTheme="majorHAnsi" w:hAnsiTheme="majorHAnsi" w:cstheme="majorHAnsi"/>
          <w:lang w:val="en-GB"/>
        </w:rPr>
        <w:t>isocontours</w:t>
      </w:r>
      <w:proofErr w:type="spellEnd"/>
      <w:r w:rsidR="009149AA" w:rsidRPr="00770846">
        <w:rPr>
          <w:rFonts w:asciiTheme="majorHAnsi" w:hAnsiTheme="majorHAnsi" w:cstheme="majorHAnsi"/>
          <w:lang w:val="en-GB"/>
        </w:rPr>
        <w:t xml:space="preserve"> for V50, V60, V70, V80, and V90 are shown in </w:t>
      </w:r>
      <w:r w:rsidR="009149AA" w:rsidRPr="00770846">
        <w:rPr>
          <w:rFonts w:asciiTheme="majorHAnsi" w:hAnsiTheme="majorHAnsi" w:cstheme="majorHAnsi"/>
          <w:b/>
          <w:bCs/>
          <w:lang w:val="en-GB"/>
        </w:rPr>
        <w:t>Figure 6</w:t>
      </w:r>
      <w:r w:rsidR="009149AA" w:rsidRPr="00770846">
        <w:rPr>
          <w:rFonts w:asciiTheme="majorHAnsi" w:hAnsiTheme="majorHAnsi" w:cstheme="majorHAnsi"/>
          <w:lang w:val="en-GB"/>
        </w:rPr>
        <w:t>.</w:t>
      </w:r>
    </w:p>
    <w:p w14:paraId="782F1156" w14:textId="77777777" w:rsidR="00E107B9" w:rsidRPr="00770846" w:rsidRDefault="00E107B9" w:rsidP="00770846">
      <w:pPr>
        <w:rPr>
          <w:rFonts w:asciiTheme="majorHAnsi" w:hAnsiTheme="majorHAnsi" w:cstheme="majorHAnsi"/>
        </w:rPr>
      </w:pPr>
    </w:p>
    <w:p w14:paraId="230E5108" w14:textId="325EDB1E" w:rsidR="00EB2F8B" w:rsidRPr="00770846" w:rsidRDefault="00A2361E" w:rsidP="00770846">
      <w:pPr>
        <w:rPr>
          <w:rFonts w:asciiTheme="majorHAnsi" w:hAnsiTheme="majorHAnsi" w:cstheme="majorHAnsi"/>
        </w:rPr>
      </w:pPr>
      <w:r w:rsidRPr="00770846">
        <w:rPr>
          <w:rFonts w:asciiTheme="majorHAnsi" w:hAnsiTheme="majorHAnsi" w:cstheme="majorHAnsi"/>
        </w:rPr>
        <w:t>Both methods were applied to three different cases</w:t>
      </w:r>
      <w:r w:rsidR="009E6267" w:rsidRPr="00770846">
        <w:rPr>
          <w:rFonts w:asciiTheme="majorHAnsi" w:hAnsiTheme="majorHAnsi" w:cstheme="majorHAnsi"/>
        </w:rPr>
        <w:t xml:space="preserve"> (</w:t>
      </w:r>
      <w:r w:rsidR="009E6267" w:rsidRPr="00770846">
        <w:rPr>
          <w:rFonts w:asciiTheme="majorHAnsi" w:hAnsiTheme="majorHAnsi" w:cstheme="majorHAnsi"/>
          <w:b/>
          <w:bCs/>
        </w:rPr>
        <w:t>F</w:t>
      </w:r>
      <w:r w:rsidR="006760A0" w:rsidRPr="00770846">
        <w:rPr>
          <w:rFonts w:asciiTheme="majorHAnsi" w:hAnsiTheme="majorHAnsi" w:cstheme="majorHAnsi"/>
          <w:b/>
          <w:bCs/>
        </w:rPr>
        <w:t xml:space="preserve">igure </w:t>
      </w:r>
      <w:r w:rsidR="009149AA" w:rsidRPr="00770846">
        <w:rPr>
          <w:rFonts w:asciiTheme="majorHAnsi" w:hAnsiTheme="majorHAnsi" w:cstheme="majorHAnsi"/>
          <w:b/>
          <w:bCs/>
        </w:rPr>
        <w:t>7</w:t>
      </w:r>
      <w:r w:rsidR="009E6267" w:rsidRPr="00770846">
        <w:rPr>
          <w:rFonts w:asciiTheme="majorHAnsi" w:hAnsiTheme="majorHAnsi" w:cstheme="majorHAnsi"/>
        </w:rPr>
        <w:t>)</w:t>
      </w:r>
      <w:r w:rsidR="00500C32" w:rsidRPr="00770846">
        <w:rPr>
          <w:rFonts w:asciiTheme="majorHAnsi" w:hAnsiTheme="majorHAnsi" w:cstheme="majorHAnsi"/>
        </w:rPr>
        <w:t>. These cases can be divided into two different</w:t>
      </w:r>
      <w:r w:rsidR="00966D2A" w:rsidRPr="00770846">
        <w:rPr>
          <w:rFonts w:asciiTheme="majorHAnsi" w:hAnsiTheme="majorHAnsi" w:cstheme="majorHAnsi"/>
        </w:rPr>
        <w:t xml:space="preserve"> types: </w:t>
      </w:r>
      <w:r w:rsidR="002F4D01" w:rsidRPr="00770846">
        <w:rPr>
          <w:rFonts w:asciiTheme="majorHAnsi" w:hAnsiTheme="majorHAnsi" w:cstheme="majorHAnsi"/>
        </w:rPr>
        <w:t>[</w:t>
      </w:r>
      <w:r w:rsidR="002F4D01" w:rsidRPr="00770846">
        <w:rPr>
          <w:rFonts w:asciiTheme="majorHAnsi" w:hAnsiTheme="majorHAnsi" w:cstheme="majorHAnsi"/>
          <w:vertAlign w:val="superscript"/>
        </w:rPr>
        <w:t>18</w:t>
      </w:r>
      <w:proofErr w:type="gramStart"/>
      <w:r w:rsidR="002F4D01" w:rsidRPr="00770846">
        <w:rPr>
          <w:rFonts w:asciiTheme="majorHAnsi" w:hAnsiTheme="majorHAnsi" w:cstheme="majorHAnsi"/>
        </w:rPr>
        <w:t>F]FET</w:t>
      </w:r>
      <w:proofErr w:type="gramEnd"/>
      <w:r w:rsidR="002F4D01" w:rsidRPr="00770846">
        <w:rPr>
          <w:rFonts w:asciiTheme="majorHAnsi" w:hAnsiTheme="majorHAnsi" w:cstheme="majorHAnsi"/>
        </w:rPr>
        <w:t xml:space="preserve"> PET uptake</w:t>
      </w:r>
      <w:r w:rsidR="006D4CD9" w:rsidRPr="00770846">
        <w:rPr>
          <w:rFonts w:asciiTheme="majorHAnsi" w:hAnsiTheme="majorHAnsi" w:cstheme="majorHAnsi"/>
        </w:rPr>
        <w:t xml:space="preserve"> in the infiltrative tumor front </w:t>
      </w:r>
      <w:r w:rsidR="00E45959" w:rsidRPr="00770846">
        <w:rPr>
          <w:rFonts w:asciiTheme="majorHAnsi" w:hAnsiTheme="majorHAnsi" w:cstheme="majorHAnsi"/>
        </w:rPr>
        <w:t xml:space="preserve">and the presence of tumor necrosis </w:t>
      </w:r>
      <w:r w:rsidR="006D4CD9" w:rsidRPr="00770846">
        <w:rPr>
          <w:rFonts w:asciiTheme="majorHAnsi" w:hAnsiTheme="majorHAnsi" w:cstheme="majorHAnsi"/>
        </w:rPr>
        <w:t xml:space="preserve">and </w:t>
      </w:r>
      <w:r w:rsidR="00254697" w:rsidRPr="00770846">
        <w:rPr>
          <w:rFonts w:asciiTheme="majorHAnsi" w:hAnsiTheme="majorHAnsi" w:cstheme="majorHAnsi"/>
        </w:rPr>
        <w:t>[</w:t>
      </w:r>
      <w:r w:rsidR="00254697" w:rsidRPr="00770846">
        <w:rPr>
          <w:rFonts w:asciiTheme="majorHAnsi" w:hAnsiTheme="majorHAnsi" w:cstheme="majorHAnsi"/>
          <w:vertAlign w:val="superscript"/>
        </w:rPr>
        <w:t>18</w:t>
      </w:r>
      <w:r w:rsidR="00254697" w:rsidRPr="00770846">
        <w:rPr>
          <w:rFonts w:asciiTheme="majorHAnsi" w:hAnsiTheme="majorHAnsi" w:cstheme="majorHAnsi"/>
        </w:rPr>
        <w:t xml:space="preserve">F]FET PET uptake </w:t>
      </w:r>
      <w:r w:rsidR="00421A48" w:rsidRPr="00770846">
        <w:rPr>
          <w:rFonts w:asciiTheme="majorHAnsi" w:hAnsiTheme="majorHAnsi" w:cstheme="majorHAnsi"/>
        </w:rPr>
        <w:t>indicating no</w:t>
      </w:r>
      <w:r w:rsidR="00254697" w:rsidRPr="00770846">
        <w:rPr>
          <w:rFonts w:asciiTheme="majorHAnsi" w:hAnsiTheme="majorHAnsi" w:cstheme="majorHAnsi"/>
        </w:rPr>
        <w:t xml:space="preserve"> </w:t>
      </w:r>
      <w:r w:rsidR="00182A03" w:rsidRPr="00770846">
        <w:rPr>
          <w:rFonts w:asciiTheme="majorHAnsi" w:hAnsiTheme="majorHAnsi" w:cstheme="majorHAnsi"/>
        </w:rPr>
        <w:t>tumor</w:t>
      </w:r>
      <w:r w:rsidR="00254697" w:rsidRPr="00770846">
        <w:rPr>
          <w:rFonts w:asciiTheme="majorHAnsi" w:hAnsiTheme="majorHAnsi" w:cstheme="majorHAnsi"/>
        </w:rPr>
        <w:t xml:space="preserve"> necrosis.</w:t>
      </w:r>
      <w:r w:rsidR="006D4CD9" w:rsidRPr="00770846">
        <w:rPr>
          <w:rFonts w:asciiTheme="majorHAnsi" w:hAnsiTheme="majorHAnsi" w:cstheme="majorHAnsi"/>
        </w:rPr>
        <w:t xml:space="preserve"> </w:t>
      </w:r>
      <w:r w:rsidR="00DD7D31" w:rsidRPr="00770846">
        <w:rPr>
          <w:rFonts w:asciiTheme="majorHAnsi" w:hAnsiTheme="majorHAnsi" w:cstheme="majorHAnsi"/>
        </w:rPr>
        <w:t>Case 1 can be described as a spherical homogen</w:t>
      </w:r>
      <w:r w:rsidR="007F1C12" w:rsidRPr="00770846">
        <w:rPr>
          <w:rFonts w:asciiTheme="majorHAnsi" w:hAnsiTheme="majorHAnsi" w:cstheme="majorHAnsi"/>
        </w:rPr>
        <w:t>e</w:t>
      </w:r>
      <w:r w:rsidR="00DD7D31" w:rsidRPr="00770846">
        <w:rPr>
          <w:rFonts w:asciiTheme="majorHAnsi" w:hAnsiTheme="majorHAnsi" w:cstheme="majorHAnsi"/>
        </w:rPr>
        <w:t xml:space="preserve">ous </w:t>
      </w:r>
      <w:r w:rsidR="00DB2175" w:rsidRPr="00770846">
        <w:rPr>
          <w:rFonts w:asciiTheme="majorHAnsi" w:hAnsiTheme="majorHAnsi" w:cstheme="majorHAnsi"/>
        </w:rPr>
        <w:t>PET uptake</w:t>
      </w:r>
      <w:r w:rsidR="003932E8" w:rsidRPr="00770846">
        <w:rPr>
          <w:rFonts w:asciiTheme="majorHAnsi" w:hAnsiTheme="majorHAnsi" w:cstheme="majorHAnsi"/>
        </w:rPr>
        <w:t>, while Case</w:t>
      </w:r>
      <w:r w:rsidR="007F1C12" w:rsidRPr="00770846">
        <w:rPr>
          <w:rFonts w:asciiTheme="majorHAnsi" w:hAnsiTheme="majorHAnsi" w:cstheme="majorHAnsi"/>
        </w:rPr>
        <w:t>s</w:t>
      </w:r>
      <w:r w:rsidR="003932E8" w:rsidRPr="00770846">
        <w:rPr>
          <w:rFonts w:asciiTheme="majorHAnsi" w:hAnsiTheme="majorHAnsi" w:cstheme="majorHAnsi"/>
        </w:rPr>
        <w:t xml:space="preserve"> 2 and 3 have a ring</w:t>
      </w:r>
      <w:r w:rsidR="00421A48" w:rsidRPr="00770846">
        <w:rPr>
          <w:rFonts w:asciiTheme="majorHAnsi" w:hAnsiTheme="majorHAnsi" w:cstheme="majorHAnsi"/>
        </w:rPr>
        <w:t>-</w:t>
      </w:r>
      <w:r w:rsidR="003932E8" w:rsidRPr="00770846">
        <w:rPr>
          <w:rFonts w:asciiTheme="majorHAnsi" w:hAnsiTheme="majorHAnsi" w:cstheme="majorHAnsi"/>
        </w:rPr>
        <w:t>shaped uptake</w:t>
      </w:r>
      <w:r w:rsidR="00421A48" w:rsidRPr="00770846">
        <w:rPr>
          <w:rFonts w:asciiTheme="majorHAnsi" w:hAnsiTheme="majorHAnsi" w:cstheme="majorHAnsi"/>
        </w:rPr>
        <w:t xml:space="preserve"> where </w:t>
      </w:r>
      <w:r w:rsidR="00587519" w:rsidRPr="00770846">
        <w:rPr>
          <w:rFonts w:asciiTheme="majorHAnsi" w:hAnsiTheme="majorHAnsi" w:cstheme="majorHAnsi"/>
        </w:rPr>
        <w:t>the reduced PET-uptake is most likely necrotic tissue</w:t>
      </w:r>
      <w:r w:rsidR="00802DA0" w:rsidRPr="00770846">
        <w:rPr>
          <w:rFonts w:asciiTheme="majorHAnsi" w:hAnsiTheme="majorHAnsi" w:cstheme="majorHAnsi"/>
        </w:rPr>
        <w:t xml:space="preserve">. Case 3 also shows an additional region growing out towards the dorsal region. </w:t>
      </w:r>
    </w:p>
    <w:p w14:paraId="2AC68572" w14:textId="50D501A5" w:rsidR="00802DA0" w:rsidRPr="00770846" w:rsidRDefault="00802DA0" w:rsidP="00770846">
      <w:pPr>
        <w:rPr>
          <w:rFonts w:asciiTheme="majorHAnsi" w:hAnsiTheme="majorHAnsi" w:cstheme="majorHAnsi"/>
        </w:rPr>
      </w:pPr>
    </w:p>
    <w:p w14:paraId="5E1E6BA3" w14:textId="0130D999" w:rsidR="00B161E0" w:rsidRPr="00770846" w:rsidRDefault="00C54205" w:rsidP="00770846">
      <w:pPr>
        <w:rPr>
          <w:rFonts w:asciiTheme="majorHAnsi" w:hAnsiTheme="majorHAnsi" w:cstheme="majorHAnsi"/>
        </w:rPr>
      </w:pPr>
      <w:r w:rsidRPr="00770846">
        <w:rPr>
          <w:rFonts w:asciiTheme="majorHAnsi" w:hAnsiTheme="majorHAnsi" w:cstheme="majorHAnsi"/>
        </w:rPr>
        <w:t xml:space="preserve">After </w:t>
      </w:r>
      <w:r w:rsidR="001B5EF3" w:rsidRPr="00770846">
        <w:rPr>
          <w:rFonts w:asciiTheme="majorHAnsi" w:hAnsiTheme="majorHAnsi" w:cstheme="majorHAnsi"/>
        </w:rPr>
        <w:t>c</w:t>
      </w:r>
      <w:r w:rsidR="00075168" w:rsidRPr="00770846">
        <w:rPr>
          <w:rFonts w:asciiTheme="majorHAnsi" w:hAnsiTheme="majorHAnsi" w:cstheme="majorHAnsi"/>
        </w:rPr>
        <w:t>alculating the setup parameters for bot</w:t>
      </w:r>
      <w:r w:rsidR="00FE006C" w:rsidRPr="00770846">
        <w:rPr>
          <w:rFonts w:asciiTheme="majorHAnsi" w:hAnsiTheme="majorHAnsi" w:cstheme="majorHAnsi"/>
        </w:rPr>
        <w:t>h methods, t</w:t>
      </w:r>
      <w:r w:rsidR="004F4684" w:rsidRPr="00770846">
        <w:rPr>
          <w:rFonts w:asciiTheme="majorHAnsi" w:hAnsiTheme="majorHAnsi" w:cstheme="majorHAnsi"/>
        </w:rPr>
        <w:t>he dose distributions</w:t>
      </w:r>
      <w:r w:rsidR="00FB2D05" w:rsidRPr="00770846">
        <w:rPr>
          <w:rFonts w:asciiTheme="majorHAnsi" w:hAnsiTheme="majorHAnsi" w:cstheme="majorHAnsi"/>
        </w:rPr>
        <w:t xml:space="preserve"> </w:t>
      </w:r>
      <w:r w:rsidR="00FE006C" w:rsidRPr="00770846">
        <w:rPr>
          <w:rFonts w:asciiTheme="majorHAnsi" w:hAnsiTheme="majorHAnsi" w:cstheme="majorHAnsi"/>
        </w:rPr>
        <w:t>for each</w:t>
      </w:r>
      <w:r w:rsidR="00B77F35" w:rsidRPr="00770846">
        <w:rPr>
          <w:rFonts w:asciiTheme="majorHAnsi" w:hAnsiTheme="majorHAnsi" w:cstheme="majorHAnsi"/>
        </w:rPr>
        <w:t xml:space="preserve"> case </w:t>
      </w:r>
      <w:r w:rsidR="00FB2D05" w:rsidRPr="00770846">
        <w:rPr>
          <w:rFonts w:asciiTheme="majorHAnsi" w:hAnsiTheme="majorHAnsi" w:cstheme="majorHAnsi"/>
        </w:rPr>
        <w:t>(</w:t>
      </w:r>
      <w:r w:rsidR="00FB2D05" w:rsidRPr="00770846">
        <w:rPr>
          <w:rFonts w:asciiTheme="majorHAnsi" w:hAnsiTheme="majorHAnsi" w:cstheme="majorHAnsi"/>
          <w:b/>
          <w:bCs/>
        </w:rPr>
        <w:t xml:space="preserve">Figure </w:t>
      </w:r>
      <w:r w:rsidR="009149AA" w:rsidRPr="00770846">
        <w:rPr>
          <w:rFonts w:asciiTheme="majorHAnsi" w:hAnsiTheme="majorHAnsi" w:cstheme="majorHAnsi"/>
          <w:b/>
          <w:bCs/>
        </w:rPr>
        <w:t>8</w:t>
      </w:r>
      <w:r w:rsidR="00FB2D05" w:rsidRPr="00770846">
        <w:rPr>
          <w:rFonts w:asciiTheme="majorHAnsi" w:hAnsiTheme="majorHAnsi" w:cstheme="majorHAnsi"/>
        </w:rPr>
        <w:t>)</w:t>
      </w:r>
      <w:r w:rsidR="00B77F35" w:rsidRPr="00770846">
        <w:rPr>
          <w:rFonts w:asciiTheme="majorHAnsi" w:hAnsiTheme="majorHAnsi" w:cstheme="majorHAnsi"/>
        </w:rPr>
        <w:t xml:space="preserve"> w</w:t>
      </w:r>
      <w:r w:rsidR="00AA421B" w:rsidRPr="00770846">
        <w:rPr>
          <w:rFonts w:asciiTheme="majorHAnsi" w:hAnsiTheme="majorHAnsi" w:cstheme="majorHAnsi"/>
        </w:rPr>
        <w:t>ere</w:t>
      </w:r>
      <w:r w:rsidR="00FE006C" w:rsidRPr="00770846">
        <w:rPr>
          <w:rFonts w:asciiTheme="majorHAnsi" w:hAnsiTheme="majorHAnsi" w:cstheme="majorHAnsi"/>
        </w:rPr>
        <w:t xml:space="preserve"> </w:t>
      </w:r>
      <w:r w:rsidR="003938DB" w:rsidRPr="00770846">
        <w:rPr>
          <w:rFonts w:asciiTheme="majorHAnsi" w:hAnsiTheme="majorHAnsi" w:cstheme="majorHAnsi"/>
        </w:rPr>
        <w:t>determined</w:t>
      </w:r>
      <w:r w:rsidR="00B77F35" w:rsidRPr="00770846">
        <w:rPr>
          <w:rFonts w:asciiTheme="majorHAnsi" w:hAnsiTheme="majorHAnsi" w:cstheme="majorHAnsi"/>
        </w:rPr>
        <w:t xml:space="preserve"> </w:t>
      </w:r>
      <w:r w:rsidR="00E24FF8" w:rsidRPr="00770846">
        <w:rPr>
          <w:rFonts w:asciiTheme="majorHAnsi" w:hAnsiTheme="majorHAnsi" w:cstheme="majorHAnsi"/>
        </w:rPr>
        <w:t>using</w:t>
      </w:r>
      <w:r w:rsidR="00B77F35" w:rsidRPr="00770846">
        <w:rPr>
          <w:rFonts w:asciiTheme="majorHAnsi" w:hAnsiTheme="majorHAnsi" w:cstheme="majorHAnsi"/>
        </w:rPr>
        <w:t xml:space="preserve"> </w:t>
      </w:r>
      <w:r w:rsidR="00334670" w:rsidRPr="00770846">
        <w:rPr>
          <w:rFonts w:asciiTheme="majorHAnsi" w:hAnsiTheme="majorHAnsi" w:cstheme="majorHAnsi"/>
        </w:rPr>
        <w:t xml:space="preserve">the </w:t>
      </w:r>
      <w:r w:rsidR="00E24FF8" w:rsidRPr="00770846">
        <w:rPr>
          <w:rFonts w:asciiTheme="majorHAnsi" w:hAnsiTheme="majorHAnsi" w:cstheme="majorHAnsi"/>
        </w:rPr>
        <w:t xml:space="preserve">SARRP’s </w:t>
      </w:r>
      <w:r w:rsidR="00B77F35" w:rsidRPr="00770846">
        <w:rPr>
          <w:rFonts w:asciiTheme="majorHAnsi" w:hAnsiTheme="majorHAnsi" w:cstheme="majorHAnsi"/>
        </w:rPr>
        <w:t>PCTPS</w:t>
      </w:r>
      <w:r w:rsidR="003938DB" w:rsidRPr="00770846">
        <w:rPr>
          <w:rFonts w:asciiTheme="majorHAnsi" w:hAnsiTheme="majorHAnsi" w:cstheme="majorHAnsi"/>
        </w:rPr>
        <w:t>.</w:t>
      </w:r>
      <w:r w:rsidR="00B161E0" w:rsidRPr="00770846">
        <w:rPr>
          <w:rFonts w:asciiTheme="majorHAnsi" w:hAnsiTheme="majorHAnsi" w:cstheme="majorHAnsi"/>
        </w:rPr>
        <w:t xml:space="preserve"> </w:t>
      </w:r>
      <w:r w:rsidR="00090E16" w:rsidRPr="00770846">
        <w:rPr>
          <w:rFonts w:asciiTheme="majorHAnsi" w:hAnsiTheme="majorHAnsi" w:cstheme="majorHAnsi"/>
        </w:rPr>
        <w:t xml:space="preserve">The </w:t>
      </w:r>
      <w:r w:rsidR="00334670" w:rsidRPr="00770846">
        <w:rPr>
          <w:rFonts w:asciiTheme="majorHAnsi" w:hAnsiTheme="majorHAnsi" w:cstheme="majorHAnsi"/>
        </w:rPr>
        <w:t>DVHs</w:t>
      </w:r>
      <w:r w:rsidR="00090E16" w:rsidRPr="00770846">
        <w:rPr>
          <w:rFonts w:asciiTheme="majorHAnsi" w:hAnsiTheme="majorHAnsi" w:cstheme="majorHAnsi"/>
        </w:rPr>
        <w:t xml:space="preserve"> </w:t>
      </w:r>
      <w:r w:rsidR="008F7830" w:rsidRPr="00770846">
        <w:rPr>
          <w:rFonts w:asciiTheme="majorHAnsi" w:hAnsiTheme="majorHAnsi" w:cstheme="majorHAnsi"/>
        </w:rPr>
        <w:t>(</w:t>
      </w:r>
      <w:r w:rsidR="008F7830" w:rsidRPr="00770846">
        <w:rPr>
          <w:rFonts w:asciiTheme="majorHAnsi" w:hAnsiTheme="majorHAnsi" w:cstheme="majorHAnsi"/>
          <w:b/>
          <w:bCs/>
        </w:rPr>
        <w:t xml:space="preserve">Figure </w:t>
      </w:r>
      <w:r w:rsidR="009149AA" w:rsidRPr="00770846">
        <w:rPr>
          <w:rFonts w:asciiTheme="majorHAnsi" w:hAnsiTheme="majorHAnsi" w:cstheme="majorHAnsi"/>
          <w:b/>
          <w:bCs/>
        </w:rPr>
        <w:t>9</w:t>
      </w:r>
      <w:r w:rsidR="008F7830" w:rsidRPr="00770846">
        <w:rPr>
          <w:rFonts w:asciiTheme="majorHAnsi" w:hAnsiTheme="majorHAnsi" w:cstheme="majorHAnsi"/>
        </w:rPr>
        <w:t>) can be obtained from the dose distributions in the volume</w:t>
      </w:r>
      <w:r w:rsidR="00334670" w:rsidRPr="00770846">
        <w:rPr>
          <w:rFonts w:asciiTheme="majorHAnsi" w:hAnsiTheme="majorHAnsi" w:cstheme="majorHAnsi"/>
        </w:rPr>
        <w:t>s</w:t>
      </w:r>
      <w:r w:rsidR="008F7830" w:rsidRPr="00770846">
        <w:rPr>
          <w:rFonts w:asciiTheme="majorHAnsi" w:hAnsiTheme="majorHAnsi" w:cstheme="majorHAnsi"/>
        </w:rPr>
        <w:t xml:space="preserve"> defined by the pixels </w:t>
      </w:r>
      <w:r w:rsidR="00504702" w:rsidRPr="00770846">
        <w:rPr>
          <w:rFonts w:asciiTheme="majorHAnsi" w:hAnsiTheme="majorHAnsi" w:cstheme="majorHAnsi"/>
        </w:rPr>
        <w:t>with</w:t>
      </w:r>
      <w:r w:rsidR="008F7830" w:rsidRPr="00770846">
        <w:rPr>
          <w:rFonts w:asciiTheme="majorHAnsi" w:hAnsiTheme="majorHAnsi" w:cstheme="majorHAnsi"/>
        </w:rPr>
        <w:t xml:space="preserve"> signal intensity higher than 0.50 </w:t>
      </w:r>
      <w:r w:rsidR="00334670" w:rsidRPr="00770846">
        <w:rPr>
          <w:rFonts w:asciiTheme="majorHAnsi" w:hAnsiTheme="majorHAnsi" w:cstheme="majorHAnsi"/>
        </w:rPr>
        <w:t>×</w:t>
      </w:r>
      <w:r w:rsidR="008F7830" w:rsidRPr="00770846">
        <w:rPr>
          <w:rFonts w:asciiTheme="majorHAnsi" w:hAnsiTheme="majorHAnsi" w:cstheme="majorHAnsi"/>
        </w:rPr>
        <w:t xml:space="preserve"> maximal PET signal intensity (in the bounding box). One can observe that the </w:t>
      </w:r>
      <w:r w:rsidR="00B72E6A" w:rsidRPr="00770846">
        <w:rPr>
          <w:rFonts w:asciiTheme="majorHAnsi" w:hAnsiTheme="majorHAnsi" w:cstheme="majorHAnsi"/>
        </w:rPr>
        <w:t>DVHs</w:t>
      </w:r>
      <w:r w:rsidR="004F0EC0" w:rsidRPr="00770846">
        <w:rPr>
          <w:rFonts w:asciiTheme="majorHAnsi" w:hAnsiTheme="majorHAnsi" w:cstheme="majorHAnsi"/>
        </w:rPr>
        <w:t xml:space="preserve"> for </w:t>
      </w:r>
      <w:r w:rsidR="005A185D" w:rsidRPr="00770846">
        <w:rPr>
          <w:rFonts w:asciiTheme="majorHAnsi" w:hAnsiTheme="majorHAnsi" w:cstheme="majorHAnsi"/>
        </w:rPr>
        <w:t xml:space="preserve">Method 2 </w:t>
      </w:r>
      <w:r w:rsidR="00EA382E" w:rsidRPr="00770846">
        <w:rPr>
          <w:rFonts w:asciiTheme="majorHAnsi" w:hAnsiTheme="majorHAnsi" w:cstheme="majorHAnsi"/>
        </w:rPr>
        <w:t>are</w:t>
      </w:r>
      <w:r w:rsidR="005A185D" w:rsidRPr="00770846">
        <w:rPr>
          <w:rFonts w:asciiTheme="majorHAnsi" w:hAnsiTheme="majorHAnsi" w:cstheme="majorHAnsi"/>
        </w:rPr>
        <w:t xml:space="preserve"> systematically </w:t>
      </w:r>
      <w:r w:rsidR="004F3BEA" w:rsidRPr="00770846">
        <w:rPr>
          <w:rFonts w:asciiTheme="majorHAnsi" w:hAnsiTheme="majorHAnsi" w:cstheme="majorHAnsi"/>
        </w:rPr>
        <w:t>closer to the ide</w:t>
      </w:r>
      <w:r w:rsidR="006D49BB" w:rsidRPr="00770846">
        <w:rPr>
          <w:rFonts w:asciiTheme="majorHAnsi" w:hAnsiTheme="majorHAnsi" w:cstheme="majorHAnsi"/>
        </w:rPr>
        <w:t>al dose</w:t>
      </w:r>
      <w:r w:rsidR="001E7651" w:rsidRPr="00770846">
        <w:rPr>
          <w:rFonts w:asciiTheme="majorHAnsi" w:hAnsiTheme="majorHAnsi" w:cstheme="majorHAnsi"/>
        </w:rPr>
        <w:t xml:space="preserve"> </w:t>
      </w:r>
      <w:r w:rsidR="00EA382E" w:rsidRPr="00770846">
        <w:rPr>
          <w:rFonts w:asciiTheme="majorHAnsi" w:hAnsiTheme="majorHAnsi" w:cstheme="majorHAnsi"/>
        </w:rPr>
        <w:t xml:space="preserve">distribution </w:t>
      </w:r>
      <w:r w:rsidR="00BB23F0" w:rsidRPr="00770846">
        <w:rPr>
          <w:rFonts w:asciiTheme="majorHAnsi" w:hAnsiTheme="majorHAnsi" w:cstheme="majorHAnsi"/>
        </w:rPr>
        <w:t>than</w:t>
      </w:r>
      <w:r w:rsidR="001E7651" w:rsidRPr="00770846">
        <w:rPr>
          <w:rFonts w:asciiTheme="majorHAnsi" w:hAnsiTheme="majorHAnsi" w:cstheme="majorHAnsi"/>
        </w:rPr>
        <w:t xml:space="preserve"> </w:t>
      </w:r>
      <w:r w:rsidR="009829D6" w:rsidRPr="00770846">
        <w:rPr>
          <w:rFonts w:asciiTheme="majorHAnsi" w:hAnsiTheme="majorHAnsi" w:cstheme="majorHAnsi"/>
        </w:rPr>
        <w:t xml:space="preserve">those for </w:t>
      </w:r>
      <w:r w:rsidR="001E7651" w:rsidRPr="00770846">
        <w:rPr>
          <w:rFonts w:asciiTheme="majorHAnsi" w:hAnsiTheme="majorHAnsi" w:cstheme="majorHAnsi"/>
        </w:rPr>
        <w:t>Method 1</w:t>
      </w:r>
      <w:r w:rsidR="00C73DCA" w:rsidRPr="00770846">
        <w:rPr>
          <w:rFonts w:asciiTheme="majorHAnsi" w:hAnsiTheme="majorHAnsi" w:cstheme="majorHAnsi"/>
        </w:rPr>
        <w:t xml:space="preserve">. </w:t>
      </w:r>
      <w:r w:rsidR="007217E5" w:rsidRPr="00770846">
        <w:rPr>
          <w:rFonts w:asciiTheme="majorHAnsi" w:hAnsiTheme="majorHAnsi" w:cstheme="majorHAnsi"/>
        </w:rPr>
        <w:t xml:space="preserve">A substantial tumor volume receives </w:t>
      </w:r>
      <w:r w:rsidR="00887081" w:rsidRPr="00770846">
        <w:rPr>
          <w:rFonts w:asciiTheme="majorHAnsi" w:hAnsiTheme="majorHAnsi" w:cstheme="majorHAnsi"/>
        </w:rPr>
        <w:t>insufficient irradiation in</w:t>
      </w:r>
      <w:r w:rsidR="00C73DCA" w:rsidRPr="00770846">
        <w:rPr>
          <w:rFonts w:asciiTheme="majorHAnsi" w:hAnsiTheme="majorHAnsi" w:cstheme="majorHAnsi"/>
        </w:rPr>
        <w:t xml:space="preserve"> Case</w:t>
      </w:r>
      <w:r w:rsidR="005A16DB" w:rsidRPr="00770846">
        <w:rPr>
          <w:rFonts w:asciiTheme="majorHAnsi" w:hAnsiTheme="majorHAnsi" w:cstheme="majorHAnsi"/>
        </w:rPr>
        <w:t>s</w:t>
      </w:r>
      <w:r w:rsidR="00C73DCA" w:rsidRPr="00770846">
        <w:rPr>
          <w:rFonts w:asciiTheme="majorHAnsi" w:hAnsiTheme="majorHAnsi" w:cstheme="majorHAnsi"/>
        </w:rPr>
        <w:t xml:space="preserve"> 2 and 3</w:t>
      </w:r>
      <w:r w:rsidR="00FE5DDB" w:rsidRPr="00770846">
        <w:rPr>
          <w:rFonts w:asciiTheme="majorHAnsi" w:hAnsiTheme="majorHAnsi" w:cstheme="majorHAnsi"/>
        </w:rPr>
        <w:t xml:space="preserve"> </w:t>
      </w:r>
      <w:r w:rsidR="00B875AE" w:rsidRPr="00770846">
        <w:rPr>
          <w:rFonts w:asciiTheme="majorHAnsi" w:hAnsiTheme="majorHAnsi" w:cstheme="majorHAnsi"/>
        </w:rPr>
        <w:t xml:space="preserve">when treated with </w:t>
      </w:r>
      <w:r w:rsidR="00744E1C" w:rsidRPr="00770846">
        <w:rPr>
          <w:rFonts w:asciiTheme="majorHAnsi" w:hAnsiTheme="majorHAnsi" w:cstheme="majorHAnsi"/>
        </w:rPr>
        <w:t>Method 1</w:t>
      </w:r>
      <w:r w:rsidR="00D92A72" w:rsidRPr="00770846">
        <w:rPr>
          <w:rFonts w:asciiTheme="majorHAnsi" w:hAnsiTheme="majorHAnsi" w:cstheme="majorHAnsi"/>
        </w:rPr>
        <w:t xml:space="preserve">. </w:t>
      </w:r>
      <w:r w:rsidR="00C85653" w:rsidRPr="00770846">
        <w:rPr>
          <w:rFonts w:asciiTheme="majorHAnsi" w:hAnsiTheme="majorHAnsi" w:cstheme="majorHAnsi"/>
          <w:b/>
          <w:bCs/>
        </w:rPr>
        <w:t>T</w:t>
      </w:r>
      <w:r w:rsidR="00790E68" w:rsidRPr="00770846">
        <w:rPr>
          <w:rFonts w:asciiTheme="majorHAnsi" w:hAnsiTheme="majorHAnsi" w:cstheme="majorHAnsi"/>
          <w:b/>
          <w:bCs/>
        </w:rPr>
        <w:t>able 3</w:t>
      </w:r>
      <w:r w:rsidR="00790E68" w:rsidRPr="00770846">
        <w:rPr>
          <w:rFonts w:asciiTheme="majorHAnsi" w:hAnsiTheme="majorHAnsi" w:cstheme="majorHAnsi"/>
        </w:rPr>
        <w:t xml:space="preserve"> confirms these conclusions</w:t>
      </w:r>
      <w:r w:rsidR="005A3ACB" w:rsidRPr="00770846">
        <w:rPr>
          <w:rFonts w:asciiTheme="majorHAnsi" w:hAnsiTheme="majorHAnsi" w:cstheme="majorHAnsi"/>
        </w:rPr>
        <w:t>:</w:t>
      </w:r>
      <w:r w:rsidR="00790E68" w:rsidRPr="00770846">
        <w:rPr>
          <w:rFonts w:asciiTheme="majorHAnsi" w:hAnsiTheme="majorHAnsi" w:cstheme="majorHAnsi"/>
        </w:rPr>
        <w:t xml:space="preserve"> the D</w:t>
      </w:r>
      <w:r w:rsidR="00790E68" w:rsidRPr="00770846">
        <w:rPr>
          <w:rFonts w:asciiTheme="majorHAnsi" w:hAnsiTheme="majorHAnsi" w:cstheme="majorHAnsi"/>
          <w:vertAlign w:val="subscript"/>
        </w:rPr>
        <w:t>90</w:t>
      </w:r>
      <w:r w:rsidR="00790E68" w:rsidRPr="00770846">
        <w:rPr>
          <w:rFonts w:asciiTheme="majorHAnsi" w:hAnsiTheme="majorHAnsi" w:cstheme="majorHAnsi"/>
        </w:rPr>
        <w:t xml:space="preserve"> and D</w:t>
      </w:r>
      <w:r w:rsidR="001E7651" w:rsidRPr="00770846">
        <w:rPr>
          <w:rFonts w:asciiTheme="majorHAnsi" w:hAnsiTheme="majorHAnsi" w:cstheme="majorHAnsi"/>
          <w:vertAlign w:val="subscript"/>
        </w:rPr>
        <w:t>50</w:t>
      </w:r>
      <w:r w:rsidR="001E7651" w:rsidRPr="00770846">
        <w:rPr>
          <w:rFonts w:asciiTheme="majorHAnsi" w:hAnsiTheme="majorHAnsi" w:cstheme="majorHAnsi"/>
        </w:rPr>
        <w:t xml:space="preserve"> value</w:t>
      </w:r>
      <w:r w:rsidR="003F3B80" w:rsidRPr="00770846">
        <w:rPr>
          <w:rFonts w:asciiTheme="majorHAnsi" w:hAnsiTheme="majorHAnsi" w:cstheme="majorHAnsi"/>
        </w:rPr>
        <w:t>s</w:t>
      </w:r>
      <w:r w:rsidR="001E7651" w:rsidRPr="00770846">
        <w:rPr>
          <w:rFonts w:asciiTheme="majorHAnsi" w:hAnsiTheme="majorHAnsi" w:cstheme="majorHAnsi"/>
        </w:rPr>
        <w:t xml:space="preserve"> are considerably lower for Method 1</w:t>
      </w:r>
      <w:r w:rsidR="005A3ACB" w:rsidRPr="00770846">
        <w:rPr>
          <w:rFonts w:asciiTheme="majorHAnsi" w:hAnsiTheme="majorHAnsi" w:cstheme="majorHAnsi"/>
        </w:rPr>
        <w:t xml:space="preserve"> </w:t>
      </w:r>
      <w:r w:rsidR="003F3B80" w:rsidRPr="00770846">
        <w:rPr>
          <w:rFonts w:asciiTheme="majorHAnsi" w:hAnsiTheme="majorHAnsi" w:cstheme="majorHAnsi"/>
        </w:rPr>
        <w:t>than for</w:t>
      </w:r>
      <w:r w:rsidR="005A3ACB" w:rsidRPr="00770846">
        <w:rPr>
          <w:rFonts w:asciiTheme="majorHAnsi" w:hAnsiTheme="majorHAnsi" w:cstheme="majorHAnsi"/>
        </w:rPr>
        <w:t xml:space="preserve"> Method 2.</w:t>
      </w:r>
      <w:r w:rsidR="00B161E0" w:rsidRPr="00770846">
        <w:rPr>
          <w:rFonts w:asciiTheme="majorHAnsi" w:hAnsiTheme="majorHAnsi" w:cstheme="majorHAnsi"/>
        </w:rPr>
        <w:t xml:space="preserve"> </w:t>
      </w:r>
      <w:r w:rsidR="00870107" w:rsidRPr="00770846">
        <w:rPr>
          <w:rFonts w:asciiTheme="majorHAnsi" w:hAnsiTheme="majorHAnsi" w:cstheme="majorHAnsi"/>
        </w:rPr>
        <w:t>The Q</w:t>
      </w:r>
      <w:r w:rsidR="00446694" w:rsidRPr="00770846">
        <w:rPr>
          <w:rFonts w:asciiTheme="majorHAnsi" w:hAnsiTheme="majorHAnsi" w:cstheme="majorHAnsi"/>
        </w:rPr>
        <w:t>VHs</w:t>
      </w:r>
      <w:r w:rsidR="00870107" w:rsidRPr="00770846">
        <w:rPr>
          <w:rFonts w:asciiTheme="majorHAnsi" w:hAnsiTheme="majorHAnsi" w:cstheme="majorHAnsi"/>
        </w:rPr>
        <w:t xml:space="preserve"> (</w:t>
      </w:r>
      <w:r w:rsidR="00870107" w:rsidRPr="00770846">
        <w:rPr>
          <w:rFonts w:asciiTheme="majorHAnsi" w:hAnsiTheme="majorHAnsi" w:cstheme="majorHAnsi"/>
          <w:b/>
          <w:bCs/>
        </w:rPr>
        <w:t xml:space="preserve">Figure </w:t>
      </w:r>
      <w:r w:rsidR="009149AA" w:rsidRPr="00770846">
        <w:rPr>
          <w:rFonts w:asciiTheme="majorHAnsi" w:hAnsiTheme="majorHAnsi" w:cstheme="majorHAnsi"/>
          <w:b/>
          <w:bCs/>
        </w:rPr>
        <w:t>10</w:t>
      </w:r>
      <w:r w:rsidR="00870107" w:rsidRPr="00770846">
        <w:rPr>
          <w:rFonts w:asciiTheme="majorHAnsi" w:hAnsiTheme="majorHAnsi" w:cstheme="majorHAnsi"/>
        </w:rPr>
        <w:t xml:space="preserve">) </w:t>
      </w:r>
      <w:r w:rsidR="007C4C3F" w:rsidRPr="00770846">
        <w:rPr>
          <w:rFonts w:asciiTheme="majorHAnsi" w:hAnsiTheme="majorHAnsi" w:cstheme="majorHAnsi"/>
        </w:rPr>
        <w:t xml:space="preserve">can also be obtained from these dose distributions. </w:t>
      </w:r>
      <w:r w:rsidR="005E7EF8" w:rsidRPr="00770846">
        <w:rPr>
          <w:rFonts w:asciiTheme="majorHAnsi" w:hAnsiTheme="majorHAnsi" w:cstheme="majorHAnsi"/>
        </w:rPr>
        <w:lastRenderedPageBreak/>
        <w:t xml:space="preserve">Ideally, these curves </w:t>
      </w:r>
      <w:r w:rsidR="008A01E9" w:rsidRPr="00770846">
        <w:rPr>
          <w:rFonts w:asciiTheme="majorHAnsi" w:hAnsiTheme="majorHAnsi" w:cstheme="majorHAnsi"/>
        </w:rPr>
        <w:t xml:space="preserve">make a </w:t>
      </w:r>
      <w:r w:rsidR="00974A55" w:rsidRPr="00770846">
        <w:rPr>
          <w:rFonts w:asciiTheme="majorHAnsi" w:hAnsiTheme="majorHAnsi" w:cstheme="majorHAnsi"/>
        </w:rPr>
        <w:t xml:space="preserve">sharp </w:t>
      </w:r>
      <w:r w:rsidR="005E7EF8" w:rsidRPr="00770846">
        <w:rPr>
          <w:rFonts w:asciiTheme="majorHAnsi" w:hAnsiTheme="majorHAnsi" w:cstheme="majorHAnsi"/>
        </w:rPr>
        <w:t>drop</w:t>
      </w:r>
      <w:r w:rsidR="00974A55" w:rsidRPr="00770846">
        <w:rPr>
          <w:rFonts w:asciiTheme="majorHAnsi" w:hAnsiTheme="majorHAnsi" w:cstheme="majorHAnsi"/>
        </w:rPr>
        <w:t xml:space="preserve"> at </w:t>
      </w:r>
      <w:r w:rsidR="003E4E42" w:rsidRPr="00770846">
        <w:rPr>
          <w:rFonts w:asciiTheme="majorHAnsi" w:hAnsiTheme="majorHAnsi" w:cstheme="majorHAnsi"/>
        </w:rPr>
        <w:t>a</w:t>
      </w:r>
      <w:r w:rsidR="00974A55" w:rsidRPr="00770846">
        <w:rPr>
          <w:rFonts w:asciiTheme="majorHAnsi" w:hAnsiTheme="majorHAnsi" w:cstheme="majorHAnsi"/>
        </w:rPr>
        <w:t xml:space="preserve"> Q-value equal to one. </w:t>
      </w:r>
      <w:r w:rsidR="005264A3" w:rsidRPr="00770846">
        <w:rPr>
          <w:rFonts w:asciiTheme="majorHAnsi" w:hAnsiTheme="majorHAnsi" w:cstheme="majorHAnsi"/>
        </w:rPr>
        <w:t xml:space="preserve">Method 2 </w:t>
      </w:r>
      <w:r w:rsidR="0009203E" w:rsidRPr="00770846">
        <w:rPr>
          <w:rFonts w:asciiTheme="majorHAnsi" w:hAnsiTheme="majorHAnsi" w:cstheme="majorHAnsi"/>
        </w:rPr>
        <w:t xml:space="preserve">always </w:t>
      </w:r>
      <w:r w:rsidR="00284CE2" w:rsidRPr="00770846">
        <w:rPr>
          <w:rFonts w:asciiTheme="majorHAnsi" w:hAnsiTheme="majorHAnsi" w:cstheme="majorHAnsi"/>
        </w:rPr>
        <w:t xml:space="preserve">results in </w:t>
      </w:r>
      <w:r w:rsidR="0009203E" w:rsidRPr="00770846">
        <w:rPr>
          <w:rFonts w:asciiTheme="majorHAnsi" w:hAnsiTheme="majorHAnsi" w:cstheme="majorHAnsi"/>
        </w:rPr>
        <w:t xml:space="preserve">dose distributions </w:t>
      </w:r>
      <w:r w:rsidR="00284CE2" w:rsidRPr="00770846">
        <w:rPr>
          <w:rFonts w:asciiTheme="majorHAnsi" w:hAnsiTheme="majorHAnsi" w:cstheme="majorHAnsi"/>
        </w:rPr>
        <w:t xml:space="preserve">that </w:t>
      </w:r>
      <w:r w:rsidR="0009203E" w:rsidRPr="00770846">
        <w:rPr>
          <w:rFonts w:asciiTheme="majorHAnsi" w:hAnsiTheme="majorHAnsi" w:cstheme="majorHAnsi"/>
        </w:rPr>
        <w:t xml:space="preserve">are </w:t>
      </w:r>
      <w:r w:rsidR="00284CE2" w:rsidRPr="00770846">
        <w:rPr>
          <w:rFonts w:asciiTheme="majorHAnsi" w:hAnsiTheme="majorHAnsi" w:cstheme="majorHAnsi"/>
        </w:rPr>
        <w:t xml:space="preserve">closer to the </w:t>
      </w:r>
      <w:r w:rsidR="00E808E3" w:rsidRPr="00770846">
        <w:rPr>
          <w:rFonts w:asciiTheme="majorHAnsi" w:hAnsiTheme="majorHAnsi" w:cstheme="majorHAnsi"/>
        </w:rPr>
        <w:t>dose objective</w:t>
      </w:r>
      <w:r w:rsidR="009861D9" w:rsidRPr="00770846">
        <w:rPr>
          <w:rFonts w:asciiTheme="majorHAnsi" w:hAnsiTheme="majorHAnsi" w:cstheme="majorHAnsi"/>
        </w:rPr>
        <w:t>.</w:t>
      </w:r>
      <w:r w:rsidR="00E533EE" w:rsidRPr="00770846">
        <w:rPr>
          <w:rFonts w:asciiTheme="majorHAnsi" w:hAnsiTheme="majorHAnsi" w:cstheme="majorHAnsi"/>
        </w:rPr>
        <w:t xml:space="preserve"> </w:t>
      </w:r>
      <w:r w:rsidR="002B73D1" w:rsidRPr="00770846">
        <w:rPr>
          <w:rFonts w:asciiTheme="majorHAnsi" w:hAnsiTheme="majorHAnsi" w:cstheme="majorHAnsi"/>
          <w:b/>
          <w:bCs/>
        </w:rPr>
        <w:t>Table 4</w:t>
      </w:r>
      <w:r w:rsidR="002B73D1" w:rsidRPr="00770846">
        <w:rPr>
          <w:rFonts w:asciiTheme="majorHAnsi" w:hAnsiTheme="majorHAnsi" w:cstheme="majorHAnsi"/>
        </w:rPr>
        <w:t xml:space="preserve"> </w:t>
      </w:r>
      <w:r w:rsidR="00B161E0" w:rsidRPr="00770846">
        <w:rPr>
          <w:rFonts w:asciiTheme="majorHAnsi" w:hAnsiTheme="majorHAnsi" w:cstheme="majorHAnsi"/>
        </w:rPr>
        <w:t xml:space="preserve">also </w:t>
      </w:r>
      <w:r w:rsidR="00300638" w:rsidRPr="00770846">
        <w:rPr>
          <w:rFonts w:asciiTheme="majorHAnsi" w:hAnsiTheme="majorHAnsi" w:cstheme="majorHAnsi"/>
        </w:rPr>
        <w:t xml:space="preserve">demonstrates </w:t>
      </w:r>
      <w:r w:rsidR="00E749C8" w:rsidRPr="00770846">
        <w:rPr>
          <w:rFonts w:asciiTheme="majorHAnsi" w:hAnsiTheme="majorHAnsi" w:cstheme="majorHAnsi"/>
        </w:rPr>
        <w:t xml:space="preserve">superior </w:t>
      </w:r>
      <w:r w:rsidR="006118E8" w:rsidRPr="00770846">
        <w:rPr>
          <w:rFonts w:asciiTheme="majorHAnsi" w:hAnsiTheme="majorHAnsi" w:cstheme="majorHAnsi"/>
        </w:rPr>
        <w:t>overall Q-factors for</w:t>
      </w:r>
      <w:r w:rsidR="00E749C8" w:rsidRPr="00770846">
        <w:rPr>
          <w:rFonts w:asciiTheme="majorHAnsi" w:hAnsiTheme="majorHAnsi" w:cstheme="majorHAnsi"/>
        </w:rPr>
        <w:t xml:space="preserve"> Method 2. </w:t>
      </w:r>
      <w:r w:rsidR="00B161E0" w:rsidRPr="00770846">
        <w:rPr>
          <w:rFonts w:asciiTheme="majorHAnsi" w:hAnsiTheme="majorHAnsi" w:cstheme="majorHAnsi"/>
        </w:rPr>
        <w:t>The minimal dose (D</w:t>
      </w:r>
      <w:r w:rsidR="00B161E0" w:rsidRPr="00770846">
        <w:rPr>
          <w:rFonts w:asciiTheme="majorHAnsi" w:hAnsiTheme="majorHAnsi" w:cstheme="majorHAnsi"/>
          <w:vertAlign w:val="subscript"/>
        </w:rPr>
        <w:t>90</w:t>
      </w:r>
      <w:r w:rsidR="00B161E0" w:rsidRPr="00770846">
        <w:rPr>
          <w:rFonts w:asciiTheme="majorHAnsi" w:hAnsiTheme="majorHAnsi" w:cstheme="majorHAnsi"/>
        </w:rPr>
        <w:t xml:space="preserve">) of 2000 </w:t>
      </w:r>
      <w:proofErr w:type="spellStart"/>
      <w:r w:rsidR="00B161E0" w:rsidRPr="00770846">
        <w:rPr>
          <w:rFonts w:asciiTheme="majorHAnsi" w:hAnsiTheme="majorHAnsi" w:cstheme="majorHAnsi"/>
        </w:rPr>
        <w:t>cGy</w:t>
      </w:r>
      <w:proofErr w:type="spellEnd"/>
      <w:r w:rsidR="00B161E0" w:rsidRPr="00770846">
        <w:rPr>
          <w:rFonts w:asciiTheme="majorHAnsi" w:hAnsiTheme="majorHAnsi" w:cstheme="majorHAnsi"/>
        </w:rPr>
        <w:t xml:space="preserve"> has been achieved for all cases with Method 2, while it was not achieved with Method 1 </w:t>
      </w:r>
      <w:r w:rsidR="00E808E3" w:rsidRPr="00770846">
        <w:rPr>
          <w:rFonts w:asciiTheme="majorHAnsi" w:hAnsiTheme="majorHAnsi" w:cstheme="majorHAnsi"/>
        </w:rPr>
        <w:t>in</w:t>
      </w:r>
      <w:r w:rsidR="00B161E0" w:rsidRPr="00770846">
        <w:rPr>
          <w:rFonts w:asciiTheme="majorHAnsi" w:hAnsiTheme="majorHAnsi" w:cstheme="majorHAnsi"/>
        </w:rPr>
        <w:t xml:space="preserve"> 2 cases. This means that the tumor volume received insufficient irradiation </w:t>
      </w:r>
      <w:r w:rsidR="00851E0C" w:rsidRPr="00770846">
        <w:rPr>
          <w:rFonts w:asciiTheme="majorHAnsi" w:hAnsiTheme="majorHAnsi" w:cstheme="majorHAnsi"/>
        </w:rPr>
        <w:t>using</w:t>
      </w:r>
      <w:r w:rsidR="00B161E0" w:rsidRPr="00770846">
        <w:rPr>
          <w:rFonts w:asciiTheme="majorHAnsi" w:hAnsiTheme="majorHAnsi" w:cstheme="majorHAnsi"/>
        </w:rPr>
        <w:t xml:space="preserve"> Method 1.</w:t>
      </w:r>
    </w:p>
    <w:p w14:paraId="079B5679" w14:textId="77777777" w:rsidR="006E4797" w:rsidRPr="00770846" w:rsidRDefault="006E4797" w:rsidP="00770846">
      <w:pPr>
        <w:rPr>
          <w:rFonts w:asciiTheme="majorHAnsi" w:hAnsiTheme="majorHAnsi" w:cstheme="majorHAnsi"/>
        </w:rPr>
      </w:pPr>
    </w:p>
    <w:p w14:paraId="7E7BC823" w14:textId="3B3BAF89" w:rsidR="000D6DCD" w:rsidRPr="00770846" w:rsidRDefault="00551D82" w:rsidP="00770846">
      <w:pPr>
        <w:rPr>
          <w:rFonts w:asciiTheme="majorHAnsi" w:hAnsiTheme="majorHAnsi" w:cstheme="majorHAnsi"/>
        </w:rPr>
      </w:pPr>
      <w:r w:rsidRPr="00770846">
        <w:rPr>
          <w:rFonts w:asciiTheme="majorHAnsi" w:hAnsiTheme="majorHAnsi" w:cstheme="majorHAnsi"/>
          <w:b/>
        </w:rPr>
        <w:t>FIGURE AND TABLE LEGENDS:</w:t>
      </w:r>
    </w:p>
    <w:p w14:paraId="095814AC" w14:textId="7A22E40B" w:rsidR="004E67E9" w:rsidRPr="00770846" w:rsidRDefault="004E67E9" w:rsidP="00770846">
      <w:pPr>
        <w:keepNext/>
        <w:rPr>
          <w:rFonts w:asciiTheme="majorHAnsi" w:hAnsiTheme="majorHAnsi" w:cstheme="majorHAnsi"/>
        </w:rPr>
      </w:pPr>
    </w:p>
    <w:p w14:paraId="1A82FC16" w14:textId="1AF5AA9A" w:rsidR="002550BF" w:rsidRPr="00770846" w:rsidRDefault="004E67E9" w:rsidP="00770846">
      <w:pPr>
        <w:pStyle w:val="Caption"/>
        <w:spacing w:after="0"/>
        <w:rPr>
          <w:rFonts w:asciiTheme="majorHAnsi" w:hAnsiTheme="majorHAnsi" w:cstheme="majorHAnsi"/>
          <w:i w:val="0"/>
          <w:iCs w:val="0"/>
          <w:color w:val="auto"/>
          <w:sz w:val="24"/>
          <w:szCs w:val="24"/>
        </w:rPr>
      </w:pPr>
      <w:r w:rsidRPr="00770846">
        <w:rPr>
          <w:rFonts w:asciiTheme="majorHAnsi" w:hAnsiTheme="majorHAnsi" w:cstheme="majorHAnsi"/>
          <w:b/>
          <w:bCs/>
          <w:i w:val="0"/>
          <w:iCs w:val="0"/>
          <w:color w:val="auto"/>
          <w:sz w:val="24"/>
          <w:szCs w:val="24"/>
        </w:rPr>
        <w:t xml:space="preserve">Figure </w:t>
      </w:r>
      <w:r w:rsidR="00AE60AF" w:rsidRPr="00770846">
        <w:rPr>
          <w:rFonts w:asciiTheme="majorHAnsi" w:hAnsiTheme="majorHAnsi" w:cstheme="majorHAnsi"/>
          <w:b/>
          <w:bCs/>
          <w:i w:val="0"/>
          <w:iCs w:val="0"/>
          <w:color w:val="auto"/>
          <w:sz w:val="24"/>
          <w:szCs w:val="24"/>
        </w:rPr>
        <w:fldChar w:fldCharType="begin"/>
      </w:r>
      <w:r w:rsidR="00AE60AF" w:rsidRPr="00770846">
        <w:rPr>
          <w:rFonts w:asciiTheme="majorHAnsi" w:hAnsiTheme="majorHAnsi" w:cstheme="majorHAnsi"/>
          <w:b/>
          <w:bCs/>
          <w:i w:val="0"/>
          <w:iCs w:val="0"/>
          <w:color w:val="auto"/>
          <w:sz w:val="24"/>
          <w:szCs w:val="24"/>
        </w:rPr>
        <w:instrText xml:space="preserve"> SEQ Figure \* ARABIC </w:instrText>
      </w:r>
      <w:r w:rsidR="00AE60AF" w:rsidRPr="00770846">
        <w:rPr>
          <w:rFonts w:asciiTheme="majorHAnsi" w:hAnsiTheme="majorHAnsi" w:cstheme="majorHAnsi"/>
          <w:b/>
          <w:bCs/>
          <w:i w:val="0"/>
          <w:iCs w:val="0"/>
          <w:color w:val="auto"/>
          <w:sz w:val="24"/>
          <w:szCs w:val="24"/>
        </w:rPr>
        <w:fldChar w:fldCharType="separate"/>
      </w:r>
      <w:r w:rsidR="00D6306C" w:rsidRPr="00770846">
        <w:rPr>
          <w:rFonts w:asciiTheme="majorHAnsi" w:hAnsiTheme="majorHAnsi" w:cstheme="majorHAnsi"/>
          <w:b/>
          <w:bCs/>
          <w:i w:val="0"/>
          <w:iCs w:val="0"/>
          <w:noProof/>
          <w:color w:val="auto"/>
          <w:sz w:val="24"/>
          <w:szCs w:val="24"/>
        </w:rPr>
        <w:t>1</w:t>
      </w:r>
      <w:r w:rsidR="00AE60AF" w:rsidRPr="00770846">
        <w:rPr>
          <w:rFonts w:asciiTheme="majorHAnsi" w:hAnsiTheme="majorHAnsi" w:cstheme="majorHAnsi"/>
          <w:b/>
          <w:bCs/>
          <w:i w:val="0"/>
          <w:iCs w:val="0"/>
          <w:noProof/>
          <w:color w:val="auto"/>
          <w:sz w:val="24"/>
          <w:szCs w:val="24"/>
        </w:rPr>
        <w:fldChar w:fldCharType="end"/>
      </w:r>
      <w:r w:rsidRPr="00770846">
        <w:rPr>
          <w:rFonts w:asciiTheme="majorHAnsi" w:hAnsiTheme="majorHAnsi" w:cstheme="majorHAnsi"/>
          <w:b/>
          <w:bCs/>
          <w:i w:val="0"/>
          <w:iCs w:val="0"/>
          <w:color w:val="auto"/>
          <w:sz w:val="24"/>
          <w:szCs w:val="24"/>
        </w:rPr>
        <w:t>:</w:t>
      </w:r>
      <w:r w:rsidRPr="00770846">
        <w:rPr>
          <w:rFonts w:asciiTheme="majorHAnsi" w:hAnsiTheme="majorHAnsi" w:cstheme="majorHAnsi"/>
          <w:i w:val="0"/>
          <w:iCs w:val="0"/>
          <w:color w:val="auto"/>
          <w:sz w:val="24"/>
          <w:szCs w:val="24"/>
        </w:rPr>
        <w:t xml:space="preserve"> </w:t>
      </w:r>
      <w:r w:rsidRPr="00770846">
        <w:rPr>
          <w:rFonts w:asciiTheme="majorHAnsi" w:hAnsiTheme="majorHAnsi" w:cstheme="majorHAnsi"/>
          <w:b/>
          <w:bCs/>
          <w:i w:val="0"/>
          <w:iCs w:val="0"/>
          <w:color w:val="auto"/>
          <w:sz w:val="24"/>
          <w:szCs w:val="24"/>
        </w:rPr>
        <w:t>Bounding box</w:t>
      </w:r>
      <w:r w:rsidR="003B423F" w:rsidRPr="00770846">
        <w:rPr>
          <w:rFonts w:asciiTheme="majorHAnsi" w:hAnsiTheme="majorHAnsi" w:cstheme="majorHAnsi"/>
          <w:b/>
          <w:bCs/>
          <w:i w:val="0"/>
          <w:iCs w:val="0"/>
          <w:color w:val="auto"/>
          <w:sz w:val="24"/>
          <w:szCs w:val="24"/>
        </w:rPr>
        <w:t xml:space="preserve"> placement</w:t>
      </w:r>
      <w:r w:rsidR="003A52B9" w:rsidRPr="00770846">
        <w:rPr>
          <w:rFonts w:asciiTheme="majorHAnsi" w:hAnsiTheme="majorHAnsi" w:cstheme="majorHAnsi"/>
          <w:b/>
          <w:bCs/>
          <w:i w:val="0"/>
          <w:iCs w:val="0"/>
          <w:color w:val="auto"/>
          <w:sz w:val="24"/>
          <w:szCs w:val="24"/>
        </w:rPr>
        <w:t>.</w:t>
      </w:r>
      <w:r w:rsidR="003A52B9" w:rsidRPr="00770846">
        <w:rPr>
          <w:rFonts w:asciiTheme="majorHAnsi" w:hAnsiTheme="majorHAnsi" w:cstheme="majorHAnsi"/>
          <w:i w:val="0"/>
          <w:iCs w:val="0"/>
          <w:color w:val="auto"/>
          <w:sz w:val="24"/>
          <w:szCs w:val="24"/>
        </w:rPr>
        <w:t xml:space="preserve"> </w:t>
      </w:r>
      <w:r w:rsidR="00C57362" w:rsidRPr="00770846">
        <w:rPr>
          <w:rFonts w:asciiTheme="majorHAnsi" w:hAnsiTheme="majorHAnsi" w:cstheme="majorHAnsi"/>
          <w:i w:val="0"/>
          <w:iCs w:val="0"/>
          <w:color w:val="auto"/>
          <w:sz w:val="24"/>
          <w:szCs w:val="24"/>
        </w:rPr>
        <w:t>The T</w:t>
      </w:r>
      <w:r w:rsidR="00C57362" w:rsidRPr="00770846">
        <w:rPr>
          <w:rFonts w:asciiTheme="majorHAnsi" w:hAnsiTheme="majorHAnsi" w:cstheme="majorHAnsi"/>
          <w:i w:val="0"/>
          <w:iCs w:val="0"/>
          <w:color w:val="auto"/>
          <w:sz w:val="24"/>
          <w:szCs w:val="24"/>
          <w:vertAlign w:val="subscript"/>
        </w:rPr>
        <w:t>1</w:t>
      </w:r>
      <w:r w:rsidR="00C57362" w:rsidRPr="00770846">
        <w:rPr>
          <w:rFonts w:asciiTheme="majorHAnsi" w:hAnsiTheme="majorHAnsi" w:cstheme="majorHAnsi"/>
          <w:i w:val="0"/>
          <w:iCs w:val="0"/>
          <w:color w:val="auto"/>
          <w:sz w:val="24"/>
          <w:szCs w:val="24"/>
        </w:rPr>
        <w:t xml:space="preserve">-weighted </w:t>
      </w:r>
      <w:r w:rsidR="00B10216" w:rsidRPr="00770846">
        <w:rPr>
          <w:rFonts w:asciiTheme="majorHAnsi" w:hAnsiTheme="majorHAnsi" w:cstheme="majorHAnsi"/>
          <w:i w:val="0"/>
          <w:iCs w:val="0"/>
          <w:color w:val="auto"/>
          <w:sz w:val="24"/>
          <w:szCs w:val="24"/>
        </w:rPr>
        <w:t>contrast</w:t>
      </w:r>
      <w:r w:rsidR="001E75EA" w:rsidRPr="00770846">
        <w:rPr>
          <w:rFonts w:asciiTheme="majorHAnsi" w:hAnsiTheme="majorHAnsi" w:cstheme="majorHAnsi"/>
          <w:i w:val="0"/>
          <w:iCs w:val="0"/>
          <w:color w:val="auto"/>
          <w:sz w:val="24"/>
          <w:szCs w:val="24"/>
        </w:rPr>
        <w:t xml:space="preserve"> </w:t>
      </w:r>
      <w:r w:rsidR="00B10216" w:rsidRPr="00770846">
        <w:rPr>
          <w:rFonts w:asciiTheme="majorHAnsi" w:hAnsiTheme="majorHAnsi" w:cstheme="majorHAnsi"/>
          <w:i w:val="0"/>
          <w:iCs w:val="0"/>
          <w:color w:val="auto"/>
          <w:sz w:val="24"/>
          <w:szCs w:val="24"/>
        </w:rPr>
        <w:t>enhancement is visible in the F98 GB rat model</w:t>
      </w:r>
      <w:r w:rsidR="001E75EA" w:rsidRPr="00770846">
        <w:rPr>
          <w:rFonts w:asciiTheme="majorHAnsi" w:hAnsiTheme="majorHAnsi" w:cstheme="majorHAnsi"/>
          <w:i w:val="0"/>
          <w:iCs w:val="0"/>
          <w:color w:val="auto"/>
          <w:sz w:val="24"/>
          <w:szCs w:val="24"/>
        </w:rPr>
        <w:t>,</w:t>
      </w:r>
      <w:r w:rsidR="00B10216" w:rsidRPr="00770846">
        <w:rPr>
          <w:rFonts w:asciiTheme="majorHAnsi" w:hAnsiTheme="majorHAnsi" w:cstheme="majorHAnsi"/>
          <w:i w:val="0"/>
          <w:iCs w:val="0"/>
          <w:color w:val="auto"/>
          <w:sz w:val="24"/>
          <w:szCs w:val="24"/>
        </w:rPr>
        <w:t xml:space="preserve"> and </w:t>
      </w:r>
      <w:r w:rsidR="00586359" w:rsidRPr="00770846">
        <w:rPr>
          <w:rFonts w:asciiTheme="majorHAnsi" w:hAnsiTheme="majorHAnsi" w:cstheme="majorHAnsi"/>
          <w:i w:val="0"/>
          <w:iCs w:val="0"/>
          <w:color w:val="auto"/>
          <w:sz w:val="24"/>
          <w:szCs w:val="24"/>
        </w:rPr>
        <w:t xml:space="preserve">a generous bounding box is placed around </w:t>
      </w:r>
      <w:r w:rsidR="00924C37" w:rsidRPr="00770846">
        <w:rPr>
          <w:rFonts w:asciiTheme="majorHAnsi" w:hAnsiTheme="majorHAnsi" w:cstheme="majorHAnsi"/>
          <w:i w:val="0"/>
          <w:iCs w:val="0"/>
          <w:color w:val="auto"/>
          <w:sz w:val="24"/>
          <w:szCs w:val="24"/>
        </w:rPr>
        <w:t xml:space="preserve">the tumor using </w:t>
      </w:r>
      <w:r w:rsidR="001E75EA" w:rsidRPr="00770846">
        <w:rPr>
          <w:rFonts w:asciiTheme="majorHAnsi" w:hAnsiTheme="majorHAnsi" w:cstheme="majorHAnsi"/>
          <w:i w:val="0"/>
          <w:iCs w:val="0"/>
          <w:color w:val="auto"/>
          <w:sz w:val="24"/>
          <w:szCs w:val="24"/>
        </w:rPr>
        <w:t xml:space="preserve">the </w:t>
      </w:r>
      <w:r w:rsidR="003B423F" w:rsidRPr="00770846">
        <w:rPr>
          <w:rFonts w:asciiTheme="majorHAnsi" w:hAnsiTheme="majorHAnsi" w:cstheme="majorHAnsi"/>
          <w:i w:val="0"/>
          <w:iCs w:val="0"/>
          <w:color w:val="auto"/>
          <w:sz w:val="24"/>
          <w:szCs w:val="24"/>
        </w:rPr>
        <w:t xml:space="preserve">MATLAB </w:t>
      </w:r>
      <w:r w:rsidR="00794C73" w:rsidRPr="00770846">
        <w:rPr>
          <w:rFonts w:asciiTheme="majorHAnsi" w:hAnsiTheme="majorHAnsi" w:cstheme="majorHAnsi"/>
          <w:i w:val="0"/>
          <w:iCs w:val="0"/>
          <w:color w:val="auto"/>
          <w:sz w:val="24"/>
          <w:szCs w:val="24"/>
        </w:rPr>
        <w:t>code</w:t>
      </w:r>
      <w:r w:rsidR="001E75EA" w:rsidRPr="00770846">
        <w:rPr>
          <w:rFonts w:asciiTheme="majorHAnsi" w:hAnsiTheme="majorHAnsi" w:cstheme="majorHAnsi"/>
          <w:i w:val="0"/>
          <w:iCs w:val="0"/>
          <w:color w:val="auto"/>
          <w:sz w:val="24"/>
          <w:szCs w:val="24"/>
        </w:rPr>
        <w:t xml:space="preserve"> developed in-house</w:t>
      </w:r>
      <w:r w:rsidR="003B423F" w:rsidRPr="00770846">
        <w:rPr>
          <w:rFonts w:asciiTheme="majorHAnsi" w:hAnsiTheme="majorHAnsi" w:cstheme="majorHAnsi"/>
          <w:i w:val="0"/>
          <w:iCs w:val="0"/>
          <w:color w:val="auto"/>
          <w:sz w:val="24"/>
          <w:szCs w:val="24"/>
        </w:rPr>
        <w:t>.</w:t>
      </w:r>
      <w:r w:rsidR="00BC0F9C" w:rsidRPr="00770846">
        <w:rPr>
          <w:rFonts w:asciiTheme="majorHAnsi" w:hAnsiTheme="majorHAnsi" w:cstheme="majorHAnsi"/>
          <w:i w:val="0"/>
          <w:iCs w:val="0"/>
          <w:color w:val="auto"/>
          <w:sz w:val="24"/>
          <w:szCs w:val="24"/>
        </w:rPr>
        <w:t xml:space="preserve"> </w:t>
      </w:r>
    </w:p>
    <w:p w14:paraId="68482EF6" w14:textId="77777777" w:rsidR="001E75EA" w:rsidRPr="00770846" w:rsidRDefault="001E75EA" w:rsidP="00770846">
      <w:pPr>
        <w:rPr>
          <w:rFonts w:asciiTheme="majorHAnsi" w:hAnsiTheme="majorHAnsi" w:cstheme="majorHAnsi"/>
          <w:i/>
          <w:iCs/>
        </w:rPr>
      </w:pPr>
    </w:p>
    <w:p w14:paraId="4ADA1A60" w14:textId="25EE0734" w:rsidR="00152DAC" w:rsidRPr="00770846" w:rsidRDefault="002550BF" w:rsidP="00770846">
      <w:pPr>
        <w:pStyle w:val="Caption"/>
        <w:spacing w:after="0"/>
        <w:rPr>
          <w:rFonts w:asciiTheme="majorHAnsi" w:hAnsiTheme="majorHAnsi" w:cstheme="majorHAnsi"/>
          <w:i w:val="0"/>
          <w:iCs w:val="0"/>
          <w:color w:val="auto"/>
          <w:sz w:val="24"/>
          <w:szCs w:val="24"/>
        </w:rPr>
      </w:pPr>
      <w:r w:rsidRPr="00770846">
        <w:rPr>
          <w:rFonts w:asciiTheme="majorHAnsi" w:hAnsiTheme="majorHAnsi" w:cstheme="majorHAnsi"/>
          <w:b/>
          <w:bCs/>
          <w:i w:val="0"/>
          <w:iCs w:val="0"/>
          <w:color w:val="auto"/>
          <w:sz w:val="24"/>
          <w:szCs w:val="24"/>
        </w:rPr>
        <w:t xml:space="preserve">Figure </w:t>
      </w:r>
      <w:r w:rsidR="00AE60AF" w:rsidRPr="00770846">
        <w:rPr>
          <w:rFonts w:asciiTheme="majorHAnsi" w:hAnsiTheme="majorHAnsi" w:cstheme="majorHAnsi"/>
          <w:b/>
          <w:bCs/>
          <w:i w:val="0"/>
          <w:iCs w:val="0"/>
          <w:color w:val="auto"/>
          <w:sz w:val="24"/>
          <w:szCs w:val="24"/>
        </w:rPr>
        <w:fldChar w:fldCharType="begin"/>
      </w:r>
      <w:r w:rsidR="00AE60AF" w:rsidRPr="00770846">
        <w:rPr>
          <w:rFonts w:asciiTheme="majorHAnsi" w:hAnsiTheme="majorHAnsi" w:cstheme="majorHAnsi"/>
          <w:b/>
          <w:bCs/>
          <w:i w:val="0"/>
          <w:iCs w:val="0"/>
          <w:color w:val="auto"/>
          <w:sz w:val="24"/>
          <w:szCs w:val="24"/>
        </w:rPr>
        <w:instrText xml:space="preserve"> SEQ Figure \* ARABIC </w:instrText>
      </w:r>
      <w:r w:rsidR="00AE60AF" w:rsidRPr="00770846">
        <w:rPr>
          <w:rFonts w:asciiTheme="majorHAnsi" w:hAnsiTheme="majorHAnsi" w:cstheme="majorHAnsi"/>
          <w:b/>
          <w:bCs/>
          <w:i w:val="0"/>
          <w:iCs w:val="0"/>
          <w:color w:val="auto"/>
          <w:sz w:val="24"/>
          <w:szCs w:val="24"/>
        </w:rPr>
        <w:fldChar w:fldCharType="separate"/>
      </w:r>
      <w:r w:rsidR="00D6306C" w:rsidRPr="00770846">
        <w:rPr>
          <w:rFonts w:asciiTheme="majorHAnsi" w:hAnsiTheme="majorHAnsi" w:cstheme="majorHAnsi"/>
          <w:b/>
          <w:bCs/>
          <w:i w:val="0"/>
          <w:iCs w:val="0"/>
          <w:noProof/>
          <w:color w:val="auto"/>
          <w:sz w:val="24"/>
          <w:szCs w:val="24"/>
        </w:rPr>
        <w:t>2</w:t>
      </w:r>
      <w:r w:rsidR="00AE60AF" w:rsidRPr="00770846">
        <w:rPr>
          <w:rFonts w:asciiTheme="majorHAnsi" w:hAnsiTheme="majorHAnsi" w:cstheme="majorHAnsi"/>
          <w:b/>
          <w:bCs/>
          <w:i w:val="0"/>
          <w:iCs w:val="0"/>
          <w:noProof/>
          <w:color w:val="auto"/>
          <w:sz w:val="24"/>
          <w:szCs w:val="24"/>
        </w:rPr>
        <w:fldChar w:fldCharType="end"/>
      </w:r>
      <w:r w:rsidRPr="00770846">
        <w:rPr>
          <w:rFonts w:asciiTheme="majorHAnsi" w:hAnsiTheme="majorHAnsi" w:cstheme="majorHAnsi"/>
          <w:b/>
          <w:bCs/>
          <w:i w:val="0"/>
          <w:iCs w:val="0"/>
          <w:color w:val="auto"/>
          <w:sz w:val="24"/>
          <w:szCs w:val="24"/>
        </w:rPr>
        <w:t>:</w:t>
      </w:r>
      <w:r w:rsidRPr="00770846">
        <w:rPr>
          <w:rFonts w:asciiTheme="majorHAnsi" w:hAnsiTheme="majorHAnsi" w:cstheme="majorHAnsi"/>
          <w:i w:val="0"/>
          <w:iCs w:val="0"/>
          <w:color w:val="auto"/>
          <w:sz w:val="24"/>
          <w:szCs w:val="24"/>
        </w:rPr>
        <w:t xml:space="preserve"> </w:t>
      </w:r>
      <w:r w:rsidR="001116EF" w:rsidRPr="00770846">
        <w:rPr>
          <w:rFonts w:asciiTheme="majorHAnsi" w:hAnsiTheme="majorHAnsi" w:cstheme="majorHAnsi"/>
          <w:b/>
          <w:bCs/>
          <w:i w:val="0"/>
          <w:iCs w:val="0"/>
          <w:color w:val="auto"/>
          <w:sz w:val="24"/>
          <w:szCs w:val="24"/>
        </w:rPr>
        <w:t>T</w:t>
      </w:r>
      <w:r w:rsidR="001116EF" w:rsidRPr="00770846">
        <w:rPr>
          <w:rFonts w:asciiTheme="majorHAnsi" w:hAnsiTheme="majorHAnsi" w:cstheme="majorHAnsi"/>
          <w:b/>
          <w:bCs/>
          <w:i w:val="0"/>
          <w:iCs w:val="0"/>
          <w:color w:val="auto"/>
          <w:sz w:val="24"/>
          <w:szCs w:val="24"/>
          <w:vertAlign w:val="subscript"/>
        </w:rPr>
        <w:t>1</w:t>
      </w:r>
      <w:r w:rsidR="001116EF" w:rsidRPr="00770846">
        <w:rPr>
          <w:rFonts w:asciiTheme="majorHAnsi" w:hAnsiTheme="majorHAnsi" w:cstheme="majorHAnsi"/>
          <w:b/>
          <w:bCs/>
          <w:i w:val="0"/>
          <w:iCs w:val="0"/>
          <w:color w:val="auto"/>
          <w:sz w:val="24"/>
          <w:szCs w:val="24"/>
        </w:rPr>
        <w:t>-weighted contrast</w:t>
      </w:r>
      <w:r w:rsidR="005A07EA" w:rsidRPr="00770846">
        <w:rPr>
          <w:rFonts w:asciiTheme="majorHAnsi" w:hAnsiTheme="majorHAnsi" w:cstheme="majorHAnsi"/>
          <w:b/>
          <w:bCs/>
          <w:i w:val="0"/>
          <w:iCs w:val="0"/>
          <w:color w:val="auto"/>
          <w:sz w:val="24"/>
          <w:szCs w:val="24"/>
        </w:rPr>
        <w:t>-enhancing</w:t>
      </w:r>
      <w:r w:rsidR="00807141" w:rsidRPr="00770846">
        <w:rPr>
          <w:rFonts w:asciiTheme="majorHAnsi" w:hAnsiTheme="majorHAnsi" w:cstheme="majorHAnsi"/>
          <w:b/>
          <w:bCs/>
          <w:i w:val="0"/>
          <w:iCs w:val="0"/>
          <w:color w:val="auto"/>
          <w:sz w:val="24"/>
          <w:szCs w:val="24"/>
        </w:rPr>
        <w:t xml:space="preserve"> tumor delineation: step 1.</w:t>
      </w:r>
      <w:r w:rsidR="00807141" w:rsidRPr="00770846">
        <w:rPr>
          <w:rFonts w:asciiTheme="majorHAnsi" w:hAnsiTheme="majorHAnsi" w:cstheme="majorHAnsi"/>
          <w:i w:val="0"/>
          <w:iCs w:val="0"/>
          <w:color w:val="auto"/>
          <w:sz w:val="24"/>
          <w:szCs w:val="24"/>
        </w:rPr>
        <w:t xml:space="preserve"> </w:t>
      </w:r>
      <w:r w:rsidR="0031054B" w:rsidRPr="00770846">
        <w:rPr>
          <w:rFonts w:asciiTheme="majorHAnsi" w:hAnsiTheme="majorHAnsi" w:cstheme="majorHAnsi"/>
          <w:i w:val="0"/>
          <w:iCs w:val="0"/>
          <w:color w:val="auto"/>
          <w:sz w:val="24"/>
          <w:szCs w:val="24"/>
        </w:rPr>
        <w:t>The tumor volume is delineated on the contrast-enhanced T</w:t>
      </w:r>
      <w:r w:rsidR="0031054B" w:rsidRPr="00770846">
        <w:rPr>
          <w:rFonts w:asciiTheme="majorHAnsi" w:hAnsiTheme="majorHAnsi" w:cstheme="majorHAnsi"/>
          <w:i w:val="0"/>
          <w:iCs w:val="0"/>
          <w:color w:val="auto"/>
          <w:sz w:val="24"/>
          <w:szCs w:val="24"/>
          <w:vertAlign w:val="subscript"/>
        </w:rPr>
        <w:t>1</w:t>
      </w:r>
      <w:r w:rsidR="0031054B" w:rsidRPr="00770846">
        <w:rPr>
          <w:rFonts w:asciiTheme="majorHAnsi" w:hAnsiTheme="majorHAnsi" w:cstheme="majorHAnsi"/>
          <w:i w:val="0"/>
          <w:iCs w:val="0"/>
          <w:color w:val="auto"/>
          <w:sz w:val="24"/>
          <w:szCs w:val="24"/>
        </w:rPr>
        <w:t>-weighted MRI</w:t>
      </w:r>
      <w:r w:rsidR="00152DAC" w:rsidRPr="00770846">
        <w:rPr>
          <w:rFonts w:asciiTheme="majorHAnsi" w:hAnsiTheme="majorHAnsi" w:cstheme="majorHAnsi"/>
          <w:i w:val="0"/>
          <w:iCs w:val="0"/>
          <w:color w:val="auto"/>
          <w:sz w:val="24"/>
          <w:szCs w:val="24"/>
        </w:rPr>
        <w:t xml:space="preserve"> using thresholding.</w:t>
      </w:r>
      <w:r w:rsidR="006504DD" w:rsidRPr="00770846">
        <w:rPr>
          <w:rFonts w:asciiTheme="majorHAnsi" w:hAnsiTheme="majorHAnsi" w:cstheme="majorHAnsi"/>
          <w:i w:val="0"/>
          <w:iCs w:val="0"/>
          <w:color w:val="auto"/>
          <w:sz w:val="24"/>
          <w:szCs w:val="24"/>
        </w:rPr>
        <w:t xml:space="preserve"> Abbreviation: MRI = magnetic resonance imaging.</w:t>
      </w:r>
    </w:p>
    <w:p w14:paraId="387EB039" w14:textId="77777777" w:rsidR="006504DD" w:rsidRPr="00770846" w:rsidRDefault="006504DD" w:rsidP="00770846">
      <w:pPr>
        <w:rPr>
          <w:rFonts w:asciiTheme="majorHAnsi" w:hAnsiTheme="majorHAnsi" w:cstheme="majorHAnsi"/>
          <w:i/>
          <w:iCs/>
        </w:rPr>
      </w:pPr>
    </w:p>
    <w:p w14:paraId="530F1CAB" w14:textId="38AB28AF" w:rsidR="00921CB7" w:rsidRPr="00770846" w:rsidRDefault="00152DAC" w:rsidP="00770846">
      <w:pPr>
        <w:pStyle w:val="Caption"/>
        <w:spacing w:after="0"/>
        <w:rPr>
          <w:rFonts w:asciiTheme="majorHAnsi" w:hAnsiTheme="majorHAnsi" w:cstheme="majorHAnsi"/>
          <w:i w:val="0"/>
          <w:iCs w:val="0"/>
          <w:color w:val="auto"/>
          <w:sz w:val="24"/>
          <w:szCs w:val="24"/>
        </w:rPr>
      </w:pPr>
      <w:r w:rsidRPr="00770846">
        <w:rPr>
          <w:rFonts w:asciiTheme="majorHAnsi" w:hAnsiTheme="majorHAnsi" w:cstheme="majorHAnsi"/>
          <w:b/>
          <w:bCs/>
          <w:i w:val="0"/>
          <w:iCs w:val="0"/>
          <w:color w:val="auto"/>
          <w:sz w:val="24"/>
          <w:szCs w:val="24"/>
        </w:rPr>
        <w:t xml:space="preserve">Figure </w:t>
      </w:r>
      <w:r w:rsidR="00AE60AF" w:rsidRPr="00770846">
        <w:rPr>
          <w:rFonts w:asciiTheme="majorHAnsi" w:hAnsiTheme="majorHAnsi" w:cstheme="majorHAnsi"/>
          <w:b/>
          <w:bCs/>
          <w:i w:val="0"/>
          <w:iCs w:val="0"/>
          <w:color w:val="auto"/>
          <w:sz w:val="24"/>
          <w:szCs w:val="24"/>
        </w:rPr>
        <w:fldChar w:fldCharType="begin"/>
      </w:r>
      <w:r w:rsidR="00AE60AF" w:rsidRPr="00770846">
        <w:rPr>
          <w:rFonts w:asciiTheme="majorHAnsi" w:hAnsiTheme="majorHAnsi" w:cstheme="majorHAnsi"/>
          <w:b/>
          <w:bCs/>
          <w:i w:val="0"/>
          <w:iCs w:val="0"/>
          <w:color w:val="auto"/>
          <w:sz w:val="24"/>
          <w:szCs w:val="24"/>
        </w:rPr>
        <w:instrText xml:space="preserve"> SEQ Figure \* ARABIC </w:instrText>
      </w:r>
      <w:r w:rsidR="00AE60AF" w:rsidRPr="00770846">
        <w:rPr>
          <w:rFonts w:asciiTheme="majorHAnsi" w:hAnsiTheme="majorHAnsi" w:cstheme="majorHAnsi"/>
          <w:b/>
          <w:bCs/>
          <w:i w:val="0"/>
          <w:iCs w:val="0"/>
          <w:color w:val="auto"/>
          <w:sz w:val="24"/>
          <w:szCs w:val="24"/>
        </w:rPr>
        <w:fldChar w:fldCharType="separate"/>
      </w:r>
      <w:r w:rsidR="00D6306C" w:rsidRPr="00770846">
        <w:rPr>
          <w:rFonts w:asciiTheme="majorHAnsi" w:hAnsiTheme="majorHAnsi" w:cstheme="majorHAnsi"/>
          <w:b/>
          <w:bCs/>
          <w:i w:val="0"/>
          <w:iCs w:val="0"/>
          <w:noProof/>
          <w:color w:val="auto"/>
          <w:sz w:val="24"/>
          <w:szCs w:val="24"/>
        </w:rPr>
        <w:t>3</w:t>
      </w:r>
      <w:r w:rsidR="00AE60AF" w:rsidRPr="00770846">
        <w:rPr>
          <w:rFonts w:asciiTheme="majorHAnsi" w:hAnsiTheme="majorHAnsi" w:cstheme="majorHAnsi"/>
          <w:b/>
          <w:bCs/>
          <w:i w:val="0"/>
          <w:iCs w:val="0"/>
          <w:noProof/>
          <w:color w:val="auto"/>
          <w:sz w:val="24"/>
          <w:szCs w:val="24"/>
        </w:rPr>
        <w:fldChar w:fldCharType="end"/>
      </w:r>
      <w:r w:rsidRPr="00770846">
        <w:rPr>
          <w:rFonts w:asciiTheme="majorHAnsi" w:hAnsiTheme="majorHAnsi" w:cstheme="majorHAnsi"/>
          <w:b/>
          <w:bCs/>
          <w:i w:val="0"/>
          <w:iCs w:val="0"/>
          <w:color w:val="auto"/>
          <w:sz w:val="24"/>
          <w:szCs w:val="24"/>
        </w:rPr>
        <w:t>:</w:t>
      </w:r>
      <w:r w:rsidR="00567CDB" w:rsidRPr="00770846">
        <w:rPr>
          <w:rFonts w:asciiTheme="majorHAnsi" w:hAnsiTheme="majorHAnsi" w:cstheme="majorHAnsi"/>
          <w:i w:val="0"/>
          <w:iCs w:val="0"/>
          <w:color w:val="auto"/>
          <w:sz w:val="24"/>
          <w:szCs w:val="24"/>
        </w:rPr>
        <w:t xml:space="preserve"> </w:t>
      </w:r>
      <w:r w:rsidR="00567CDB" w:rsidRPr="00770846">
        <w:rPr>
          <w:rFonts w:asciiTheme="majorHAnsi" w:hAnsiTheme="majorHAnsi" w:cstheme="majorHAnsi"/>
          <w:b/>
          <w:bCs/>
          <w:i w:val="0"/>
          <w:iCs w:val="0"/>
          <w:color w:val="auto"/>
          <w:sz w:val="24"/>
          <w:szCs w:val="24"/>
        </w:rPr>
        <w:t>T</w:t>
      </w:r>
      <w:r w:rsidR="00567CDB" w:rsidRPr="00770846">
        <w:rPr>
          <w:rFonts w:asciiTheme="majorHAnsi" w:hAnsiTheme="majorHAnsi" w:cstheme="majorHAnsi"/>
          <w:b/>
          <w:bCs/>
          <w:i w:val="0"/>
          <w:iCs w:val="0"/>
          <w:color w:val="auto"/>
          <w:sz w:val="24"/>
          <w:szCs w:val="24"/>
          <w:vertAlign w:val="subscript"/>
        </w:rPr>
        <w:t>1</w:t>
      </w:r>
      <w:r w:rsidR="00567CDB" w:rsidRPr="00770846">
        <w:rPr>
          <w:rFonts w:asciiTheme="majorHAnsi" w:hAnsiTheme="majorHAnsi" w:cstheme="majorHAnsi"/>
          <w:b/>
          <w:bCs/>
          <w:i w:val="0"/>
          <w:iCs w:val="0"/>
          <w:color w:val="auto"/>
          <w:sz w:val="24"/>
          <w:szCs w:val="24"/>
        </w:rPr>
        <w:t>-weighted contrast-enhancing tumor delineation: step 2.</w:t>
      </w:r>
      <w:r w:rsidR="00567CDB" w:rsidRPr="00770846">
        <w:rPr>
          <w:rFonts w:asciiTheme="majorHAnsi" w:hAnsiTheme="majorHAnsi" w:cstheme="majorHAnsi"/>
          <w:i w:val="0"/>
          <w:iCs w:val="0"/>
          <w:color w:val="auto"/>
          <w:sz w:val="24"/>
          <w:szCs w:val="24"/>
        </w:rPr>
        <w:t xml:space="preserve"> </w:t>
      </w:r>
      <w:r w:rsidR="00053EF9" w:rsidRPr="00770846">
        <w:rPr>
          <w:rFonts w:asciiTheme="majorHAnsi" w:hAnsiTheme="majorHAnsi" w:cstheme="majorHAnsi"/>
          <w:i w:val="0"/>
          <w:iCs w:val="0"/>
          <w:color w:val="auto"/>
          <w:sz w:val="24"/>
          <w:szCs w:val="24"/>
        </w:rPr>
        <w:t xml:space="preserve">If multiple volumes are detected </w:t>
      </w:r>
      <w:r w:rsidR="006742A4" w:rsidRPr="00770846">
        <w:rPr>
          <w:rFonts w:asciiTheme="majorHAnsi" w:hAnsiTheme="majorHAnsi" w:cstheme="majorHAnsi"/>
          <w:i w:val="0"/>
          <w:iCs w:val="0"/>
          <w:color w:val="auto"/>
          <w:sz w:val="24"/>
          <w:szCs w:val="24"/>
        </w:rPr>
        <w:t xml:space="preserve">during the thresholding step, the </w:t>
      </w:r>
      <w:r w:rsidR="00BF13DE" w:rsidRPr="00770846">
        <w:rPr>
          <w:rFonts w:asciiTheme="majorHAnsi" w:hAnsiTheme="majorHAnsi" w:cstheme="majorHAnsi"/>
          <w:i w:val="0"/>
          <w:iCs w:val="0"/>
          <w:color w:val="auto"/>
          <w:sz w:val="24"/>
          <w:szCs w:val="24"/>
        </w:rPr>
        <w:t>largest</w:t>
      </w:r>
      <w:r w:rsidR="006742A4" w:rsidRPr="00770846">
        <w:rPr>
          <w:rFonts w:asciiTheme="majorHAnsi" w:hAnsiTheme="majorHAnsi" w:cstheme="majorHAnsi"/>
          <w:i w:val="0"/>
          <w:iCs w:val="0"/>
          <w:color w:val="auto"/>
          <w:sz w:val="24"/>
          <w:szCs w:val="24"/>
        </w:rPr>
        <w:t xml:space="preserve"> volume is </w:t>
      </w:r>
      <w:r w:rsidR="00794C73" w:rsidRPr="00770846">
        <w:rPr>
          <w:rFonts w:asciiTheme="majorHAnsi" w:hAnsiTheme="majorHAnsi" w:cstheme="majorHAnsi"/>
          <w:i w:val="0"/>
          <w:iCs w:val="0"/>
          <w:color w:val="auto"/>
          <w:sz w:val="24"/>
          <w:szCs w:val="24"/>
        </w:rPr>
        <w:t>retained</w:t>
      </w:r>
      <w:r w:rsidR="003228DB" w:rsidRPr="00770846">
        <w:rPr>
          <w:rFonts w:asciiTheme="majorHAnsi" w:hAnsiTheme="majorHAnsi" w:cstheme="majorHAnsi"/>
          <w:i w:val="0"/>
          <w:iCs w:val="0"/>
          <w:color w:val="auto"/>
          <w:sz w:val="24"/>
          <w:szCs w:val="24"/>
        </w:rPr>
        <w:t xml:space="preserve"> for further processing. </w:t>
      </w:r>
    </w:p>
    <w:p w14:paraId="1ECB56C3" w14:textId="77777777" w:rsidR="007D74F5" w:rsidRPr="00770846" w:rsidRDefault="007D74F5" w:rsidP="00770846">
      <w:pPr>
        <w:rPr>
          <w:rFonts w:asciiTheme="majorHAnsi" w:hAnsiTheme="majorHAnsi" w:cstheme="majorHAnsi"/>
          <w:i/>
          <w:iCs/>
        </w:rPr>
      </w:pPr>
    </w:p>
    <w:p w14:paraId="7E39A4BE" w14:textId="19448A2F" w:rsidR="00D6306C" w:rsidRPr="00770846" w:rsidRDefault="00921CB7" w:rsidP="00770846">
      <w:pPr>
        <w:pStyle w:val="Caption"/>
        <w:spacing w:after="0"/>
        <w:rPr>
          <w:rFonts w:asciiTheme="majorHAnsi" w:hAnsiTheme="majorHAnsi" w:cstheme="majorHAnsi"/>
          <w:i w:val="0"/>
          <w:iCs w:val="0"/>
          <w:color w:val="auto"/>
          <w:sz w:val="24"/>
          <w:szCs w:val="24"/>
        </w:rPr>
      </w:pPr>
      <w:r w:rsidRPr="00770846">
        <w:rPr>
          <w:rFonts w:asciiTheme="majorHAnsi" w:hAnsiTheme="majorHAnsi" w:cstheme="majorHAnsi"/>
          <w:b/>
          <w:bCs/>
          <w:i w:val="0"/>
          <w:iCs w:val="0"/>
          <w:color w:val="auto"/>
          <w:sz w:val="24"/>
          <w:szCs w:val="24"/>
        </w:rPr>
        <w:t xml:space="preserve">Figure </w:t>
      </w:r>
      <w:r w:rsidR="00AE60AF" w:rsidRPr="00770846">
        <w:rPr>
          <w:rFonts w:asciiTheme="majorHAnsi" w:hAnsiTheme="majorHAnsi" w:cstheme="majorHAnsi"/>
          <w:b/>
          <w:bCs/>
          <w:i w:val="0"/>
          <w:iCs w:val="0"/>
          <w:color w:val="auto"/>
          <w:sz w:val="24"/>
          <w:szCs w:val="24"/>
        </w:rPr>
        <w:fldChar w:fldCharType="begin"/>
      </w:r>
      <w:r w:rsidR="00AE60AF" w:rsidRPr="00770846">
        <w:rPr>
          <w:rFonts w:asciiTheme="majorHAnsi" w:hAnsiTheme="majorHAnsi" w:cstheme="majorHAnsi"/>
          <w:b/>
          <w:bCs/>
          <w:i w:val="0"/>
          <w:iCs w:val="0"/>
          <w:color w:val="auto"/>
          <w:sz w:val="24"/>
          <w:szCs w:val="24"/>
        </w:rPr>
        <w:instrText xml:space="preserve"> SEQ Figure \* ARABIC </w:instrText>
      </w:r>
      <w:r w:rsidR="00AE60AF" w:rsidRPr="00770846">
        <w:rPr>
          <w:rFonts w:asciiTheme="majorHAnsi" w:hAnsiTheme="majorHAnsi" w:cstheme="majorHAnsi"/>
          <w:b/>
          <w:bCs/>
          <w:i w:val="0"/>
          <w:iCs w:val="0"/>
          <w:color w:val="auto"/>
          <w:sz w:val="24"/>
          <w:szCs w:val="24"/>
        </w:rPr>
        <w:fldChar w:fldCharType="separate"/>
      </w:r>
      <w:r w:rsidR="00D6306C" w:rsidRPr="00770846">
        <w:rPr>
          <w:rFonts w:asciiTheme="majorHAnsi" w:hAnsiTheme="majorHAnsi" w:cstheme="majorHAnsi"/>
          <w:b/>
          <w:bCs/>
          <w:i w:val="0"/>
          <w:iCs w:val="0"/>
          <w:noProof/>
          <w:color w:val="auto"/>
          <w:sz w:val="24"/>
          <w:szCs w:val="24"/>
        </w:rPr>
        <w:t>4</w:t>
      </w:r>
      <w:r w:rsidR="00AE60AF" w:rsidRPr="00770846">
        <w:rPr>
          <w:rFonts w:asciiTheme="majorHAnsi" w:hAnsiTheme="majorHAnsi" w:cstheme="majorHAnsi"/>
          <w:b/>
          <w:bCs/>
          <w:i w:val="0"/>
          <w:iCs w:val="0"/>
          <w:noProof/>
          <w:color w:val="auto"/>
          <w:sz w:val="24"/>
          <w:szCs w:val="24"/>
        </w:rPr>
        <w:fldChar w:fldCharType="end"/>
      </w:r>
      <w:r w:rsidRPr="00770846">
        <w:rPr>
          <w:rFonts w:asciiTheme="majorHAnsi" w:hAnsiTheme="majorHAnsi" w:cstheme="majorHAnsi"/>
          <w:b/>
          <w:bCs/>
          <w:i w:val="0"/>
          <w:iCs w:val="0"/>
          <w:color w:val="auto"/>
          <w:sz w:val="24"/>
          <w:szCs w:val="24"/>
        </w:rPr>
        <w:t>:</w:t>
      </w:r>
      <w:r w:rsidR="001246CE" w:rsidRPr="00770846">
        <w:rPr>
          <w:rFonts w:asciiTheme="majorHAnsi" w:hAnsiTheme="majorHAnsi" w:cstheme="majorHAnsi"/>
          <w:i w:val="0"/>
          <w:iCs w:val="0"/>
          <w:color w:val="auto"/>
          <w:sz w:val="24"/>
          <w:szCs w:val="24"/>
        </w:rPr>
        <w:t xml:space="preserve"> </w:t>
      </w:r>
      <w:r w:rsidR="009B098D" w:rsidRPr="00770846">
        <w:rPr>
          <w:rFonts w:asciiTheme="majorHAnsi" w:hAnsiTheme="majorHAnsi" w:cstheme="majorHAnsi"/>
          <w:b/>
          <w:bCs/>
          <w:i w:val="0"/>
          <w:iCs w:val="0"/>
          <w:color w:val="auto"/>
          <w:sz w:val="24"/>
          <w:szCs w:val="24"/>
        </w:rPr>
        <w:t>Isocenter calculation</w:t>
      </w:r>
      <w:r w:rsidR="001305F9" w:rsidRPr="00770846">
        <w:rPr>
          <w:rFonts w:asciiTheme="majorHAnsi" w:hAnsiTheme="majorHAnsi" w:cstheme="majorHAnsi"/>
          <w:b/>
          <w:bCs/>
          <w:i w:val="0"/>
          <w:iCs w:val="0"/>
          <w:color w:val="auto"/>
          <w:sz w:val="24"/>
          <w:szCs w:val="24"/>
        </w:rPr>
        <w:t xml:space="preserve"> for Method 1.</w:t>
      </w:r>
      <w:r w:rsidR="001305F9" w:rsidRPr="00770846">
        <w:rPr>
          <w:rFonts w:asciiTheme="majorHAnsi" w:hAnsiTheme="majorHAnsi" w:cstheme="majorHAnsi"/>
          <w:i w:val="0"/>
          <w:iCs w:val="0"/>
          <w:color w:val="auto"/>
          <w:sz w:val="24"/>
          <w:szCs w:val="24"/>
        </w:rPr>
        <w:t xml:space="preserve"> </w:t>
      </w:r>
      <w:r w:rsidR="000F4410" w:rsidRPr="00770846">
        <w:rPr>
          <w:rFonts w:asciiTheme="majorHAnsi" w:hAnsiTheme="majorHAnsi" w:cstheme="majorHAnsi"/>
          <w:i w:val="0"/>
          <w:iCs w:val="0"/>
          <w:color w:val="auto"/>
          <w:sz w:val="24"/>
          <w:szCs w:val="24"/>
        </w:rPr>
        <w:t>Contrast-enhanced T</w:t>
      </w:r>
      <w:r w:rsidR="000F4410" w:rsidRPr="00770846">
        <w:rPr>
          <w:rFonts w:asciiTheme="majorHAnsi" w:hAnsiTheme="majorHAnsi" w:cstheme="majorHAnsi"/>
          <w:i w:val="0"/>
          <w:iCs w:val="0"/>
          <w:color w:val="auto"/>
          <w:sz w:val="24"/>
          <w:szCs w:val="24"/>
          <w:vertAlign w:val="subscript"/>
        </w:rPr>
        <w:t>1</w:t>
      </w:r>
      <w:r w:rsidR="000F4410" w:rsidRPr="00770846">
        <w:rPr>
          <w:rFonts w:asciiTheme="majorHAnsi" w:hAnsiTheme="majorHAnsi" w:cstheme="majorHAnsi"/>
          <w:i w:val="0"/>
          <w:iCs w:val="0"/>
          <w:color w:val="auto"/>
          <w:sz w:val="24"/>
          <w:szCs w:val="24"/>
        </w:rPr>
        <w:t>-weighted MRI, CT</w:t>
      </w:r>
      <w:r w:rsidR="007D74F5" w:rsidRPr="00770846">
        <w:rPr>
          <w:rFonts w:asciiTheme="majorHAnsi" w:hAnsiTheme="majorHAnsi" w:cstheme="majorHAnsi"/>
          <w:i w:val="0"/>
          <w:iCs w:val="0"/>
          <w:color w:val="auto"/>
          <w:sz w:val="24"/>
          <w:szCs w:val="24"/>
        </w:rPr>
        <w:t>,</w:t>
      </w:r>
      <w:r w:rsidR="00363EE9" w:rsidRPr="00770846">
        <w:rPr>
          <w:rFonts w:asciiTheme="majorHAnsi" w:hAnsiTheme="majorHAnsi" w:cstheme="majorHAnsi"/>
          <w:i w:val="0"/>
          <w:iCs w:val="0"/>
          <w:color w:val="auto"/>
          <w:sz w:val="24"/>
          <w:szCs w:val="24"/>
        </w:rPr>
        <w:t xml:space="preserve"> and PET images are depicted. The </w:t>
      </w:r>
      <w:r w:rsidR="00A06294" w:rsidRPr="00770846">
        <w:rPr>
          <w:rFonts w:asciiTheme="majorHAnsi" w:hAnsiTheme="majorHAnsi" w:cstheme="majorHAnsi"/>
          <w:i w:val="0"/>
          <w:iCs w:val="0"/>
          <w:color w:val="auto"/>
          <w:sz w:val="24"/>
          <w:szCs w:val="24"/>
        </w:rPr>
        <w:t>blue and red circle</w:t>
      </w:r>
      <w:r w:rsidR="005420D5" w:rsidRPr="00770846">
        <w:rPr>
          <w:rFonts w:asciiTheme="majorHAnsi" w:hAnsiTheme="majorHAnsi" w:cstheme="majorHAnsi"/>
          <w:i w:val="0"/>
          <w:iCs w:val="0"/>
          <w:color w:val="auto"/>
          <w:sz w:val="24"/>
          <w:szCs w:val="24"/>
        </w:rPr>
        <w:t>s</w:t>
      </w:r>
      <w:r w:rsidR="00A06294" w:rsidRPr="00770846">
        <w:rPr>
          <w:rFonts w:asciiTheme="majorHAnsi" w:hAnsiTheme="majorHAnsi" w:cstheme="majorHAnsi"/>
          <w:i w:val="0"/>
          <w:iCs w:val="0"/>
          <w:color w:val="auto"/>
          <w:sz w:val="24"/>
          <w:szCs w:val="24"/>
        </w:rPr>
        <w:t xml:space="preserve"> represent the </w:t>
      </w:r>
      <w:r w:rsidR="00D5087E" w:rsidRPr="00770846">
        <w:rPr>
          <w:rFonts w:asciiTheme="majorHAnsi" w:hAnsiTheme="majorHAnsi" w:cstheme="majorHAnsi"/>
          <w:i w:val="0"/>
          <w:iCs w:val="0"/>
          <w:color w:val="auto"/>
          <w:sz w:val="24"/>
          <w:szCs w:val="24"/>
        </w:rPr>
        <w:t>MR</w:t>
      </w:r>
      <w:r w:rsidR="005420D5" w:rsidRPr="00770846">
        <w:rPr>
          <w:rFonts w:asciiTheme="majorHAnsi" w:hAnsiTheme="majorHAnsi" w:cstheme="majorHAnsi"/>
          <w:i w:val="0"/>
          <w:iCs w:val="0"/>
          <w:color w:val="auto"/>
          <w:sz w:val="24"/>
          <w:szCs w:val="24"/>
        </w:rPr>
        <w:t>I-</w:t>
      </w:r>
      <w:r w:rsidR="00D5087E" w:rsidRPr="00770846">
        <w:rPr>
          <w:rFonts w:asciiTheme="majorHAnsi" w:hAnsiTheme="majorHAnsi" w:cstheme="majorHAnsi"/>
          <w:i w:val="0"/>
          <w:iCs w:val="0"/>
          <w:color w:val="auto"/>
          <w:sz w:val="24"/>
          <w:szCs w:val="24"/>
        </w:rPr>
        <w:t xml:space="preserve"> and PET-based isocenter</w:t>
      </w:r>
      <w:r w:rsidR="005420D5" w:rsidRPr="00770846">
        <w:rPr>
          <w:rFonts w:asciiTheme="majorHAnsi" w:hAnsiTheme="majorHAnsi" w:cstheme="majorHAnsi"/>
          <w:i w:val="0"/>
          <w:iCs w:val="0"/>
          <w:color w:val="auto"/>
          <w:sz w:val="24"/>
          <w:szCs w:val="24"/>
        </w:rPr>
        <w:t>s</w:t>
      </w:r>
      <w:r w:rsidR="00D5087E" w:rsidRPr="00770846">
        <w:rPr>
          <w:rFonts w:asciiTheme="majorHAnsi" w:hAnsiTheme="majorHAnsi" w:cstheme="majorHAnsi"/>
          <w:i w:val="0"/>
          <w:iCs w:val="0"/>
          <w:color w:val="auto"/>
          <w:sz w:val="24"/>
          <w:szCs w:val="24"/>
        </w:rPr>
        <w:t xml:space="preserve">, respectively. </w:t>
      </w:r>
      <w:r w:rsidR="005420D5" w:rsidRPr="00770846">
        <w:rPr>
          <w:rFonts w:asciiTheme="majorHAnsi" w:hAnsiTheme="majorHAnsi" w:cstheme="majorHAnsi"/>
          <w:i w:val="0"/>
          <w:iCs w:val="0"/>
          <w:color w:val="auto"/>
          <w:sz w:val="24"/>
          <w:szCs w:val="24"/>
        </w:rPr>
        <w:t>Abbreviations: MRI = magnetic resonance imaging; CT = computed tomography; PET = positron emission tomography.</w:t>
      </w:r>
    </w:p>
    <w:p w14:paraId="1AA97490" w14:textId="77777777" w:rsidR="005420D5" w:rsidRPr="00770846" w:rsidRDefault="005420D5" w:rsidP="00770846">
      <w:pPr>
        <w:rPr>
          <w:rFonts w:asciiTheme="majorHAnsi" w:hAnsiTheme="majorHAnsi" w:cstheme="majorHAnsi"/>
          <w:i/>
          <w:iCs/>
        </w:rPr>
      </w:pPr>
    </w:p>
    <w:p w14:paraId="52CBDCAD" w14:textId="0EBDB4C4" w:rsidR="00912F71" w:rsidRPr="00770846" w:rsidRDefault="00D6306C" w:rsidP="00770846">
      <w:pPr>
        <w:rPr>
          <w:rFonts w:asciiTheme="majorHAnsi" w:hAnsiTheme="majorHAnsi" w:cstheme="majorHAnsi"/>
        </w:rPr>
      </w:pPr>
      <w:r w:rsidRPr="00770846">
        <w:rPr>
          <w:rFonts w:asciiTheme="majorHAnsi" w:hAnsiTheme="majorHAnsi" w:cstheme="majorHAnsi"/>
          <w:b/>
          <w:bCs/>
        </w:rPr>
        <w:t xml:space="preserve">Figure </w:t>
      </w:r>
      <w:r w:rsidR="00AE60AF" w:rsidRPr="00770846">
        <w:rPr>
          <w:rFonts w:asciiTheme="majorHAnsi" w:hAnsiTheme="majorHAnsi" w:cstheme="majorHAnsi"/>
          <w:b/>
          <w:bCs/>
        </w:rPr>
        <w:fldChar w:fldCharType="begin"/>
      </w:r>
      <w:r w:rsidR="00AE60AF" w:rsidRPr="00770846">
        <w:rPr>
          <w:rFonts w:asciiTheme="majorHAnsi" w:hAnsiTheme="majorHAnsi" w:cstheme="majorHAnsi"/>
          <w:b/>
          <w:bCs/>
        </w:rPr>
        <w:instrText xml:space="preserve"> SEQ Figure \* ARABIC </w:instrText>
      </w:r>
      <w:r w:rsidR="00AE60AF" w:rsidRPr="00770846">
        <w:rPr>
          <w:rFonts w:asciiTheme="majorHAnsi" w:hAnsiTheme="majorHAnsi" w:cstheme="majorHAnsi"/>
          <w:b/>
          <w:bCs/>
        </w:rPr>
        <w:fldChar w:fldCharType="separate"/>
      </w:r>
      <w:r w:rsidRPr="00770846">
        <w:rPr>
          <w:rFonts w:asciiTheme="majorHAnsi" w:hAnsiTheme="majorHAnsi" w:cstheme="majorHAnsi"/>
          <w:b/>
          <w:bCs/>
          <w:noProof/>
        </w:rPr>
        <w:t>5</w:t>
      </w:r>
      <w:r w:rsidR="00AE60AF" w:rsidRPr="00770846">
        <w:rPr>
          <w:rFonts w:asciiTheme="majorHAnsi" w:hAnsiTheme="majorHAnsi" w:cstheme="majorHAnsi"/>
          <w:b/>
          <w:bCs/>
          <w:noProof/>
        </w:rPr>
        <w:fldChar w:fldCharType="end"/>
      </w:r>
      <w:r w:rsidRPr="00770846">
        <w:rPr>
          <w:rFonts w:asciiTheme="majorHAnsi" w:hAnsiTheme="majorHAnsi" w:cstheme="majorHAnsi"/>
          <w:b/>
          <w:bCs/>
        </w:rPr>
        <w:t>:</w:t>
      </w:r>
      <w:r w:rsidRPr="00770846">
        <w:rPr>
          <w:rFonts w:asciiTheme="majorHAnsi" w:hAnsiTheme="majorHAnsi" w:cstheme="majorHAnsi"/>
        </w:rPr>
        <w:t xml:space="preserve"> </w:t>
      </w:r>
      <w:r w:rsidR="00BA0F4C" w:rsidRPr="00770846">
        <w:rPr>
          <w:rFonts w:asciiTheme="majorHAnsi" w:hAnsiTheme="majorHAnsi" w:cstheme="majorHAnsi"/>
          <w:b/>
          <w:bCs/>
        </w:rPr>
        <w:t>Explanation</w:t>
      </w:r>
      <w:r w:rsidR="002763F9" w:rsidRPr="00770846">
        <w:rPr>
          <w:rFonts w:asciiTheme="majorHAnsi" w:hAnsiTheme="majorHAnsi" w:cstheme="majorHAnsi"/>
          <w:b/>
          <w:bCs/>
        </w:rPr>
        <w:t xml:space="preserve"> of</w:t>
      </w:r>
      <w:r w:rsidR="00BA0F4C" w:rsidRPr="00770846">
        <w:rPr>
          <w:rFonts w:asciiTheme="majorHAnsi" w:hAnsiTheme="majorHAnsi" w:cstheme="majorHAnsi"/>
          <w:b/>
          <w:bCs/>
        </w:rPr>
        <w:t xml:space="preserve"> jaw setup calculation.</w:t>
      </w:r>
      <w:r w:rsidR="00BA0F4C" w:rsidRPr="00770846">
        <w:rPr>
          <w:rFonts w:asciiTheme="majorHAnsi" w:hAnsiTheme="majorHAnsi" w:cstheme="majorHAnsi"/>
        </w:rPr>
        <w:t xml:space="preserve"> Step 1: </w:t>
      </w:r>
      <w:r w:rsidR="007B165C" w:rsidRPr="00770846">
        <w:rPr>
          <w:rFonts w:asciiTheme="majorHAnsi" w:hAnsiTheme="majorHAnsi" w:cstheme="majorHAnsi"/>
        </w:rPr>
        <w:t>the t</w:t>
      </w:r>
      <w:r w:rsidR="00BA0F4C" w:rsidRPr="00770846">
        <w:rPr>
          <w:rFonts w:asciiTheme="majorHAnsi" w:hAnsiTheme="majorHAnsi" w:cstheme="majorHAnsi"/>
        </w:rPr>
        <w:t xml:space="preserve">umor volume is determined (blue dots, top image). Step 2: </w:t>
      </w:r>
      <w:r w:rsidR="007B165C" w:rsidRPr="00770846">
        <w:rPr>
          <w:rFonts w:asciiTheme="majorHAnsi" w:hAnsiTheme="majorHAnsi" w:cstheme="majorHAnsi"/>
        </w:rPr>
        <w:t>a</w:t>
      </w:r>
      <w:r w:rsidR="00BA0F4C" w:rsidRPr="00770846">
        <w:rPr>
          <w:rFonts w:asciiTheme="majorHAnsi" w:hAnsiTheme="majorHAnsi" w:cstheme="majorHAnsi"/>
        </w:rPr>
        <w:t xml:space="preserve"> plane (black grid) is created perpendicular </w:t>
      </w:r>
      <w:r w:rsidR="00252BD7" w:rsidRPr="00770846">
        <w:rPr>
          <w:rFonts w:asciiTheme="majorHAnsi" w:hAnsiTheme="majorHAnsi" w:cstheme="majorHAnsi"/>
        </w:rPr>
        <w:t>to</w:t>
      </w:r>
      <w:r w:rsidR="00BA0F4C" w:rsidRPr="00770846">
        <w:rPr>
          <w:rFonts w:asciiTheme="majorHAnsi" w:hAnsiTheme="majorHAnsi" w:cstheme="majorHAnsi"/>
        </w:rPr>
        <w:t xml:space="preserve"> the incident beam (magenta line, top image) at </w:t>
      </w:r>
      <w:r w:rsidR="00CF5194" w:rsidRPr="00770846">
        <w:rPr>
          <w:rFonts w:asciiTheme="majorHAnsi" w:hAnsiTheme="majorHAnsi" w:cstheme="majorHAnsi"/>
        </w:rPr>
        <w:t>specific</w:t>
      </w:r>
      <w:r w:rsidR="00BA0F4C" w:rsidRPr="00770846">
        <w:rPr>
          <w:rFonts w:asciiTheme="majorHAnsi" w:hAnsiTheme="majorHAnsi" w:cstheme="majorHAnsi"/>
        </w:rPr>
        <w:t xml:space="preserve"> couch and gantry position</w:t>
      </w:r>
      <w:r w:rsidR="001D18AA" w:rsidRPr="00770846">
        <w:rPr>
          <w:rFonts w:asciiTheme="majorHAnsi" w:hAnsiTheme="majorHAnsi" w:cstheme="majorHAnsi"/>
        </w:rPr>
        <w:t>s</w:t>
      </w:r>
      <w:r w:rsidR="00BA0F4C" w:rsidRPr="00770846">
        <w:rPr>
          <w:rFonts w:asciiTheme="majorHAnsi" w:hAnsiTheme="majorHAnsi" w:cstheme="majorHAnsi"/>
        </w:rPr>
        <w:t xml:space="preserve">. Step 3: </w:t>
      </w:r>
      <w:r w:rsidR="007B165C" w:rsidRPr="00770846">
        <w:rPr>
          <w:rFonts w:asciiTheme="majorHAnsi" w:hAnsiTheme="majorHAnsi" w:cstheme="majorHAnsi"/>
        </w:rPr>
        <w:t>t</w:t>
      </w:r>
      <w:r w:rsidR="00BA0F4C" w:rsidRPr="00770846">
        <w:rPr>
          <w:rFonts w:asciiTheme="majorHAnsi" w:hAnsiTheme="majorHAnsi" w:cstheme="majorHAnsi"/>
        </w:rPr>
        <w:t xml:space="preserve">he tumor </w:t>
      </w:r>
      <w:r w:rsidR="00CF5194" w:rsidRPr="00770846">
        <w:rPr>
          <w:rFonts w:asciiTheme="majorHAnsi" w:hAnsiTheme="majorHAnsi" w:cstheme="majorHAnsi"/>
        </w:rPr>
        <w:t>voxels</w:t>
      </w:r>
      <w:r w:rsidR="007B165C" w:rsidRPr="00770846">
        <w:rPr>
          <w:rFonts w:asciiTheme="majorHAnsi" w:hAnsiTheme="majorHAnsi" w:cstheme="majorHAnsi"/>
        </w:rPr>
        <w:t xml:space="preserve"> (blue dots, top image)</w:t>
      </w:r>
      <w:r w:rsidR="00BA0F4C" w:rsidRPr="00770846">
        <w:rPr>
          <w:rFonts w:asciiTheme="majorHAnsi" w:hAnsiTheme="majorHAnsi" w:cstheme="majorHAnsi"/>
        </w:rPr>
        <w:t xml:space="preserve"> are perpendicularly projected onto the </w:t>
      </w:r>
      <w:proofErr w:type="gramStart"/>
      <w:r w:rsidR="00BA0F4C" w:rsidRPr="00770846">
        <w:rPr>
          <w:rFonts w:asciiTheme="majorHAnsi" w:hAnsiTheme="majorHAnsi" w:cstheme="majorHAnsi"/>
        </w:rPr>
        <w:t>aforementioned plane</w:t>
      </w:r>
      <w:proofErr w:type="gramEnd"/>
      <w:r w:rsidR="00BA0F4C" w:rsidRPr="00770846">
        <w:rPr>
          <w:rFonts w:asciiTheme="majorHAnsi" w:hAnsiTheme="majorHAnsi" w:cstheme="majorHAnsi"/>
        </w:rPr>
        <w:t xml:space="preserve">, resulting in a </w:t>
      </w:r>
      <w:r w:rsidR="00B65F33" w:rsidRPr="00770846">
        <w:rPr>
          <w:rFonts w:asciiTheme="majorHAnsi" w:hAnsiTheme="majorHAnsi" w:cstheme="majorHAnsi"/>
        </w:rPr>
        <w:t>set</w:t>
      </w:r>
      <w:r w:rsidR="00BA0F4C" w:rsidRPr="00770846">
        <w:rPr>
          <w:rFonts w:asciiTheme="majorHAnsi" w:hAnsiTheme="majorHAnsi" w:cstheme="majorHAnsi"/>
        </w:rPr>
        <w:t xml:space="preserve"> of projected </w:t>
      </w:r>
      <w:r w:rsidR="00FD47D8" w:rsidRPr="00770846">
        <w:rPr>
          <w:rFonts w:asciiTheme="majorHAnsi" w:hAnsiTheme="majorHAnsi" w:cstheme="majorHAnsi"/>
        </w:rPr>
        <w:t>voxels</w:t>
      </w:r>
      <w:r w:rsidR="00BA0F4C" w:rsidRPr="00770846">
        <w:rPr>
          <w:rFonts w:asciiTheme="majorHAnsi" w:hAnsiTheme="majorHAnsi" w:cstheme="majorHAnsi"/>
        </w:rPr>
        <w:t xml:space="preserve"> (red dots). Step 4: determine the</w:t>
      </w:r>
      <w:r w:rsidR="00FD47D8" w:rsidRPr="00770846">
        <w:rPr>
          <w:rFonts w:asciiTheme="majorHAnsi" w:hAnsiTheme="majorHAnsi" w:cstheme="majorHAnsi"/>
        </w:rPr>
        <w:t xml:space="preserve"> isocenter</w:t>
      </w:r>
      <w:r w:rsidR="00E60A1C" w:rsidRPr="00770846">
        <w:rPr>
          <w:rFonts w:asciiTheme="majorHAnsi" w:hAnsiTheme="majorHAnsi" w:cstheme="majorHAnsi"/>
        </w:rPr>
        <w:t xml:space="preserve"> and</w:t>
      </w:r>
      <w:r w:rsidR="00BA0F4C" w:rsidRPr="00770846">
        <w:rPr>
          <w:rFonts w:asciiTheme="majorHAnsi" w:hAnsiTheme="majorHAnsi" w:cstheme="majorHAnsi"/>
        </w:rPr>
        <w:t xml:space="preserve"> jaw dimensions</w:t>
      </w:r>
      <w:r w:rsidR="007B165C" w:rsidRPr="00770846">
        <w:rPr>
          <w:rFonts w:asciiTheme="majorHAnsi" w:hAnsiTheme="majorHAnsi" w:cstheme="majorHAnsi"/>
        </w:rPr>
        <w:t xml:space="preserve"> (green </w:t>
      </w:r>
      <w:r w:rsidR="009E67F8" w:rsidRPr="00770846">
        <w:rPr>
          <w:rFonts w:asciiTheme="majorHAnsi" w:hAnsiTheme="majorHAnsi" w:cstheme="majorHAnsi"/>
        </w:rPr>
        <w:t>lines</w:t>
      </w:r>
      <w:r w:rsidR="007B165C" w:rsidRPr="00770846">
        <w:rPr>
          <w:rFonts w:asciiTheme="majorHAnsi" w:hAnsiTheme="majorHAnsi" w:cstheme="majorHAnsi"/>
        </w:rPr>
        <w:t xml:space="preserve">, bottom image) </w:t>
      </w:r>
      <w:r w:rsidR="00BA0F4C" w:rsidRPr="00770846">
        <w:rPr>
          <w:rFonts w:asciiTheme="majorHAnsi" w:hAnsiTheme="majorHAnsi" w:cstheme="majorHAnsi"/>
        </w:rPr>
        <w:t>so that all the</w:t>
      </w:r>
      <w:r w:rsidR="007B165C" w:rsidRPr="00770846">
        <w:rPr>
          <w:rFonts w:asciiTheme="majorHAnsi" w:hAnsiTheme="majorHAnsi" w:cstheme="majorHAnsi"/>
        </w:rPr>
        <w:t xml:space="preserve"> projected </w:t>
      </w:r>
      <w:r w:rsidR="00C06CB5" w:rsidRPr="00770846">
        <w:rPr>
          <w:rFonts w:asciiTheme="majorHAnsi" w:hAnsiTheme="majorHAnsi" w:cstheme="majorHAnsi"/>
        </w:rPr>
        <w:t>voxels</w:t>
      </w:r>
      <w:r w:rsidR="007B165C" w:rsidRPr="00770846">
        <w:rPr>
          <w:rFonts w:asciiTheme="majorHAnsi" w:hAnsiTheme="majorHAnsi" w:cstheme="majorHAnsi"/>
        </w:rPr>
        <w:t xml:space="preserve"> are </w:t>
      </w:r>
      <w:r w:rsidR="00C06CB5" w:rsidRPr="00770846">
        <w:rPr>
          <w:rFonts w:asciiTheme="majorHAnsi" w:hAnsiTheme="majorHAnsi" w:cstheme="majorHAnsi"/>
        </w:rPr>
        <w:t>included</w:t>
      </w:r>
      <w:r w:rsidR="007B165C" w:rsidRPr="00770846">
        <w:rPr>
          <w:rFonts w:asciiTheme="majorHAnsi" w:hAnsiTheme="majorHAnsi" w:cstheme="majorHAnsi"/>
        </w:rPr>
        <w:t xml:space="preserve"> </w:t>
      </w:r>
      <w:r w:rsidR="00E40385" w:rsidRPr="00770846">
        <w:rPr>
          <w:rFonts w:asciiTheme="majorHAnsi" w:hAnsiTheme="majorHAnsi" w:cstheme="majorHAnsi"/>
        </w:rPr>
        <w:t>within the rectangular beam defined by the two symmetrical jaws of the variable collimator</w:t>
      </w:r>
      <w:r w:rsidR="007B165C" w:rsidRPr="00770846">
        <w:rPr>
          <w:rFonts w:asciiTheme="majorHAnsi" w:hAnsiTheme="majorHAnsi" w:cstheme="majorHAnsi"/>
        </w:rPr>
        <w:t xml:space="preserve"> (bottom image).</w:t>
      </w:r>
      <w:r w:rsidR="00A9576E" w:rsidRPr="00770846">
        <w:rPr>
          <w:rFonts w:asciiTheme="majorHAnsi" w:hAnsiTheme="majorHAnsi" w:cstheme="majorHAnsi"/>
        </w:rPr>
        <w:t xml:space="preserve"> These figures were </w:t>
      </w:r>
      <w:r w:rsidR="00BB0115" w:rsidRPr="00770846">
        <w:rPr>
          <w:rFonts w:asciiTheme="majorHAnsi" w:hAnsiTheme="majorHAnsi" w:cstheme="majorHAnsi"/>
        </w:rPr>
        <w:t xml:space="preserve">generated </w:t>
      </w:r>
      <w:r w:rsidR="002860EB" w:rsidRPr="00770846">
        <w:rPr>
          <w:rFonts w:asciiTheme="majorHAnsi" w:hAnsiTheme="majorHAnsi" w:cstheme="majorHAnsi"/>
        </w:rPr>
        <w:t>in</w:t>
      </w:r>
      <w:r w:rsidR="00A9576E" w:rsidRPr="00770846">
        <w:rPr>
          <w:rFonts w:asciiTheme="majorHAnsi" w:hAnsiTheme="majorHAnsi" w:cstheme="majorHAnsi"/>
        </w:rPr>
        <w:t xml:space="preserve"> MATLAB. </w:t>
      </w:r>
    </w:p>
    <w:p w14:paraId="7107EB14" w14:textId="77777777" w:rsidR="005522EF" w:rsidRPr="00770846" w:rsidRDefault="005522EF" w:rsidP="00770846">
      <w:pPr>
        <w:pStyle w:val="Caption"/>
        <w:spacing w:after="0"/>
        <w:rPr>
          <w:rFonts w:asciiTheme="majorHAnsi" w:hAnsiTheme="majorHAnsi" w:cstheme="majorHAnsi"/>
          <w:color w:val="auto"/>
          <w:sz w:val="24"/>
          <w:szCs w:val="24"/>
        </w:rPr>
      </w:pPr>
    </w:p>
    <w:p w14:paraId="5429DB2E" w14:textId="1ECC80F2" w:rsidR="009149AA" w:rsidRPr="00770846" w:rsidRDefault="009149AA" w:rsidP="00770846">
      <w:pPr>
        <w:pStyle w:val="Caption"/>
        <w:spacing w:after="0"/>
        <w:rPr>
          <w:rFonts w:asciiTheme="majorHAnsi" w:hAnsiTheme="majorHAnsi" w:cstheme="majorHAnsi"/>
          <w:i w:val="0"/>
          <w:iCs w:val="0"/>
          <w:color w:val="auto"/>
          <w:sz w:val="24"/>
          <w:szCs w:val="24"/>
        </w:rPr>
      </w:pPr>
      <w:r w:rsidRPr="00770846">
        <w:rPr>
          <w:rFonts w:asciiTheme="majorHAnsi" w:hAnsiTheme="majorHAnsi" w:cstheme="majorHAnsi"/>
          <w:b/>
          <w:bCs/>
          <w:i w:val="0"/>
          <w:iCs w:val="0"/>
          <w:color w:val="auto"/>
          <w:sz w:val="24"/>
          <w:szCs w:val="24"/>
        </w:rPr>
        <w:t>Figure 6:</w:t>
      </w:r>
      <w:r w:rsidRPr="00770846">
        <w:rPr>
          <w:rFonts w:asciiTheme="majorHAnsi" w:hAnsiTheme="majorHAnsi" w:cstheme="majorHAnsi"/>
          <w:i w:val="0"/>
          <w:iCs w:val="0"/>
          <w:color w:val="auto"/>
          <w:sz w:val="24"/>
          <w:szCs w:val="24"/>
        </w:rPr>
        <w:t xml:space="preserve"> </w:t>
      </w:r>
      <w:r w:rsidRPr="00770846">
        <w:rPr>
          <w:rFonts w:asciiTheme="majorHAnsi" w:hAnsiTheme="majorHAnsi" w:cstheme="majorHAnsi"/>
          <w:b/>
          <w:bCs/>
          <w:i w:val="0"/>
          <w:iCs w:val="0"/>
          <w:color w:val="auto"/>
          <w:sz w:val="24"/>
          <w:szCs w:val="24"/>
        </w:rPr>
        <w:t xml:space="preserve">Tumor </w:t>
      </w:r>
      <w:proofErr w:type="spellStart"/>
      <w:r w:rsidRPr="00770846">
        <w:rPr>
          <w:rFonts w:asciiTheme="majorHAnsi" w:hAnsiTheme="majorHAnsi" w:cstheme="majorHAnsi"/>
          <w:b/>
          <w:bCs/>
          <w:i w:val="0"/>
          <w:iCs w:val="0"/>
          <w:color w:val="auto"/>
          <w:sz w:val="24"/>
          <w:szCs w:val="24"/>
        </w:rPr>
        <w:t>isocontours</w:t>
      </w:r>
      <w:proofErr w:type="spellEnd"/>
      <w:r w:rsidRPr="00770846">
        <w:rPr>
          <w:rFonts w:asciiTheme="majorHAnsi" w:hAnsiTheme="majorHAnsi" w:cstheme="majorHAnsi"/>
          <w:b/>
          <w:bCs/>
          <w:i w:val="0"/>
          <w:iCs w:val="0"/>
          <w:color w:val="auto"/>
          <w:sz w:val="24"/>
          <w:szCs w:val="24"/>
        </w:rPr>
        <w:t>.</w:t>
      </w:r>
      <w:r w:rsidRPr="00770846">
        <w:rPr>
          <w:rFonts w:asciiTheme="majorHAnsi" w:hAnsiTheme="majorHAnsi" w:cstheme="majorHAnsi"/>
          <w:i w:val="0"/>
          <w:iCs w:val="0"/>
          <w:color w:val="auto"/>
          <w:sz w:val="24"/>
          <w:szCs w:val="24"/>
        </w:rPr>
        <w:t xml:space="preserve"> </w:t>
      </w:r>
      <w:proofErr w:type="spellStart"/>
      <w:r w:rsidRPr="00770846">
        <w:rPr>
          <w:rFonts w:asciiTheme="majorHAnsi" w:hAnsiTheme="majorHAnsi" w:cstheme="majorHAnsi"/>
          <w:i w:val="0"/>
          <w:iCs w:val="0"/>
          <w:color w:val="auto"/>
          <w:sz w:val="24"/>
          <w:szCs w:val="24"/>
        </w:rPr>
        <w:t>Transaxial</w:t>
      </w:r>
      <w:proofErr w:type="spellEnd"/>
      <w:r w:rsidRPr="00770846">
        <w:rPr>
          <w:rFonts w:asciiTheme="majorHAnsi" w:hAnsiTheme="majorHAnsi" w:cstheme="majorHAnsi"/>
          <w:i w:val="0"/>
          <w:iCs w:val="0"/>
          <w:color w:val="auto"/>
          <w:sz w:val="24"/>
          <w:szCs w:val="24"/>
        </w:rPr>
        <w:t xml:space="preserve">, coronal, and sagittal slices through the brain tumor with tumor volumes V50, V60, V70, V80, and V90 determined by the </w:t>
      </w:r>
      <w:proofErr w:type="spellStart"/>
      <w:r w:rsidRPr="00770846">
        <w:rPr>
          <w:rFonts w:asciiTheme="majorHAnsi" w:hAnsiTheme="majorHAnsi" w:cstheme="majorHAnsi"/>
          <w:i w:val="0"/>
          <w:iCs w:val="0"/>
          <w:color w:val="auto"/>
          <w:sz w:val="24"/>
          <w:szCs w:val="24"/>
        </w:rPr>
        <w:t>isocontour</w:t>
      </w:r>
      <w:r w:rsidR="00912F71" w:rsidRPr="00770846">
        <w:rPr>
          <w:rFonts w:asciiTheme="majorHAnsi" w:hAnsiTheme="majorHAnsi" w:cstheme="majorHAnsi"/>
          <w:i w:val="0"/>
          <w:iCs w:val="0"/>
          <w:color w:val="auto"/>
          <w:sz w:val="24"/>
          <w:szCs w:val="24"/>
        </w:rPr>
        <w:t>s</w:t>
      </w:r>
      <w:proofErr w:type="spellEnd"/>
      <w:r w:rsidRPr="00770846">
        <w:rPr>
          <w:rFonts w:asciiTheme="majorHAnsi" w:hAnsiTheme="majorHAnsi" w:cstheme="majorHAnsi"/>
          <w:i w:val="0"/>
          <w:iCs w:val="0"/>
          <w:color w:val="auto"/>
          <w:sz w:val="24"/>
          <w:szCs w:val="24"/>
        </w:rPr>
        <w:t xml:space="preserve"> corresponding to 50%, 60%, 70%, 80%, and 90% of the maximum tumor uptake in the PET images. Abbreviations: TV = </w:t>
      </w:r>
      <w:proofErr w:type="spellStart"/>
      <w:r w:rsidRPr="00770846">
        <w:rPr>
          <w:rFonts w:asciiTheme="majorHAnsi" w:hAnsiTheme="majorHAnsi" w:cstheme="majorHAnsi"/>
          <w:i w:val="0"/>
          <w:iCs w:val="0"/>
          <w:color w:val="auto"/>
          <w:sz w:val="24"/>
          <w:szCs w:val="24"/>
        </w:rPr>
        <w:t>transaxial</w:t>
      </w:r>
      <w:proofErr w:type="spellEnd"/>
      <w:r w:rsidRPr="00770846">
        <w:rPr>
          <w:rFonts w:asciiTheme="majorHAnsi" w:hAnsiTheme="majorHAnsi" w:cstheme="majorHAnsi"/>
          <w:i w:val="0"/>
          <w:iCs w:val="0"/>
          <w:color w:val="auto"/>
          <w:sz w:val="24"/>
          <w:szCs w:val="24"/>
        </w:rPr>
        <w:t>; COR = coronal; SAG = sagittal; PET = positron emission tomography.</w:t>
      </w:r>
    </w:p>
    <w:p w14:paraId="0F061F14" w14:textId="77777777" w:rsidR="009149AA" w:rsidRPr="00770846" w:rsidRDefault="009149AA" w:rsidP="00770846">
      <w:pPr>
        <w:rPr>
          <w:rFonts w:asciiTheme="majorHAnsi" w:hAnsiTheme="majorHAnsi" w:cstheme="majorHAnsi"/>
        </w:rPr>
      </w:pPr>
    </w:p>
    <w:p w14:paraId="7DDC5B21" w14:textId="267B912B" w:rsidR="006760A0" w:rsidRPr="00770846" w:rsidRDefault="00DA4978" w:rsidP="00770846">
      <w:pPr>
        <w:pStyle w:val="Caption"/>
        <w:spacing w:after="0"/>
        <w:rPr>
          <w:rFonts w:asciiTheme="majorHAnsi" w:hAnsiTheme="majorHAnsi" w:cstheme="majorHAnsi"/>
          <w:i w:val="0"/>
          <w:iCs w:val="0"/>
          <w:color w:val="auto"/>
          <w:sz w:val="24"/>
          <w:szCs w:val="24"/>
        </w:rPr>
      </w:pPr>
      <w:r w:rsidRPr="00770846">
        <w:rPr>
          <w:rFonts w:asciiTheme="majorHAnsi" w:hAnsiTheme="majorHAnsi" w:cstheme="majorHAnsi"/>
          <w:b/>
          <w:bCs/>
          <w:i w:val="0"/>
          <w:iCs w:val="0"/>
          <w:color w:val="auto"/>
          <w:sz w:val="24"/>
          <w:szCs w:val="24"/>
        </w:rPr>
        <w:t xml:space="preserve">Figure </w:t>
      </w:r>
      <w:r w:rsidR="009149AA" w:rsidRPr="00770846">
        <w:rPr>
          <w:rFonts w:asciiTheme="majorHAnsi" w:hAnsiTheme="majorHAnsi" w:cstheme="majorHAnsi"/>
          <w:b/>
          <w:bCs/>
          <w:i w:val="0"/>
          <w:iCs w:val="0"/>
          <w:color w:val="auto"/>
          <w:sz w:val="24"/>
          <w:szCs w:val="24"/>
        </w:rPr>
        <w:t>7</w:t>
      </w:r>
      <w:r w:rsidRPr="00770846">
        <w:rPr>
          <w:rFonts w:asciiTheme="majorHAnsi" w:hAnsiTheme="majorHAnsi" w:cstheme="majorHAnsi"/>
          <w:b/>
          <w:bCs/>
          <w:i w:val="0"/>
          <w:iCs w:val="0"/>
          <w:color w:val="auto"/>
          <w:sz w:val="24"/>
          <w:szCs w:val="24"/>
        </w:rPr>
        <w:t>:</w:t>
      </w:r>
      <w:r w:rsidR="00826B39" w:rsidRPr="00770846">
        <w:rPr>
          <w:rFonts w:asciiTheme="majorHAnsi" w:hAnsiTheme="majorHAnsi" w:cstheme="majorHAnsi"/>
          <w:i w:val="0"/>
          <w:iCs w:val="0"/>
          <w:color w:val="auto"/>
          <w:sz w:val="24"/>
          <w:szCs w:val="24"/>
        </w:rPr>
        <w:t xml:space="preserve"> </w:t>
      </w:r>
      <w:r w:rsidR="004751F2" w:rsidRPr="00770846">
        <w:rPr>
          <w:rFonts w:asciiTheme="majorHAnsi" w:hAnsiTheme="majorHAnsi" w:cstheme="majorHAnsi"/>
          <w:b/>
          <w:bCs/>
          <w:i w:val="0"/>
          <w:iCs w:val="0"/>
          <w:color w:val="auto"/>
          <w:sz w:val="24"/>
          <w:szCs w:val="24"/>
        </w:rPr>
        <w:t>[</w:t>
      </w:r>
      <w:r w:rsidR="004751F2" w:rsidRPr="00770846">
        <w:rPr>
          <w:rFonts w:asciiTheme="majorHAnsi" w:hAnsiTheme="majorHAnsi" w:cstheme="majorHAnsi"/>
          <w:b/>
          <w:bCs/>
          <w:i w:val="0"/>
          <w:iCs w:val="0"/>
          <w:color w:val="auto"/>
          <w:sz w:val="24"/>
          <w:szCs w:val="24"/>
          <w:vertAlign w:val="superscript"/>
        </w:rPr>
        <w:t>18</w:t>
      </w:r>
      <w:proofErr w:type="gramStart"/>
      <w:r w:rsidR="004751F2" w:rsidRPr="00770846">
        <w:rPr>
          <w:rFonts w:asciiTheme="majorHAnsi" w:hAnsiTheme="majorHAnsi" w:cstheme="majorHAnsi"/>
          <w:b/>
          <w:bCs/>
          <w:i w:val="0"/>
          <w:iCs w:val="0"/>
          <w:color w:val="auto"/>
          <w:sz w:val="24"/>
          <w:szCs w:val="24"/>
        </w:rPr>
        <w:t>F]FET</w:t>
      </w:r>
      <w:proofErr w:type="gramEnd"/>
      <w:r w:rsidR="004751F2" w:rsidRPr="00770846">
        <w:rPr>
          <w:rFonts w:asciiTheme="majorHAnsi" w:hAnsiTheme="majorHAnsi" w:cstheme="majorHAnsi"/>
          <w:b/>
          <w:bCs/>
          <w:i w:val="0"/>
          <w:iCs w:val="0"/>
          <w:color w:val="auto"/>
          <w:sz w:val="24"/>
          <w:szCs w:val="24"/>
        </w:rPr>
        <w:t xml:space="preserve"> PET imaging </w:t>
      </w:r>
      <w:r w:rsidR="002916DC" w:rsidRPr="00770846">
        <w:rPr>
          <w:rFonts w:asciiTheme="majorHAnsi" w:hAnsiTheme="majorHAnsi" w:cstheme="majorHAnsi"/>
          <w:b/>
          <w:bCs/>
          <w:i w:val="0"/>
          <w:iCs w:val="0"/>
          <w:color w:val="auto"/>
          <w:sz w:val="24"/>
          <w:szCs w:val="24"/>
        </w:rPr>
        <w:t>for</w:t>
      </w:r>
      <w:r w:rsidR="004751F2" w:rsidRPr="00770846">
        <w:rPr>
          <w:rFonts w:asciiTheme="majorHAnsi" w:hAnsiTheme="majorHAnsi" w:cstheme="majorHAnsi"/>
          <w:b/>
          <w:bCs/>
          <w:i w:val="0"/>
          <w:iCs w:val="0"/>
          <w:color w:val="auto"/>
          <w:sz w:val="24"/>
          <w:szCs w:val="24"/>
        </w:rPr>
        <w:t xml:space="preserve"> the three cases.</w:t>
      </w:r>
      <w:r w:rsidR="004751F2" w:rsidRPr="00770846">
        <w:rPr>
          <w:rFonts w:asciiTheme="majorHAnsi" w:hAnsiTheme="majorHAnsi" w:cstheme="majorHAnsi"/>
          <w:i w:val="0"/>
          <w:iCs w:val="0"/>
          <w:color w:val="auto"/>
          <w:sz w:val="24"/>
          <w:szCs w:val="24"/>
        </w:rPr>
        <w:t xml:space="preserve"> </w:t>
      </w:r>
      <w:r w:rsidR="002916DC" w:rsidRPr="00770846">
        <w:rPr>
          <w:rFonts w:asciiTheme="majorHAnsi" w:hAnsiTheme="majorHAnsi" w:cstheme="majorHAnsi"/>
          <w:i w:val="0"/>
          <w:iCs w:val="0"/>
          <w:color w:val="auto"/>
          <w:sz w:val="24"/>
          <w:szCs w:val="24"/>
        </w:rPr>
        <w:t>The sagittal, transverse</w:t>
      </w:r>
      <w:r w:rsidR="001F5702" w:rsidRPr="00770846">
        <w:rPr>
          <w:rFonts w:asciiTheme="majorHAnsi" w:hAnsiTheme="majorHAnsi" w:cstheme="majorHAnsi"/>
          <w:i w:val="0"/>
          <w:iCs w:val="0"/>
          <w:color w:val="auto"/>
          <w:sz w:val="24"/>
          <w:szCs w:val="24"/>
        </w:rPr>
        <w:t>,</w:t>
      </w:r>
      <w:r w:rsidR="002916DC" w:rsidRPr="00770846">
        <w:rPr>
          <w:rFonts w:asciiTheme="majorHAnsi" w:hAnsiTheme="majorHAnsi" w:cstheme="majorHAnsi"/>
          <w:i w:val="0"/>
          <w:iCs w:val="0"/>
          <w:color w:val="auto"/>
          <w:sz w:val="24"/>
          <w:szCs w:val="24"/>
        </w:rPr>
        <w:t xml:space="preserve"> and frontal view</w:t>
      </w:r>
      <w:r w:rsidR="002763F9" w:rsidRPr="00770846">
        <w:rPr>
          <w:rFonts w:asciiTheme="majorHAnsi" w:hAnsiTheme="majorHAnsi" w:cstheme="majorHAnsi"/>
          <w:i w:val="0"/>
          <w:iCs w:val="0"/>
          <w:color w:val="auto"/>
          <w:sz w:val="24"/>
          <w:szCs w:val="24"/>
        </w:rPr>
        <w:t>s</w:t>
      </w:r>
      <w:r w:rsidR="002916DC" w:rsidRPr="00770846">
        <w:rPr>
          <w:rFonts w:asciiTheme="majorHAnsi" w:hAnsiTheme="majorHAnsi" w:cstheme="majorHAnsi"/>
          <w:i w:val="0"/>
          <w:iCs w:val="0"/>
          <w:color w:val="auto"/>
          <w:sz w:val="24"/>
          <w:szCs w:val="24"/>
        </w:rPr>
        <w:t xml:space="preserve"> are displayed </w:t>
      </w:r>
      <w:r w:rsidR="00334683" w:rsidRPr="00770846">
        <w:rPr>
          <w:rFonts w:asciiTheme="majorHAnsi" w:hAnsiTheme="majorHAnsi" w:cstheme="majorHAnsi"/>
          <w:i w:val="0"/>
          <w:iCs w:val="0"/>
          <w:color w:val="auto"/>
          <w:sz w:val="24"/>
          <w:szCs w:val="24"/>
        </w:rPr>
        <w:t>for</w:t>
      </w:r>
      <w:r w:rsidR="002916DC" w:rsidRPr="00770846">
        <w:rPr>
          <w:rFonts w:asciiTheme="majorHAnsi" w:hAnsiTheme="majorHAnsi" w:cstheme="majorHAnsi"/>
          <w:i w:val="0"/>
          <w:iCs w:val="0"/>
          <w:color w:val="auto"/>
          <w:sz w:val="24"/>
          <w:szCs w:val="24"/>
        </w:rPr>
        <w:t xml:space="preserve"> all three cases. </w:t>
      </w:r>
    </w:p>
    <w:p w14:paraId="4ED158F5" w14:textId="77777777" w:rsidR="001F5702" w:rsidRPr="00770846" w:rsidRDefault="001F5702" w:rsidP="00770846">
      <w:pPr>
        <w:rPr>
          <w:rFonts w:asciiTheme="majorHAnsi" w:hAnsiTheme="majorHAnsi" w:cstheme="majorHAnsi"/>
          <w:i/>
          <w:iCs/>
        </w:rPr>
      </w:pPr>
    </w:p>
    <w:p w14:paraId="0A18021F" w14:textId="6D7CDC82" w:rsidR="002411ED" w:rsidRPr="00770846" w:rsidRDefault="006760A0" w:rsidP="00770846">
      <w:pPr>
        <w:pStyle w:val="Caption"/>
        <w:spacing w:after="0"/>
        <w:rPr>
          <w:rFonts w:asciiTheme="majorHAnsi" w:hAnsiTheme="majorHAnsi" w:cstheme="majorHAnsi"/>
          <w:i w:val="0"/>
          <w:iCs w:val="0"/>
          <w:color w:val="auto"/>
          <w:sz w:val="24"/>
          <w:szCs w:val="24"/>
        </w:rPr>
      </w:pPr>
      <w:r w:rsidRPr="00770846">
        <w:rPr>
          <w:rFonts w:asciiTheme="majorHAnsi" w:hAnsiTheme="majorHAnsi" w:cstheme="majorHAnsi"/>
          <w:b/>
          <w:bCs/>
          <w:i w:val="0"/>
          <w:iCs w:val="0"/>
          <w:color w:val="auto"/>
          <w:sz w:val="24"/>
          <w:szCs w:val="24"/>
        </w:rPr>
        <w:t xml:space="preserve">Figure </w:t>
      </w:r>
      <w:r w:rsidR="009149AA" w:rsidRPr="00770846">
        <w:rPr>
          <w:rFonts w:asciiTheme="majorHAnsi" w:hAnsiTheme="majorHAnsi" w:cstheme="majorHAnsi"/>
          <w:b/>
          <w:bCs/>
          <w:i w:val="0"/>
          <w:iCs w:val="0"/>
          <w:color w:val="auto"/>
          <w:sz w:val="24"/>
          <w:szCs w:val="24"/>
        </w:rPr>
        <w:t>8</w:t>
      </w:r>
      <w:r w:rsidRPr="00770846">
        <w:rPr>
          <w:rFonts w:asciiTheme="majorHAnsi" w:hAnsiTheme="majorHAnsi" w:cstheme="majorHAnsi"/>
          <w:b/>
          <w:bCs/>
          <w:i w:val="0"/>
          <w:iCs w:val="0"/>
          <w:color w:val="auto"/>
          <w:sz w:val="24"/>
          <w:szCs w:val="24"/>
        </w:rPr>
        <w:t>:</w:t>
      </w:r>
      <w:r w:rsidRPr="00770846">
        <w:rPr>
          <w:rFonts w:asciiTheme="majorHAnsi" w:hAnsiTheme="majorHAnsi" w:cstheme="majorHAnsi"/>
          <w:i w:val="0"/>
          <w:iCs w:val="0"/>
          <w:color w:val="auto"/>
          <w:sz w:val="24"/>
          <w:szCs w:val="24"/>
        </w:rPr>
        <w:t xml:space="preserve"> </w:t>
      </w:r>
      <w:r w:rsidR="00A2059C" w:rsidRPr="00770846">
        <w:rPr>
          <w:rFonts w:asciiTheme="majorHAnsi" w:hAnsiTheme="majorHAnsi" w:cstheme="majorHAnsi"/>
          <w:b/>
          <w:bCs/>
          <w:i w:val="0"/>
          <w:iCs w:val="0"/>
          <w:color w:val="auto"/>
          <w:sz w:val="24"/>
          <w:szCs w:val="24"/>
        </w:rPr>
        <w:t xml:space="preserve">Dose distributions </w:t>
      </w:r>
      <w:r w:rsidR="001D3135" w:rsidRPr="00770846">
        <w:rPr>
          <w:rFonts w:asciiTheme="majorHAnsi" w:hAnsiTheme="majorHAnsi" w:cstheme="majorHAnsi"/>
          <w:b/>
          <w:bCs/>
          <w:i w:val="0"/>
          <w:iCs w:val="0"/>
          <w:color w:val="auto"/>
          <w:sz w:val="24"/>
          <w:szCs w:val="24"/>
        </w:rPr>
        <w:t>for both metho</w:t>
      </w:r>
      <w:r w:rsidR="002838ED" w:rsidRPr="00770846">
        <w:rPr>
          <w:rFonts w:asciiTheme="majorHAnsi" w:hAnsiTheme="majorHAnsi" w:cstheme="majorHAnsi"/>
          <w:b/>
          <w:bCs/>
          <w:i w:val="0"/>
          <w:iCs w:val="0"/>
          <w:color w:val="auto"/>
          <w:sz w:val="24"/>
          <w:szCs w:val="24"/>
        </w:rPr>
        <w:t>ds.</w:t>
      </w:r>
      <w:r w:rsidR="002838ED" w:rsidRPr="00770846">
        <w:rPr>
          <w:rFonts w:asciiTheme="majorHAnsi" w:hAnsiTheme="majorHAnsi" w:cstheme="majorHAnsi"/>
          <w:i w:val="0"/>
          <w:iCs w:val="0"/>
          <w:color w:val="auto"/>
          <w:sz w:val="24"/>
          <w:szCs w:val="24"/>
        </w:rPr>
        <w:t xml:space="preserve"> Sagittal, transverse</w:t>
      </w:r>
      <w:r w:rsidR="002E04C8" w:rsidRPr="00770846">
        <w:rPr>
          <w:rFonts w:asciiTheme="majorHAnsi" w:hAnsiTheme="majorHAnsi" w:cstheme="majorHAnsi"/>
          <w:i w:val="0"/>
          <w:iCs w:val="0"/>
          <w:color w:val="auto"/>
          <w:sz w:val="24"/>
          <w:szCs w:val="24"/>
        </w:rPr>
        <w:t>,</w:t>
      </w:r>
      <w:r w:rsidR="002838ED" w:rsidRPr="00770846">
        <w:rPr>
          <w:rFonts w:asciiTheme="majorHAnsi" w:hAnsiTheme="majorHAnsi" w:cstheme="majorHAnsi"/>
          <w:i w:val="0"/>
          <w:iCs w:val="0"/>
          <w:color w:val="auto"/>
          <w:sz w:val="24"/>
          <w:szCs w:val="24"/>
        </w:rPr>
        <w:t xml:space="preserve"> and frontal view</w:t>
      </w:r>
      <w:r w:rsidR="00182A03" w:rsidRPr="00770846">
        <w:rPr>
          <w:rFonts w:asciiTheme="majorHAnsi" w:hAnsiTheme="majorHAnsi" w:cstheme="majorHAnsi"/>
          <w:i w:val="0"/>
          <w:iCs w:val="0"/>
          <w:color w:val="auto"/>
          <w:sz w:val="24"/>
          <w:szCs w:val="24"/>
        </w:rPr>
        <w:t>s</w:t>
      </w:r>
      <w:r w:rsidR="002838ED" w:rsidRPr="00770846">
        <w:rPr>
          <w:rFonts w:asciiTheme="majorHAnsi" w:hAnsiTheme="majorHAnsi" w:cstheme="majorHAnsi"/>
          <w:i w:val="0"/>
          <w:iCs w:val="0"/>
          <w:color w:val="auto"/>
          <w:sz w:val="24"/>
          <w:szCs w:val="24"/>
        </w:rPr>
        <w:t xml:space="preserve"> for all</w:t>
      </w:r>
      <w:r w:rsidR="005130B6" w:rsidRPr="00770846">
        <w:rPr>
          <w:rFonts w:asciiTheme="majorHAnsi" w:hAnsiTheme="majorHAnsi" w:cstheme="majorHAnsi"/>
          <w:i w:val="0"/>
          <w:iCs w:val="0"/>
          <w:color w:val="auto"/>
          <w:sz w:val="24"/>
          <w:szCs w:val="24"/>
        </w:rPr>
        <w:t xml:space="preserve"> three cases are displayed for both Method 1 and Method 2. </w:t>
      </w:r>
      <w:r w:rsidR="00CA4332" w:rsidRPr="00770846">
        <w:rPr>
          <w:rFonts w:asciiTheme="majorHAnsi" w:hAnsiTheme="majorHAnsi" w:cstheme="majorHAnsi"/>
          <w:i w:val="0"/>
          <w:iCs w:val="0"/>
          <w:color w:val="auto"/>
          <w:sz w:val="24"/>
          <w:szCs w:val="24"/>
        </w:rPr>
        <w:t xml:space="preserve">The dose distribution </w:t>
      </w:r>
      <w:r w:rsidR="00DC7B44" w:rsidRPr="00770846">
        <w:rPr>
          <w:rFonts w:asciiTheme="majorHAnsi" w:hAnsiTheme="majorHAnsi" w:cstheme="majorHAnsi"/>
          <w:i w:val="0"/>
          <w:iCs w:val="0"/>
          <w:color w:val="auto"/>
          <w:sz w:val="24"/>
          <w:szCs w:val="24"/>
        </w:rPr>
        <w:t>is shown together with</w:t>
      </w:r>
      <w:r w:rsidR="00CA4332" w:rsidRPr="00770846">
        <w:rPr>
          <w:rFonts w:asciiTheme="majorHAnsi" w:hAnsiTheme="majorHAnsi" w:cstheme="majorHAnsi"/>
          <w:i w:val="0"/>
          <w:iCs w:val="0"/>
          <w:color w:val="auto"/>
          <w:sz w:val="24"/>
          <w:szCs w:val="24"/>
        </w:rPr>
        <w:t xml:space="preserve"> the cone-beam CT imaging from the SARRP. </w:t>
      </w:r>
      <w:r w:rsidR="002E04C8" w:rsidRPr="00770846">
        <w:rPr>
          <w:rFonts w:asciiTheme="majorHAnsi" w:hAnsiTheme="majorHAnsi" w:cstheme="majorHAnsi"/>
          <w:i w:val="0"/>
          <w:iCs w:val="0"/>
          <w:color w:val="auto"/>
          <w:sz w:val="24"/>
          <w:szCs w:val="24"/>
        </w:rPr>
        <w:t xml:space="preserve">Abbreviations: CT = computed tomography; </w:t>
      </w:r>
      <w:r w:rsidR="002E04C8" w:rsidRPr="00770846">
        <w:rPr>
          <w:rFonts w:asciiTheme="majorHAnsi" w:hAnsiTheme="majorHAnsi" w:cstheme="majorHAnsi"/>
          <w:i w:val="0"/>
          <w:iCs w:val="0"/>
          <w:color w:val="auto"/>
          <w:sz w:val="24"/>
          <w:szCs w:val="24"/>
        </w:rPr>
        <w:lastRenderedPageBreak/>
        <w:t>SARRP = small</w:t>
      </w:r>
      <w:r w:rsidR="00DD1060" w:rsidRPr="00770846">
        <w:rPr>
          <w:rFonts w:asciiTheme="majorHAnsi" w:hAnsiTheme="majorHAnsi" w:cstheme="majorHAnsi"/>
          <w:i w:val="0"/>
          <w:iCs w:val="0"/>
          <w:color w:val="auto"/>
          <w:sz w:val="24"/>
          <w:szCs w:val="24"/>
        </w:rPr>
        <w:t xml:space="preserve"> </w:t>
      </w:r>
      <w:r w:rsidR="002E04C8" w:rsidRPr="00770846">
        <w:rPr>
          <w:rFonts w:asciiTheme="majorHAnsi" w:hAnsiTheme="majorHAnsi" w:cstheme="majorHAnsi"/>
          <w:i w:val="0"/>
          <w:iCs w:val="0"/>
          <w:color w:val="auto"/>
          <w:sz w:val="24"/>
          <w:szCs w:val="24"/>
        </w:rPr>
        <w:t>animal radiation research platform</w:t>
      </w:r>
      <w:r w:rsidR="00AD3CCB" w:rsidRPr="00770846">
        <w:rPr>
          <w:rFonts w:asciiTheme="majorHAnsi" w:hAnsiTheme="majorHAnsi" w:cstheme="majorHAnsi"/>
          <w:i w:val="0"/>
          <w:iCs w:val="0"/>
          <w:color w:val="auto"/>
          <w:sz w:val="24"/>
          <w:szCs w:val="24"/>
        </w:rPr>
        <w:t>.</w:t>
      </w:r>
    </w:p>
    <w:p w14:paraId="17AC7D69" w14:textId="77777777" w:rsidR="00AD3CCB" w:rsidRPr="00770846" w:rsidRDefault="00AD3CCB" w:rsidP="00770846">
      <w:pPr>
        <w:rPr>
          <w:rFonts w:asciiTheme="majorHAnsi" w:hAnsiTheme="majorHAnsi" w:cstheme="majorHAnsi"/>
          <w:i/>
          <w:iCs/>
        </w:rPr>
      </w:pPr>
    </w:p>
    <w:p w14:paraId="5B95D073" w14:textId="6A2468C6" w:rsidR="00075AD4" w:rsidRPr="00770846" w:rsidRDefault="002411ED" w:rsidP="00770846">
      <w:pPr>
        <w:pStyle w:val="Caption"/>
        <w:spacing w:after="0"/>
        <w:rPr>
          <w:rFonts w:asciiTheme="majorHAnsi" w:hAnsiTheme="majorHAnsi" w:cstheme="majorHAnsi"/>
          <w:i w:val="0"/>
          <w:iCs w:val="0"/>
          <w:color w:val="auto"/>
          <w:sz w:val="24"/>
          <w:szCs w:val="24"/>
        </w:rPr>
      </w:pPr>
      <w:r w:rsidRPr="00770846">
        <w:rPr>
          <w:rFonts w:asciiTheme="majorHAnsi" w:hAnsiTheme="majorHAnsi" w:cstheme="majorHAnsi"/>
          <w:b/>
          <w:bCs/>
          <w:i w:val="0"/>
          <w:iCs w:val="0"/>
          <w:color w:val="auto"/>
          <w:sz w:val="24"/>
          <w:szCs w:val="24"/>
        </w:rPr>
        <w:t xml:space="preserve">Figure </w:t>
      </w:r>
      <w:r w:rsidR="009149AA" w:rsidRPr="00770846">
        <w:rPr>
          <w:rFonts w:asciiTheme="majorHAnsi" w:hAnsiTheme="majorHAnsi" w:cstheme="majorHAnsi"/>
          <w:b/>
          <w:bCs/>
          <w:i w:val="0"/>
          <w:iCs w:val="0"/>
          <w:color w:val="auto"/>
          <w:sz w:val="24"/>
          <w:szCs w:val="24"/>
        </w:rPr>
        <w:t>9</w:t>
      </w:r>
      <w:r w:rsidRPr="00770846">
        <w:rPr>
          <w:rFonts w:asciiTheme="majorHAnsi" w:hAnsiTheme="majorHAnsi" w:cstheme="majorHAnsi"/>
          <w:b/>
          <w:bCs/>
          <w:i w:val="0"/>
          <w:iCs w:val="0"/>
          <w:color w:val="auto"/>
          <w:sz w:val="24"/>
          <w:szCs w:val="24"/>
        </w:rPr>
        <w:t>:</w:t>
      </w:r>
      <w:r w:rsidR="00CA66BA" w:rsidRPr="00770846">
        <w:rPr>
          <w:rFonts w:asciiTheme="majorHAnsi" w:hAnsiTheme="majorHAnsi" w:cstheme="majorHAnsi"/>
          <w:i w:val="0"/>
          <w:iCs w:val="0"/>
          <w:color w:val="auto"/>
          <w:sz w:val="24"/>
          <w:szCs w:val="24"/>
        </w:rPr>
        <w:t xml:space="preserve"> </w:t>
      </w:r>
      <w:r w:rsidR="00CA66BA" w:rsidRPr="00770846">
        <w:rPr>
          <w:rFonts w:asciiTheme="majorHAnsi" w:hAnsiTheme="majorHAnsi" w:cstheme="majorHAnsi"/>
          <w:b/>
          <w:bCs/>
          <w:i w:val="0"/>
          <w:iCs w:val="0"/>
          <w:color w:val="auto"/>
          <w:sz w:val="24"/>
          <w:szCs w:val="24"/>
        </w:rPr>
        <w:t>D</w:t>
      </w:r>
      <w:r w:rsidR="0072486A" w:rsidRPr="00770846">
        <w:rPr>
          <w:rFonts w:asciiTheme="majorHAnsi" w:hAnsiTheme="majorHAnsi" w:cstheme="majorHAnsi"/>
          <w:b/>
          <w:bCs/>
          <w:i w:val="0"/>
          <w:iCs w:val="0"/>
          <w:color w:val="auto"/>
          <w:sz w:val="24"/>
          <w:szCs w:val="24"/>
        </w:rPr>
        <w:t>VH curves</w:t>
      </w:r>
      <w:r w:rsidR="004D5A3F" w:rsidRPr="00770846">
        <w:rPr>
          <w:rFonts w:asciiTheme="majorHAnsi" w:hAnsiTheme="majorHAnsi" w:cstheme="majorHAnsi"/>
          <w:b/>
          <w:bCs/>
          <w:i w:val="0"/>
          <w:iCs w:val="0"/>
          <w:color w:val="auto"/>
          <w:sz w:val="24"/>
          <w:szCs w:val="24"/>
        </w:rPr>
        <w:t xml:space="preserve"> for </w:t>
      </w:r>
      <w:r w:rsidR="00331EBA" w:rsidRPr="00770846">
        <w:rPr>
          <w:rFonts w:asciiTheme="majorHAnsi" w:hAnsiTheme="majorHAnsi" w:cstheme="majorHAnsi"/>
          <w:b/>
          <w:bCs/>
          <w:i w:val="0"/>
          <w:iCs w:val="0"/>
          <w:color w:val="auto"/>
          <w:sz w:val="24"/>
          <w:szCs w:val="24"/>
        </w:rPr>
        <w:t>all cases</w:t>
      </w:r>
      <w:r w:rsidR="004D5A3F" w:rsidRPr="00770846">
        <w:rPr>
          <w:rFonts w:asciiTheme="majorHAnsi" w:hAnsiTheme="majorHAnsi" w:cstheme="majorHAnsi"/>
          <w:b/>
          <w:bCs/>
          <w:i w:val="0"/>
          <w:iCs w:val="0"/>
          <w:color w:val="auto"/>
          <w:sz w:val="24"/>
          <w:szCs w:val="24"/>
        </w:rPr>
        <w:t>.</w:t>
      </w:r>
      <w:r w:rsidR="004D5A3F" w:rsidRPr="00770846">
        <w:rPr>
          <w:rFonts w:asciiTheme="majorHAnsi" w:hAnsiTheme="majorHAnsi" w:cstheme="majorHAnsi"/>
          <w:i w:val="0"/>
          <w:iCs w:val="0"/>
          <w:color w:val="auto"/>
          <w:sz w:val="24"/>
          <w:szCs w:val="24"/>
        </w:rPr>
        <w:t xml:space="preserve"> </w:t>
      </w:r>
      <w:r w:rsidR="00331EBA" w:rsidRPr="00770846">
        <w:rPr>
          <w:rFonts w:asciiTheme="majorHAnsi" w:hAnsiTheme="majorHAnsi" w:cstheme="majorHAnsi"/>
          <w:i w:val="0"/>
          <w:iCs w:val="0"/>
          <w:color w:val="auto"/>
          <w:sz w:val="24"/>
          <w:szCs w:val="24"/>
        </w:rPr>
        <w:t>DVH curves</w:t>
      </w:r>
      <w:r w:rsidR="00F9601B" w:rsidRPr="00770846">
        <w:rPr>
          <w:rFonts w:asciiTheme="majorHAnsi" w:hAnsiTheme="majorHAnsi" w:cstheme="majorHAnsi"/>
          <w:i w:val="0"/>
          <w:iCs w:val="0"/>
          <w:color w:val="auto"/>
          <w:sz w:val="24"/>
          <w:szCs w:val="24"/>
        </w:rPr>
        <w:t xml:space="preserve"> (in </w:t>
      </w:r>
      <w:proofErr w:type="spellStart"/>
      <w:r w:rsidR="00F9601B" w:rsidRPr="00770846">
        <w:rPr>
          <w:rFonts w:asciiTheme="majorHAnsi" w:hAnsiTheme="majorHAnsi" w:cstheme="majorHAnsi"/>
          <w:i w:val="0"/>
          <w:iCs w:val="0"/>
          <w:color w:val="auto"/>
          <w:sz w:val="24"/>
          <w:szCs w:val="24"/>
        </w:rPr>
        <w:t>cGy</w:t>
      </w:r>
      <w:proofErr w:type="spellEnd"/>
      <w:r w:rsidR="00F9601B" w:rsidRPr="00770846">
        <w:rPr>
          <w:rFonts w:asciiTheme="majorHAnsi" w:hAnsiTheme="majorHAnsi" w:cstheme="majorHAnsi"/>
          <w:i w:val="0"/>
          <w:iCs w:val="0"/>
          <w:color w:val="auto"/>
          <w:sz w:val="24"/>
          <w:szCs w:val="24"/>
        </w:rPr>
        <w:t>)</w:t>
      </w:r>
      <w:r w:rsidR="00331EBA" w:rsidRPr="00770846">
        <w:rPr>
          <w:rFonts w:asciiTheme="majorHAnsi" w:hAnsiTheme="majorHAnsi" w:cstheme="majorHAnsi"/>
          <w:i w:val="0"/>
          <w:iCs w:val="0"/>
          <w:color w:val="auto"/>
          <w:sz w:val="24"/>
          <w:szCs w:val="24"/>
        </w:rPr>
        <w:t xml:space="preserve"> </w:t>
      </w:r>
      <w:r w:rsidR="002B47E7" w:rsidRPr="00770846">
        <w:rPr>
          <w:rFonts w:asciiTheme="majorHAnsi" w:hAnsiTheme="majorHAnsi" w:cstheme="majorHAnsi"/>
          <w:i w:val="0"/>
          <w:iCs w:val="0"/>
          <w:color w:val="auto"/>
          <w:sz w:val="24"/>
          <w:szCs w:val="24"/>
        </w:rPr>
        <w:t>are shown for Method 1, Method 2</w:t>
      </w:r>
      <w:r w:rsidR="0083432D" w:rsidRPr="00770846">
        <w:rPr>
          <w:rFonts w:asciiTheme="majorHAnsi" w:hAnsiTheme="majorHAnsi" w:cstheme="majorHAnsi"/>
          <w:i w:val="0"/>
          <w:iCs w:val="0"/>
          <w:color w:val="auto"/>
          <w:sz w:val="24"/>
          <w:szCs w:val="24"/>
        </w:rPr>
        <w:t>,</w:t>
      </w:r>
      <w:r w:rsidR="002B47E7" w:rsidRPr="00770846">
        <w:rPr>
          <w:rFonts w:asciiTheme="majorHAnsi" w:hAnsiTheme="majorHAnsi" w:cstheme="majorHAnsi"/>
          <w:i w:val="0"/>
          <w:iCs w:val="0"/>
          <w:color w:val="auto"/>
          <w:sz w:val="24"/>
          <w:szCs w:val="24"/>
        </w:rPr>
        <w:t xml:space="preserve"> and the Ideal Dose Map.</w:t>
      </w:r>
      <w:r w:rsidR="0083432D" w:rsidRPr="00770846">
        <w:rPr>
          <w:rFonts w:asciiTheme="majorHAnsi" w:hAnsiTheme="majorHAnsi" w:cstheme="majorHAnsi"/>
          <w:i w:val="0"/>
          <w:iCs w:val="0"/>
          <w:color w:val="auto"/>
          <w:sz w:val="24"/>
          <w:szCs w:val="24"/>
        </w:rPr>
        <w:t xml:space="preserve"> Abbreviation: DVH = dose-volume histogram.</w:t>
      </w:r>
    </w:p>
    <w:p w14:paraId="3F9F500F" w14:textId="77777777" w:rsidR="0083432D" w:rsidRPr="00770846" w:rsidRDefault="0083432D" w:rsidP="00770846">
      <w:pPr>
        <w:rPr>
          <w:rFonts w:asciiTheme="majorHAnsi" w:hAnsiTheme="majorHAnsi" w:cstheme="majorHAnsi"/>
          <w:i/>
          <w:iCs/>
        </w:rPr>
      </w:pPr>
    </w:p>
    <w:p w14:paraId="36E48FA6" w14:textId="11D47662" w:rsidR="00D50C63" w:rsidRPr="00770846" w:rsidRDefault="00075AD4" w:rsidP="00770846">
      <w:pPr>
        <w:pStyle w:val="Caption"/>
        <w:spacing w:after="0"/>
        <w:rPr>
          <w:rFonts w:asciiTheme="majorHAnsi" w:hAnsiTheme="majorHAnsi" w:cstheme="majorHAnsi"/>
          <w:i w:val="0"/>
          <w:iCs w:val="0"/>
          <w:color w:val="auto"/>
          <w:sz w:val="24"/>
          <w:szCs w:val="24"/>
        </w:rPr>
      </w:pPr>
      <w:r w:rsidRPr="00770846">
        <w:rPr>
          <w:rFonts w:asciiTheme="majorHAnsi" w:hAnsiTheme="majorHAnsi" w:cstheme="majorHAnsi"/>
          <w:b/>
          <w:bCs/>
          <w:i w:val="0"/>
          <w:iCs w:val="0"/>
          <w:color w:val="auto"/>
          <w:sz w:val="24"/>
          <w:szCs w:val="24"/>
        </w:rPr>
        <w:t xml:space="preserve">Figure </w:t>
      </w:r>
      <w:r w:rsidR="009149AA" w:rsidRPr="00770846">
        <w:rPr>
          <w:rFonts w:asciiTheme="majorHAnsi" w:hAnsiTheme="majorHAnsi" w:cstheme="majorHAnsi"/>
          <w:b/>
          <w:bCs/>
          <w:i w:val="0"/>
          <w:iCs w:val="0"/>
          <w:color w:val="auto"/>
          <w:sz w:val="24"/>
          <w:szCs w:val="24"/>
        </w:rPr>
        <w:t>10</w:t>
      </w:r>
      <w:r w:rsidR="000552C8" w:rsidRPr="00770846">
        <w:rPr>
          <w:rFonts w:asciiTheme="majorHAnsi" w:hAnsiTheme="majorHAnsi" w:cstheme="majorHAnsi"/>
          <w:b/>
          <w:bCs/>
          <w:i w:val="0"/>
          <w:iCs w:val="0"/>
          <w:color w:val="auto"/>
          <w:sz w:val="24"/>
          <w:szCs w:val="24"/>
        </w:rPr>
        <w:t>:</w:t>
      </w:r>
      <w:r w:rsidR="000552C8" w:rsidRPr="00770846">
        <w:rPr>
          <w:rFonts w:asciiTheme="majorHAnsi" w:hAnsiTheme="majorHAnsi" w:cstheme="majorHAnsi"/>
          <w:i w:val="0"/>
          <w:iCs w:val="0"/>
          <w:color w:val="auto"/>
          <w:sz w:val="24"/>
          <w:szCs w:val="24"/>
        </w:rPr>
        <w:t xml:space="preserve"> </w:t>
      </w:r>
      <w:r w:rsidR="000552C8" w:rsidRPr="00770846">
        <w:rPr>
          <w:rFonts w:asciiTheme="majorHAnsi" w:hAnsiTheme="majorHAnsi" w:cstheme="majorHAnsi"/>
          <w:b/>
          <w:bCs/>
          <w:i w:val="0"/>
          <w:iCs w:val="0"/>
          <w:color w:val="auto"/>
          <w:sz w:val="24"/>
          <w:szCs w:val="24"/>
        </w:rPr>
        <w:t>Q-volume histogram for all cases.</w:t>
      </w:r>
      <w:r w:rsidR="000552C8" w:rsidRPr="00770846">
        <w:rPr>
          <w:rFonts w:asciiTheme="majorHAnsi" w:hAnsiTheme="majorHAnsi" w:cstheme="majorHAnsi"/>
          <w:i w:val="0"/>
          <w:iCs w:val="0"/>
          <w:color w:val="auto"/>
          <w:sz w:val="24"/>
          <w:szCs w:val="24"/>
        </w:rPr>
        <w:t xml:space="preserve"> </w:t>
      </w:r>
      <w:r w:rsidR="00F03189" w:rsidRPr="00770846">
        <w:rPr>
          <w:rFonts w:asciiTheme="majorHAnsi" w:hAnsiTheme="majorHAnsi" w:cstheme="majorHAnsi"/>
          <w:i w:val="0"/>
          <w:iCs w:val="0"/>
          <w:color w:val="auto"/>
          <w:sz w:val="24"/>
          <w:szCs w:val="24"/>
        </w:rPr>
        <w:t>QVH curves are shown for Method 1, Method 2</w:t>
      </w:r>
      <w:r w:rsidR="00FF078A" w:rsidRPr="00770846">
        <w:rPr>
          <w:rFonts w:asciiTheme="majorHAnsi" w:hAnsiTheme="majorHAnsi" w:cstheme="majorHAnsi"/>
          <w:i w:val="0"/>
          <w:iCs w:val="0"/>
          <w:color w:val="auto"/>
          <w:sz w:val="24"/>
          <w:szCs w:val="24"/>
        </w:rPr>
        <w:t>,</w:t>
      </w:r>
      <w:r w:rsidR="00F03189" w:rsidRPr="00770846">
        <w:rPr>
          <w:rFonts w:asciiTheme="majorHAnsi" w:hAnsiTheme="majorHAnsi" w:cstheme="majorHAnsi"/>
          <w:i w:val="0"/>
          <w:iCs w:val="0"/>
          <w:color w:val="auto"/>
          <w:sz w:val="24"/>
          <w:szCs w:val="24"/>
        </w:rPr>
        <w:t xml:space="preserve"> and the Ideal Dose Map. </w:t>
      </w:r>
      <w:r w:rsidR="00DC7B27" w:rsidRPr="00770846">
        <w:rPr>
          <w:rFonts w:asciiTheme="majorHAnsi" w:hAnsiTheme="majorHAnsi" w:cstheme="majorHAnsi"/>
          <w:i w:val="0"/>
          <w:iCs w:val="0"/>
          <w:color w:val="auto"/>
          <w:sz w:val="24"/>
          <w:szCs w:val="24"/>
        </w:rPr>
        <w:t xml:space="preserve">Ideally, the calculated QVH </w:t>
      </w:r>
      <w:r w:rsidR="005024A0" w:rsidRPr="00770846">
        <w:rPr>
          <w:rFonts w:asciiTheme="majorHAnsi" w:hAnsiTheme="majorHAnsi" w:cstheme="majorHAnsi"/>
          <w:i w:val="0"/>
          <w:iCs w:val="0"/>
          <w:color w:val="auto"/>
          <w:sz w:val="24"/>
          <w:szCs w:val="24"/>
        </w:rPr>
        <w:t xml:space="preserve">must have </w:t>
      </w:r>
      <w:r w:rsidR="00DC7B27" w:rsidRPr="00770846">
        <w:rPr>
          <w:rFonts w:asciiTheme="majorHAnsi" w:hAnsiTheme="majorHAnsi" w:cstheme="majorHAnsi"/>
          <w:i w:val="0"/>
          <w:iCs w:val="0"/>
          <w:color w:val="auto"/>
          <w:sz w:val="24"/>
          <w:szCs w:val="24"/>
        </w:rPr>
        <w:t>a sharp drop at Q-value = 1</w:t>
      </w:r>
      <w:r w:rsidR="00BB4739" w:rsidRPr="00770846">
        <w:rPr>
          <w:rFonts w:asciiTheme="majorHAnsi" w:hAnsiTheme="majorHAnsi" w:cstheme="majorHAnsi"/>
          <w:i w:val="0"/>
          <w:iCs w:val="0"/>
          <w:color w:val="auto"/>
          <w:sz w:val="24"/>
          <w:szCs w:val="24"/>
        </w:rPr>
        <w:t xml:space="preserve"> (Ideal dose map, blue line)</w:t>
      </w:r>
      <w:r w:rsidR="0011386D" w:rsidRPr="00770846">
        <w:rPr>
          <w:rFonts w:asciiTheme="majorHAnsi" w:hAnsiTheme="majorHAnsi" w:cstheme="majorHAnsi"/>
          <w:i w:val="0"/>
          <w:iCs w:val="0"/>
          <w:color w:val="auto"/>
          <w:sz w:val="24"/>
          <w:szCs w:val="24"/>
        </w:rPr>
        <w:t>.</w:t>
      </w:r>
      <w:r w:rsidR="00FF078A" w:rsidRPr="00770846">
        <w:rPr>
          <w:rFonts w:asciiTheme="majorHAnsi" w:hAnsiTheme="majorHAnsi" w:cstheme="majorHAnsi"/>
          <w:i w:val="0"/>
          <w:iCs w:val="0"/>
          <w:color w:val="auto"/>
          <w:sz w:val="24"/>
          <w:szCs w:val="24"/>
        </w:rPr>
        <w:t xml:space="preserve"> </w:t>
      </w:r>
      <w:r w:rsidR="001E124B" w:rsidRPr="00770846">
        <w:rPr>
          <w:rFonts w:asciiTheme="majorHAnsi" w:hAnsiTheme="majorHAnsi" w:cstheme="majorHAnsi"/>
          <w:i w:val="0"/>
          <w:iCs w:val="0"/>
          <w:color w:val="auto"/>
          <w:sz w:val="24"/>
          <w:szCs w:val="24"/>
        </w:rPr>
        <w:t>Abbreviation: QVH = Q-volume histogram.</w:t>
      </w:r>
    </w:p>
    <w:p w14:paraId="7206A16B" w14:textId="77777777" w:rsidR="00F56B38" w:rsidRPr="00770846" w:rsidRDefault="00F56B38" w:rsidP="00770846">
      <w:pPr>
        <w:rPr>
          <w:rFonts w:asciiTheme="majorHAnsi" w:hAnsiTheme="majorHAnsi" w:cstheme="majorHAnsi"/>
        </w:rPr>
      </w:pPr>
    </w:p>
    <w:p w14:paraId="5ED246DB" w14:textId="77777777" w:rsidR="00F56B38" w:rsidRPr="00770846" w:rsidRDefault="00F56B38" w:rsidP="00770846">
      <w:pPr>
        <w:pStyle w:val="Caption"/>
        <w:keepNext/>
        <w:spacing w:after="0"/>
        <w:rPr>
          <w:rFonts w:asciiTheme="majorHAnsi" w:hAnsiTheme="majorHAnsi" w:cstheme="majorHAnsi"/>
          <w:i w:val="0"/>
          <w:iCs w:val="0"/>
          <w:color w:val="auto"/>
          <w:sz w:val="24"/>
          <w:szCs w:val="24"/>
        </w:rPr>
      </w:pPr>
      <w:r w:rsidRPr="00770846">
        <w:rPr>
          <w:rFonts w:asciiTheme="majorHAnsi" w:hAnsiTheme="majorHAnsi" w:cstheme="majorHAnsi"/>
          <w:b/>
          <w:bCs/>
          <w:i w:val="0"/>
          <w:iCs w:val="0"/>
          <w:color w:val="auto"/>
          <w:sz w:val="24"/>
          <w:szCs w:val="24"/>
        </w:rPr>
        <w:t>Table 1:</w:t>
      </w:r>
      <w:r w:rsidRPr="00770846">
        <w:rPr>
          <w:rFonts w:asciiTheme="majorHAnsi" w:hAnsiTheme="majorHAnsi" w:cstheme="majorHAnsi"/>
          <w:i w:val="0"/>
          <w:iCs w:val="0"/>
          <w:color w:val="auto"/>
          <w:sz w:val="24"/>
          <w:szCs w:val="24"/>
        </w:rPr>
        <w:t xml:space="preserve"> </w:t>
      </w:r>
      <w:r w:rsidRPr="00770846">
        <w:rPr>
          <w:rFonts w:asciiTheme="majorHAnsi" w:hAnsiTheme="majorHAnsi" w:cstheme="majorHAnsi"/>
          <w:b/>
          <w:bCs/>
          <w:i w:val="0"/>
          <w:iCs w:val="0"/>
          <w:color w:val="auto"/>
          <w:sz w:val="24"/>
          <w:szCs w:val="24"/>
        </w:rPr>
        <w:t>Method comparison.</w:t>
      </w:r>
      <w:r w:rsidRPr="00770846">
        <w:rPr>
          <w:rFonts w:asciiTheme="majorHAnsi" w:hAnsiTheme="majorHAnsi" w:cstheme="majorHAnsi"/>
          <w:i w:val="0"/>
          <w:iCs w:val="0"/>
          <w:color w:val="auto"/>
          <w:sz w:val="24"/>
          <w:szCs w:val="24"/>
        </w:rPr>
        <w:t xml:space="preserve"> This table further clarifies Method 1, Method 2, and the Previous Method (referring to the method that has already been published)</w:t>
      </w:r>
      <w:r w:rsidRPr="00770846">
        <w:rPr>
          <w:rFonts w:asciiTheme="majorHAnsi" w:hAnsiTheme="majorHAnsi" w:cstheme="majorHAnsi"/>
          <w:i w:val="0"/>
          <w:iCs w:val="0"/>
          <w:color w:val="auto"/>
          <w:sz w:val="24"/>
          <w:szCs w:val="24"/>
        </w:rPr>
        <w:fldChar w:fldCharType="begin" w:fldLock="1"/>
      </w:r>
      <w:r w:rsidRPr="00770846">
        <w:rPr>
          <w:rFonts w:asciiTheme="majorHAnsi" w:hAnsiTheme="majorHAnsi" w:cstheme="majorHAnsi"/>
          <w:i w:val="0"/>
          <w:iCs w:val="0"/>
          <w:color w:val="auto"/>
          <w:sz w:val="24"/>
          <w:szCs w:val="24"/>
        </w:rPr>
        <w:instrText>ADDIN CSL_CITATION {"citationItems":[{"id":"ITEM-1","itemData":{"DOI":"10.1007/s11060-014-1552-9","ISSN":"1573-7373","PMID":"25069566","abstract":"Current glioblastoma (GB) small animal models for cranial radiation therapy (RT) use simple single beam technologies, which differ from the advanced conformal image-guided radiation techniques used in clinical practice. This technological disparity presents a major disadvantage for the development of new therapeutic approaches. Hence, we established a F98 GB rat model using magnetic resonance imaging (MRI)-guided three-dimensional (3D)-conformal arc RT with the Small Animal Radiation Research Platform (SARRP). Ten Fischer rats were inoculated with F98 tumor cells. When the tumor reached a volume of approximately 27 mm(3) on T2-weighted MR images, the animals were randomized into a treatment group (n = 5) receiving RT and concomitant temozolomide, and a sham group (n = 5) receiving control injections. For the treated animals, contrast-enhanced T1-weighted MR images were acquired followed by a cone-beam computed tomography (CBCT) on the SARRP system. Both scans were co-registered; MRI was used to define the target whereas CBCT was used for calculating a dose plan (20 Gy, three non-coplanar arc beams, 3 × 3 mm collimator). Tumor volumes were evaluated on follow-up contrast-enhanced T1-weighted MR images. Verification of treatment accuracy with γH2AX immunohistochemical staining was performed. Tumors in the control animals showed rapid proliferation during follow-up, encompassing almost the entire right cerebral hemisphere at day 12-15. Treated animals showed no significant tumor growth from 2 to 9 days post RT. γH2AX results confirmed the accuracy of dose delivery. This model, which is quite similar to the approach in the clinic, is valid for combined RT and chemotherapy of GB in rats.","author":[{"dropping-particle":"","family":"Bolcaen","given":"Julie","non-dropping-particle":"","parse-names":false,"suffix":""},{"dropping-particle":"","family":"Descamps","given":"Benedicte","non-dropping-particle":"","parse-names":false,"suffix":""},{"dropping-particle":"","family":"Deblaere","given":"Karel","non-dropping-particle":"","parse-names":false,"suffix":""},{"dropping-particle":"","family":"Boterberg","given":"Tom","non-dropping-particle":"","parse-names":false,"suffix":""},{"dropping-particle":"","family":"Hallaert","given":"Giorgio","non-dropping-particle":"","parse-names":false,"suffix":""},{"dropping-particle":"","family":"Broecke","given":"Caroline","non-dropping-particle":"Van den","parse-names":false,"suffix":""},{"dropping-particle":"","family":"Decrock","given":"Elke","non-dropping-particle":"","parse-names":false,"suffix":""},{"dropping-particle":"","family":"Vral","given":"Anne","non-dropping-particle":"","parse-names":false,"suffix":""},{"dropping-particle":"","family":"Leybaert","given":"Luc","non-dropping-particle":"","parse-names":false,"suffix":""},{"dropping-particle":"","family":"Vanhove","given":"Christian","non-dropping-particle":"","parse-names":false,"suffix":""},{"dropping-particle":"","family":"Goethals","given":"Ingeborg","non-dropping-particle":"","parse-names":false,"suffix":""}],"container-title":"Journal of neuro-oncology","id":"ITEM-1","issue":"2","issued":{"date-parts":[["2014","11"]]},"page":"257-66","title":"MRI-guided 3D conformal arc micro-irradiation of a F98 glioblastoma rat model using the Small Animal Radiation Research Platform (SARRP).","type":"article-journal","volume":"120"},"uris":["http://www.mendeley.com/documents/?uuid=2644fe47-8dbf-46aa-b4d0-10a7d636faf7"]},{"id":"ITEM-2","itemData":{"DOI":"10.3791/56601","ISSN":"1940-087X","abstract":"© 2017, Journal of Visualized Experiments. All rights reserved. For decades, small animal radiation research was mostly performed using fairly crude experimental setups applying simple single-beam techniques without the ability to target a specific or well-delineated tumor volume. The delivery of radiation was achieved using fixed radiation sources or linear accelerators producing megavoltage (MV) X-rays. These devices are unable to achieve sub-millimeter precision required for small animals. Furthermore, the high doses delivered to healthy surrounding tissue hamper response assessment. To increase the translation between small animal studies and humans, our goal was to mimic the treatment of human glioblastoma in a rat model. To enable a more accurate irradiation in a preclinical setting, recently, precision image-guided small animal radiation research platforms were developed. Similar to human planning systems, treatment planning on these micro-irradiators is based on computed tomography (CT). However, low soft-tissue contrast on CT makes it very challenging to localize targets in certain tissues, such as the brain. Therefore, incorporating magnetic resonance imaging (MRI), which has excellent soft-tissue contrast compared to CT, would enable a more precise delineation of the target for irradiation. In the last decade also biological imaging techniques, such as positron emission tomography (PET) gained interest for radiation therapy treatment guidance. PET enables the visualization of e.g., glucose consumption, amino-acid transport, or hypoxia, present in the tumor. Targeting those highly proliferative or radio-resistant parts of the tumor with a higher dose could give a survival benefit. This hypothesis led to the introduction of the biological tumor volume (BTV), besides the conventional gross target volume (GTV), clinical target volume (CTV), and planned target volume (PTV). At the preclinical imaging lab of Ghent University, a micro-irradiator, a small animal PET, and a 7 T small animal MRI are available. The goal was to incorporate MRI-guided irradiation and PET-guided sub-volume boosting in a glioblastoma rat model.","author":[{"dropping-particle":"","family":"Bolcaen","given":"Julie","non-dropping-particle":"","parse-names":false,"suffix":""},{"dropping-particle":"","family":"Descamps","given":"Benedicte","non-dropping-particle":"","parse-names":false,"suffix":""},{"dropping-particle":"","family":"Boterberg","given":"Tom","non-dropping-particle":"","parse-names":false,"suffix":""},{"dropping-particle":"","family":"Vanhove","given":"Christian","non-dropping-particle":"","parse-names":false,"suffix":""},{"dropping-particle":"","family":"Goethals","given":"Ingeborg","non-dropping-particle":"","parse-names":false,"suffix":""}],"container-title":"Journal of Visualized Experiments","id":"ITEM-2","issue":"130","issued":{"date-parts":[["2017"]]},"page":"1-10","title":"PET and MRI Guided Irradiation of a Glioblastoma Rat Model Using a Micro-irradiator","type":"article-journal"},"uris":["http://www.mendeley.com/documents/?uuid=76745ea2-6d36-4fa7-9363-418bece7db83"]},{"id":"ITEM-3","itemData":{"DOI":"10.1186/s13014-019-1290-4","ISSN":"1748717X","abstract":"© 2019 The Author(s). Background: Glioblastoma (GB) is the most common primary malignant brain tumor. Standard medical treatment consists of a maximal safe surgical resection, subsequently radiation therapy (RT) and chemotherapy with temozolomide (TMZ). An accurate definition of the tumor volume is of utmost importance for guiding RT. In this project we investigated the feasibility and treatment response of subvolume boosting to a PET-defined tumor part. Method: F98 GB cells inoculated in the rat brain were imaged using T2- and contrast-enhanced T1-weighted (T1w) MRI. A dose of 20 Gy (5 × 5 mm2) was delivered to the target volume delineated based on T1w MRI for three treatment groups. Two of those treatment groups received an additional radiation boost of 5 Gy (1 × 1 mm2) delivered to the region either with maximum [18F]FET or [18F]FAZA PET tracer uptake, respectively. All therapy groups received intraperitoneal (IP) injections of TMZ. Finally, a control group received no RT and only control IP injections. The average, minimum and maximum dose, as well as the D90-, D50- and D2- values were calculated for nine rats using both RT plans. To evaluate response to therapy, follow-up tumor volumes were delineated based on T1w MRI. Results: When comparing the dose volume histograms, a significant difference was found exclusively between the D2-values. A significant difference in tumor growth was only found between active therapy and sham therapy respectively, while no significant differences were found when comparing the three treatment groups. Conclusion: In this study we showed the feasibility of PET guided subvolume boosting of F98 glioblastoma in rats. No evidence was found for a beneficial effect regarding tumor response. However, improvements for dose targeting in rodents and studies investigating new targeted drugs for GB treatment are mandatory.","author":[{"dropping-particle":"","family":"Verhoeven","given":"J.","non-dropping-particle":"","parse-names":false,"suffix":""},{"dropping-particle":"","family":"Bolcaen","given":"J.","non-dropping-particle":"","parse-names":false,"suffix":""},{"dropping-particle":"","family":"Meulenaere","given":"V.","non-dropping-particle":"De","parse-names":false,"suffix":""},{"dropping-particle":"","family":"Kersemans","given":"K.","non-dropping-particle":"","parse-names":false,"suffix":""},{"dropping-particle":"","family":"Descamps","given":"B.","non-dropping-particle":"","parse-names":false,"suffix":""},{"dropping-particle":"","family":"Donche","given":"S.","non-dropping-particle":"","parse-names":false,"suffix":""},{"dropping-particle":"","family":"Broecke","given":"C.","non-dropping-particle":"Van Den","parse-names":false,"suffix":""},{"dropping-particle":"","family":"Boterberg","given":"T.","non-dropping-particle":"","parse-names":false,"suffix":""},{"dropping-particle":"","family":"Kalala","given":"J.-P.","non-dropping-particle":"","parse-names":false,"suffix":""},{"dropping-particle":"","family":"Deblaere","given":"K.","non-dropping-particle":"","parse-names":false,"suffix":""},{"dropping-particle":"","family":"Vanhove","given":"C.","non-dropping-particle":"","parse-names":false,"suffix":""},{"dropping-particle":"","family":"Vos","given":"F.","non-dropping-particle":"De","parse-names":false,"suffix":""},{"dropping-particle":"","family":"Goethals","given":"I.","non-dropping-particle":"","parse-names":false,"suffix":""}],"container-title":"Radiation Oncology","id":"ITEM-3","issue":"1","issued":{"date-parts":[["2019"]]},"title":"Technical feasibility of [&lt;sup&gt;18&lt;/sup&gt;F]FET and [&lt;sup&gt;18&lt;/sup&gt;F]FAZA PET guided radiotherapy in a F98 glioblastoma rat model","type":"article-journal","volume":"14"},"uris":["http://www.mendeley.com/documents/?uuid=579295ad-8f4d-3f75-884e-ad23f2c9660b"]}],"mendeley":{"formattedCitation":"&lt;sup&gt;20–22&lt;/sup&gt;","plainTextFormattedCitation":"20–22","previouslyFormattedCitation":"&lt;sup&gt;20–22&lt;/sup&gt;"},"properties":{"noteIndex":0},"schema":"https://github.com/citation-style-language/schema/raw/master/csl-citation.json"}</w:instrText>
      </w:r>
      <w:r w:rsidRPr="00770846">
        <w:rPr>
          <w:rFonts w:asciiTheme="majorHAnsi" w:hAnsiTheme="majorHAnsi" w:cstheme="majorHAnsi"/>
          <w:i w:val="0"/>
          <w:iCs w:val="0"/>
          <w:color w:val="auto"/>
          <w:sz w:val="24"/>
          <w:szCs w:val="24"/>
        </w:rPr>
        <w:fldChar w:fldCharType="separate"/>
      </w:r>
      <w:r w:rsidRPr="00770846">
        <w:rPr>
          <w:rFonts w:asciiTheme="majorHAnsi" w:hAnsiTheme="majorHAnsi" w:cstheme="majorHAnsi"/>
          <w:i w:val="0"/>
          <w:iCs w:val="0"/>
          <w:noProof/>
          <w:color w:val="auto"/>
          <w:sz w:val="24"/>
          <w:szCs w:val="24"/>
          <w:vertAlign w:val="superscript"/>
        </w:rPr>
        <w:t>20–22</w:t>
      </w:r>
      <w:r w:rsidRPr="00770846">
        <w:rPr>
          <w:rFonts w:asciiTheme="majorHAnsi" w:hAnsiTheme="majorHAnsi" w:cstheme="majorHAnsi"/>
          <w:i w:val="0"/>
          <w:iCs w:val="0"/>
          <w:color w:val="auto"/>
          <w:sz w:val="24"/>
          <w:szCs w:val="24"/>
        </w:rPr>
        <w:fldChar w:fldCharType="end"/>
      </w:r>
      <w:r w:rsidRPr="00770846">
        <w:rPr>
          <w:rFonts w:asciiTheme="majorHAnsi" w:hAnsiTheme="majorHAnsi" w:cstheme="majorHAnsi"/>
          <w:i w:val="0"/>
          <w:iCs w:val="0"/>
          <w:color w:val="auto"/>
          <w:sz w:val="24"/>
          <w:szCs w:val="24"/>
        </w:rPr>
        <w:t>. Methods 1 and 2 utilize a preclinical PET scanner</w:t>
      </w:r>
      <w:r w:rsidRPr="00770846">
        <w:rPr>
          <w:rFonts w:asciiTheme="majorHAnsi" w:hAnsiTheme="majorHAnsi" w:cstheme="majorHAnsi"/>
          <w:i w:val="0"/>
          <w:iCs w:val="0"/>
          <w:color w:val="auto"/>
          <w:sz w:val="24"/>
          <w:szCs w:val="24"/>
        </w:rPr>
        <w:fldChar w:fldCharType="begin" w:fldLock="1"/>
      </w:r>
      <w:r w:rsidRPr="00770846">
        <w:rPr>
          <w:rFonts w:asciiTheme="majorHAnsi" w:hAnsiTheme="majorHAnsi" w:cstheme="majorHAnsi"/>
          <w:i w:val="0"/>
          <w:iCs w:val="0"/>
          <w:color w:val="auto"/>
          <w:sz w:val="24"/>
          <w:szCs w:val="24"/>
        </w:rPr>
        <w:instrText>ADDIN CSL_CITATION {"citationItems":[{"id":"ITEM-1","itemData":{"DOI":"10.1088/0031-9155/59/13/3405","ISSN":"13616560","PMID":"24888974","abstract":"A new preclinical PET system based on dSiPMs, called DigiPET, is presented. The system is based on thin monolithic scintillation crystals and exhibits superior spatial resolution at low-cost compared to systems based on pixelated crystals. Current dedicated small-rodent PET scanners have a spatial resolution in the order of 1mm. Most of them have a large footprint, requiring considerable laboratory space. For rodent brain imaging, a PET scanner with sub-millimeter resolution is desired. To achieve this, crystals with a pixel pitch down to 0.5mm have been used. However, fine pixels are difficult to produce and will render systems expensive. In this work, we present the first results with a high-resolution preclinical PET scanner based on thin monolithic scintillators and a large solid angle. The design is dedicated to rat-brain imaging and therefore has a very compact geometry. Four detectors were placed in a square arrangement with a distance of 34.5mm between two opposing detector modules, defining a field of view (FOV) of 32× 32× 32mm3. Each detector consists of a thin monolithic LYSO crystal of 32× 32× 2mm3optically coupled to a digital silicon photomultiplier (dSiPM). Event positioning within each detector was obtained using the maximum likelihood estimation (MLE) method. To evaluate the system performance, we measured the energy resolution, coincidence resolving time (CRT), sensitivity and spatial resolution. The image quality was evaluated by acquiring a hot-rod phantom filled with 18F-FDG and a rat head one hour after an 18F-FDG injection. The MLE yielded an average intrinsic spatial resolution on the detector of 0.54mm FWHM. We obtained a CRT of 680ps and an energy resolution of 18% FWHM at 511keV. The sensitivity and spatial resolution obtained at the center of the FOV were 6.0 cps kBq-1and 0.7mm, respectively. In the reconstructed images of the hot-rod phantom, hot rods down to 0.7mm can be discriminated. In conclusion, a compact PET scanner was built using dSiPM technology and thin monolithic LYSO crystals. Excellent spatial resolution and acceptable sensitivity were demonstrated. Promising results were also obtained in a hot-rod phantom and in rat-brain imaging. © 2014 Institute of Physics and Engineering in Medicine.","author":[{"dropping-particle":"","family":"España","given":"Samuel","non-dropping-particle":"","parse-names":false,"suffix":""},{"dropping-particle":"","family":"Marcinkowski","given":"Radoslaw","non-dropping-particle":"","parse-names":false,"suffix":""},{"dropping-particle":"","family":"Keereman","given":"Vincent","non-dropping-particle":"","parse-names":false,"suffix":""},{"dropping-particle":"","family":"Vandenberghe","given":"Stefaan","non-dropping-particle":"","parse-names":false,"suffix":""},{"dropping-particle":"","family":"Holen","given":"Roel","non-dropping-particle":"Van","parse-names":false,"suffix":""}],"container-title":"Physics in Medicine and Biology","id":"ITEM-1","issue":"13","issued":{"date-parts":[["2014"]]},"page":"3405-3420","title":"DigiPET: Sub-millimeter spatial resolution small-animal PET imaging using thin monolithic scintillators","type":"article-journal","volume":"59"},"uris":["http://www.mendeley.com/documents/?uuid=dfd310b5-37ef-4e80-8065-4349e253a5c6","http://www.mendeley.com/documents/?uuid=5706911a-b11e-4fe0-84e3-f2f4bb05e131"]}],"mendeley":{"formattedCitation":"&lt;sup&gt;27&lt;/sup&gt;","plainTextFormattedCitation":"27","previouslyFormattedCitation":"&lt;sup&gt;26&lt;/sup&gt;"},"properties":{"noteIndex":0},"schema":"https://github.com/citation-style-language/schema/raw/master/csl-citation.json"}</w:instrText>
      </w:r>
      <w:r w:rsidRPr="00770846">
        <w:rPr>
          <w:rFonts w:asciiTheme="majorHAnsi" w:hAnsiTheme="majorHAnsi" w:cstheme="majorHAnsi"/>
          <w:i w:val="0"/>
          <w:iCs w:val="0"/>
          <w:color w:val="auto"/>
          <w:sz w:val="24"/>
          <w:szCs w:val="24"/>
        </w:rPr>
        <w:fldChar w:fldCharType="separate"/>
      </w:r>
      <w:r w:rsidRPr="00770846">
        <w:rPr>
          <w:rFonts w:asciiTheme="majorHAnsi" w:hAnsiTheme="majorHAnsi" w:cstheme="majorHAnsi"/>
          <w:i w:val="0"/>
          <w:iCs w:val="0"/>
          <w:noProof/>
          <w:color w:val="auto"/>
          <w:sz w:val="24"/>
          <w:szCs w:val="24"/>
          <w:vertAlign w:val="superscript"/>
        </w:rPr>
        <w:t>27</w:t>
      </w:r>
      <w:r w:rsidRPr="00770846">
        <w:rPr>
          <w:rFonts w:asciiTheme="majorHAnsi" w:hAnsiTheme="majorHAnsi" w:cstheme="majorHAnsi"/>
          <w:i w:val="0"/>
          <w:iCs w:val="0"/>
          <w:color w:val="auto"/>
          <w:sz w:val="24"/>
          <w:szCs w:val="24"/>
        </w:rPr>
        <w:fldChar w:fldCharType="end"/>
      </w:r>
      <w:r w:rsidRPr="00770846">
        <w:rPr>
          <w:rFonts w:asciiTheme="majorHAnsi" w:hAnsiTheme="majorHAnsi" w:cstheme="majorHAnsi"/>
          <w:i w:val="0"/>
          <w:iCs w:val="0"/>
          <w:color w:val="auto"/>
          <w:sz w:val="24"/>
          <w:szCs w:val="24"/>
        </w:rPr>
        <w:t xml:space="preserve"> with sub-millimeter spatial resolution, making it possible to visualize the tumor heterogeneity more clearly. At couch position -90°, it is only possible to use 60° out of 120° to avoid collision with the animal. Despite this drawback, this couch position has easier access to the tumor because it is situated in the right hemisphere. The other couch positions can make the full 120° rotations. Abbreviations: CE T</w:t>
      </w:r>
      <w:r w:rsidRPr="00770846">
        <w:rPr>
          <w:rFonts w:asciiTheme="majorHAnsi" w:hAnsiTheme="majorHAnsi" w:cstheme="majorHAnsi"/>
          <w:i w:val="0"/>
          <w:iCs w:val="0"/>
          <w:color w:val="auto"/>
          <w:sz w:val="24"/>
          <w:szCs w:val="24"/>
          <w:vertAlign w:val="subscript"/>
        </w:rPr>
        <w:t xml:space="preserve">1 </w:t>
      </w:r>
      <w:r w:rsidRPr="00770846">
        <w:rPr>
          <w:rFonts w:asciiTheme="majorHAnsi" w:hAnsiTheme="majorHAnsi" w:cstheme="majorHAnsi"/>
          <w:i w:val="0"/>
          <w:iCs w:val="0"/>
          <w:color w:val="auto"/>
          <w:sz w:val="24"/>
          <w:szCs w:val="24"/>
        </w:rPr>
        <w:t>=</w:t>
      </w:r>
      <w:r w:rsidRPr="00770846">
        <w:rPr>
          <w:rFonts w:asciiTheme="majorHAnsi" w:hAnsiTheme="majorHAnsi" w:cstheme="majorHAnsi"/>
          <w:i w:val="0"/>
          <w:iCs w:val="0"/>
          <w:color w:val="auto"/>
          <w:sz w:val="24"/>
          <w:szCs w:val="24"/>
          <w:vertAlign w:val="subscript"/>
        </w:rPr>
        <w:t xml:space="preserve"> </w:t>
      </w:r>
      <w:r w:rsidRPr="00770846">
        <w:rPr>
          <w:rFonts w:asciiTheme="majorHAnsi" w:hAnsiTheme="majorHAnsi" w:cstheme="majorHAnsi"/>
          <w:i w:val="0"/>
          <w:iCs w:val="0"/>
          <w:color w:val="auto"/>
          <w:sz w:val="24"/>
          <w:szCs w:val="24"/>
        </w:rPr>
        <w:t>contrast-enhanced T</w:t>
      </w:r>
      <w:r w:rsidRPr="00770846">
        <w:rPr>
          <w:rFonts w:asciiTheme="majorHAnsi" w:hAnsiTheme="majorHAnsi" w:cstheme="majorHAnsi"/>
          <w:i w:val="0"/>
          <w:iCs w:val="0"/>
          <w:color w:val="auto"/>
          <w:sz w:val="24"/>
          <w:szCs w:val="24"/>
          <w:vertAlign w:val="subscript"/>
        </w:rPr>
        <w:t>1</w:t>
      </w:r>
      <w:r w:rsidRPr="00770846">
        <w:rPr>
          <w:rFonts w:asciiTheme="majorHAnsi" w:hAnsiTheme="majorHAnsi" w:cstheme="majorHAnsi"/>
          <w:i w:val="0"/>
          <w:iCs w:val="0"/>
          <w:color w:val="auto"/>
          <w:sz w:val="24"/>
          <w:szCs w:val="24"/>
        </w:rPr>
        <w:t xml:space="preserve">-weighted; MVC = motorized variable collimator; PET = positron emission tomography. </w:t>
      </w:r>
    </w:p>
    <w:p w14:paraId="6764D871" w14:textId="77777777" w:rsidR="0027531F" w:rsidRPr="00770846" w:rsidRDefault="0027531F" w:rsidP="00770846">
      <w:pPr>
        <w:rPr>
          <w:rFonts w:asciiTheme="majorHAnsi" w:hAnsiTheme="majorHAnsi" w:cstheme="majorHAnsi"/>
          <w:i/>
          <w:iCs/>
        </w:rPr>
      </w:pPr>
    </w:p>
    <w:p w14:paraId="35E8FA31" w14:textId="1B6C4872" w:rsidR="005C680F" w:rsidRPr="00770846" w:rsidRDefault="001246CE" w:rsidP="00770846">
      <w:pPr>
        <w:pStyle w:val="Caption"/>
        <w:keepNext/>
        <w:spacing w:after="0"/>
        <w:rPr>
          <w:rFonts w:asciiTheme="majorHAnsi" w:hAnsiTheme="majorHAnsi" w:cstheme="majorHAnsi"/>
          <w:color w:val="auto"/>
          <w:sz w:val="24"/>
          <w:szCs w:val="24"/>
        </w:rPr>
      </w:pPr>
      <w:r w:rsidRPr="00770846">
        <w:rPr>
          <w:rFonts w:asciiTheme="majorHAnsi" w:hAnsiTheme="majorHAnsi" w:cstheme="majorHAnsi"/>
          <w:b/>
          <w:bCs/>
          <w:i w:val="0"/>
          <w:iCs w:val="0"/>
          <w:color w:val="auto"/>
          <w:sz w:val="24"/>
          <w:szCs w:val="24"/>
        </w:rPr>
        <w:t xml:space="preserve">Table </w:t>
      </w:r>
      <w:r w:rsidR="00F56B38" w:rsidRPr="00770846">
        <w:rPr>
          <w:rFonts w:asciiTheme="majorHAnsi" w:hAnsiTheme="majorHAnsi" w:cstheme="majorHAnsi"/>
          <w:b/>
          <w:bCs/>
          <w:i w:val="0"/>
          <w:iCs w:val="0"/>
          <w:color w:val="auto"/>
          <w:sz w:val="24"/>
          <w:szCs w:val="24"/>
        </w:rPr>
        <w:t>2</w:t>
      </w:r>
      <w:r w:rsidR="006D26E5" w:rsidRPr="00770846">
        <w:rPr>
          <w:rFonts w:asciiTheme="majorHAnsi" w:hAnsiTheme="majorHAnsi" w:cstheme="majorHAnsi"/>
          <w:b/>
          <w:bCs/>
          <w:i w:val="0"/>
          <w:iCs w:val="0"/>
          <w:color w:val="auto"/>
          <w:sz w:val="24"/>
          <w:szCs w:val="24"/>
        </w:rPr>
        <w:t>:</w:t>
      </w:r>
      <w:r w:rsidR="006D26E5" w:rsidRPr="00770846">
        <w:rPr>
          <w:rFonts w:asciiTheme="majorHAnsi" w:hAnsiTheme="majorHAnsi" w:cstheme="majorHAnsi"/>
          <w:i w:val="0"/>
          <w:iCs w:val="0"/>
          <w:color w:val="auto"/>
          <w:sz w:val="24"/>
          <w:szCs w:val="24"/>
        </w:rPr>
        <w:t xml:space="preserve"> </w:t>
      </w:r>
      <w:r w:rsidR="00A02C66" w:rsidRPr="00770846">
        <w:rPr>
          <w:rFonts w:asciiTheme="majorHAnsi" w:hAnsiTheme="majorHAnsi" w:cstheme="majorHAnsi"/>
          <w:b/>
          <w:bCs/>
          <w:i w:val="0"/>
          <w:iCs w:val="0"/>
          <w:color w:val="auto"/>
          <w:sz w:val="24"/>
          <w:szCs w:val="24"/>
        </w:rPr>
        <w:t>Beam setup for Method 2.</w:t>
      </w:r>
      <w:r w:rsidR="00A02C66" w:rsidRPr="00770846">
        <w:rPr>
          <w:rFonts w:asciiTheme="majorHAnsi" w:hAnsiTheme="majorHAnsi" w:cstheme="majorHAnsi"/>
          <w:i w:val="0"/>
          <w:iCs w:val="0"/>
          <w:color w:val="auto"/>
          <w:sz w:val="24"/>
          <w:szCs w:val="24"/>
        </w:rPr>
        <w:t xml:space="preserve"> The </w:t>
      </w:r>
      <w:r w:rsidR="00FA004A" w:rsidRPr="00770846">
        <w:rPr>
          <w:rFonts w:asciiTheme="majorHAnsi" w:hAnsiTheme="majorHAnsi" w:cstheme="majorHAnsi"/>
          <w:i w:val="0"/>
          <w:iCs w:val="0"/>
          <w:color w:val="auto"/>
          <w:sz w:val="24"/>
          <w:szCs w:val="24"/>
        </w:rPr>
        <w:t>gantry and couch positions of all the different beams are displayed.</w:t>
      </w:r>
      <w:r w:rsidR="00A02C66" w:rsidRPr="00770846">
        <w:rPr>
          <w:rFonts w:asciiTheme="majorHAnsi" w:hAnsiTheme="majorHAnsi" w:cstheme="majorHAnsi"/>
          <w:i w:val="0"/>
          <w:iCs w:val="0"/>
          <w:color w:val="auto"/>
          <w:sz w:val="24"/>
          <w:szCs w:val="24"/>
        </w:rPr>
        <w:t xml:space="preserve"> </w:t>
      </w:r>
      <w:r w:rsidR="00136AA7" w:rsidRPr="00770846">
        <w:rPr>
          <w:rFonts w:asciiTheme="majorHAnsi" w:hAnsiTheme="majorHAnsi" w:cstheme="majorHAnsi"/>
          <w:i w:val="0"/>
          <w:iCs w:val="0"/>
          <w:color w:val="auto"/>
          <w:sz w:val="24"/>
          <w:szCs w:val="24"/>
        </w:rPr>
        <w:t>V50 uses all configurations, wh</w:t>
      </w:r>
      <w:r w:rsidR="003A0AA9" w:rsidRPr="00770846">
        <w:rPr>
          <w:rFonts w:asciiTheme="majorHAnsi" w:hAnsiTheme="majorHAnsi" w:cstheme="majorHAnsi"/>
          <w:i w:val="0"/>
          <w:iCs w:val="0"/>
          <w:color w:val="auto"/>
          <w:sz w:val="24"/>
          <w:szCs w:val="24"/>
        </w:rPr>
        <w:t>ereas</w:t>
      </w:r>
      <w:r w:rsidR="00136AA7" w:rsidRPr="00770846">
        <w:rPr>
          <w:rFonts w:asciiTheme="majorHAnsi" w:hAnsiTheme="majorHAnsi" w:cstheme="majorHAnsi"/>
          <w:i w:val="0"/>
          <w:iCs w:val="0"/>
          <w:color w:val="auto"/>
          <w:sz w:val="24"/>
          <w:szCs w:val="24"/>
        </w:rPr>
        <w:t xml:space="preserve"> V60</w:t>
      </w:r>
      <w:r w:rsidR="003A0AA9" w:rsidRPr="00770846">
        <w:rPr>
          <w:rFonts w:asciiTheme="majorHAnsi" w:hAnsiTheme="majorHAnsi" w:cstheme="majorHAnsi"/>
          <w:i w:val="0"/>
          <w:iCs w:val="0"/>
          <w:color w:val="auto"/>
          <w:sz w:val="24"/>
          <w:szCs w:val="24"/>
        </w:rPr>
        <w:t>–</w:t>
      </w:r>
      <w:r w:rsidR="00136AA7" w:rsidRPr="00770846">
        <w:rPr>
          <w:rFonts w:asciiTheme="majorHAnsi" w:hAnsiTheme="majorHAnsi" w:cstheme="majorHAnsi"/>
          <w:i w:val="0"/>
          <w:iCs w:val="0"/>
          <w:color w:val="auto"/>
          <w:sz w:val="24"/>
          <w:szCs w:val="24"/>
        </w:rPr>
        <w:t xml:space="preserve">V90 only use the </w:t>
      </w:r>
      <w:r w:rsidR="00D50C63" w:rsidRPr="00770846">
        <w:rPr>
          <w:rFonts w:asciiTheme="majorHAnsi" w:hAnsiTheme="majorHAnsi" w:cstheme="majorHAnsi"/>
          <w:i w:val="0"/>
          <w:iCs w:val="0"/>
          <w:color w:val="auto"/>
          <w:sz w:val="24"/>
          <w:szCs w:val="24"/>
        </w:rPr>
        <w:t xml:space="preserve">configurations shown in bold. </w:t>
      </w:r>
    </w:p>
    <w:p w14:paraId="5FCEF6E0" w14:textId="77777777" w:rsidR="009765AA" w:rsidRPr="00770846" w:rsidRDefault="009765AA" w:rsidP="00770846">
      <w:pPr>
        <w:rPr>
          <w:rFonts w:asciiTheme="majorHAnsi" w:hAnsiTheme="majorHAnsi" w:cstheme="majorHAnsi"/>
          <w:i/>
          <w:iCs/>
        </w:rPr>
      </w:pPr>
    </w:p>
    <w:p w14:paraId="6F6BB2D6" w14:textId="329DDA70" w:rsidR="008817F4" w:rsidRPr="00770846" w:rsidRDefault="003A43AA" w:rsidP="00770846">
      <w:pPr>
        <w:pStyle w:val="Caption"/>
        <w:keepNext/>
        <w:spacing w:after="0"/>
        <w:rPr>
          <w:rFonts w:asciiTheme="majorHAnsi" w:hAnsiTheme="majorHAnsi" w:cstheme="majorHAnsi"/>
          <w:i w:val="0"/>
          <w:iCs w:val="0"/>
          <w:color w:val="auto"/>
          <w:sz w:val="24"/>
          <w:szCs w:val="24"/>
        </w:rPr>
      </w:pPr>
      <w:r w:rsidRPr="00770846">
        <w:rPr>
          <w:rFonts w:asciiTheme="majorHAnsi" w:hAnsiTheme="majorHAnsi" w:cstheme="majorHAnsi"/>
          <w:b/>
          <w:bCs/>
          <w:i w:val="0"/>
          <w:iCs w:val="0"/>
          <w:color w:val="auto"/>
          <w:sz w:val="24"/>
          <w:szCs w:val="24"/>
        </w:rPr>
        <w:t xml:space="preserve">Table </w:t>
      </w:r>
      <w:r w:rsidR="00AE60AF" w:rsidRPr="00770846">
        <w:rPr>
          <w:rFonts w:asciiTheme="majorHAnsi" w:hAnsiTheme="majorHAnsi" w:cstheme="majorHAnsi"/>
          <w:b/>
          <w:bCs/>
          <w:i w:val="0"/>
          <w:iCs w:val="0"/>
          <w:color w:val="auto"/>
          <w:sz w:val="24"/>
          <w:szCs w:val="24"/>
        </w:rPr>
        <w:fldChar w:fldCharType="begin"/>
      </w:r>
      <w:r w:rsidR="00AE60AF" w:rsidRPr="00770846">
        <w:rPr>
          <w:rFonts w:asciiTheme="majorHAnsi" w:hAnsiTheme="majorHAnsi" w:cstheme="majorHAnsi"/>
          <w:b/>
          <w:bCs/>
          <w:i w:val="0"/>
          <w:iCs w:val="0"/>
          <w:color w:val="auto"/>
          <w:sz w:val="24"/>
          <w:szCs w:val="24"/>
        </w:rPr>
        <w:instrText xml:space="preserve"> SEQ Table \* ARABIC </w:instrText>
      </w:r>
      <w:r w:rsidR="00AE60AF" w:rsidRPr="00770846">
        <w:rPr>
          <w:rFonts w:asciiTheme="majorHAnsi" w:hAnsiTheme="majorHAnsi" w:cstheme="majorHAnsi"/>
          <w:b/>
          <w:bCs/>
          <w:i w:val="0"/>
          <w:iCs w:val="0"/>
          <w:color w:val="auto"/>
          <w:sz w:val="24"/>
          <w:szCs w:val="24"/>
        </w:rPr>
        <w:fldChar w:fldCharType="separate"/>
      </w:r>
      <w:r w:rsidRPr="00770846">
        <w:rPr>
          <w:rFonts w:asciiTheme="majorHAnsi" w:hAnsiTheme="majorHAnsi" w:cstheme="majorHAnsi"/>
          <w:b/>
          <w:bCs/>
          <w:i w:val="0"/>
          <w:iCs w:val="0"/>
          <w:noProof/>
          <w:color w:val="auto"/>
          <w:sz w:val="24"/>
          <w:szCs w:val="24"/>
        </w:rPr>
        <w:t>3</w:t>
      </w:r>
      <w:r w:rsidR="00AE60AF" w:rsidRPr="00770846">
        <w:rPr>
          <w:rFonts w:asciiTheme="majorHAnsi" w:hAnsiTheme="majorHAnsi" w:cstheme="majorHAnsi"/>
          <w:b/>
          <w:bCs/>
          <w:i w:val="0"/>
          <w:iCs w:val="0"/>
          <w:noProof/>
          <w:color w:val="auto"/>
          <w:sz w:val="24"/>
          <w:szCs w:val="24"/>
        </w:rPr>
        <w:fldChar w:fldCharType="end"/>
      </w:r>
      <w:r w:rsidR="007A2365" w:rsidRPr="00770846">
        <w:rPr>
          <w:rFonts w:asciiTheme="majorHAnsi" w:hAnsiTheme="majorHAnsi" w:cstheme="majorHAnsi"/>
          <w:b/>
          <w:bCs/>
          <w:i w:val="0"/>
          <w:iCs w:val="0"/>
          <w:color w:val="auto"/>
          <w:sz w:val="24"/>
          <w:szCs w:val="24"/>
        </w:rPr>
        <w:t>:</w:t>
      </w:r>
      <w:r w:rsidR="007A2365" w:rsidRPr="00770846">
        <w:rPr>
          <w:rFonts w:asciiTheme="majorHAnsi" w:hAnsiTheme="majorHAnsi" w:cstheme="majorHAnsi"/>
          <w:i w:val="0"/>
          <w:iCs w:val="0"/>
          <w:color w:val="auto"/>
          <w:sz w:val="24"/>
          <w:szCs w:val="24"/>
        </w:rPr>
        <w:t xml:space="preserve"> </w:t>
      </w:r>
      <w:r w:rsidR="007A2365" w:rsidRPr="00770846">
        <w:rPr>
          <w:rFonts w:asciiTheme="majorHAnsi" w:hAnsiTheme="majorHAnsi" w:cstheme="majorHAnsi"/>
          <w:b/>
          <w:bCs/>
          <w:i w:val="0"/>
          <w:iCs w:val="0"/>
          <w:color w:val="auto"/>
          <w:sz w:val="24"/>
          <w:szCs w:val="24"/>
        </w:rPr>
        <w:t>DVH values.</w:t>
      </w:r>
      <w:r w:rsidR="007A2365" w:rsidRPr="00770846">
        <w:rPr>
          <w:rFonts w:asciiTheme="majorHAnsi" w:hAnsiTheme="majorHAnsi" w:cstheme="majorHAnsi"/>
          <w:i w:val="0"/>
          <w:iCs w:val="0"/>
          <w:color w:val="auto"/>
          <w:sz w:val="24"/>
          <w:szCs w:val="24"/>
        </w:rPr>
        <w:t xml:space="preserve"> D</w:t>
      </w:r>
      <w:r w:rsidR="00024B9D" w:rsidRPr="00770846">
        <w:rPr>
          <w:rFonts w:asciiTheme="majorHAnsi" w:hAnsiTheme="majorHAnsi" w:cstheme="majorHAnsi"/>
          <w:i w:val="0"/>
          <w:iCs w:val="0"/>
          <w:color w:val="auto"/>
          <w:sz w:val="24"/>
          <w:szCs w:val="24"/>
          <w:vertAlign w:val="subscript"/>
        </w:rPr>
        <w:t>10</w:t>
      </w:r>
      <w:r w:rsidR="007A2365" w:rsidRPr="00770846">
        <w:rPr>
          <w:rFonts w:asciiTheme="majorHAnsi" w:hAnsiTheme="majorHAnsi" w:cstheme="majorHAnsi"/>
          <w:i w:val="0"/>
          <w:iCs w:val="0"/>
          <w:color w:val="auto"/>
          <w:sz w:val="24"/>
          <w:szCs w:val="24"/>
        </w:rPr>
        <w:t>, D</w:t>
      </w:r>
      <w:r w:rsidR="007A2365" w:rsidRPr="00770846">
        <w:rPr>
          <w:rFonts w:asciiTheme="majorHAnsi" w:hAnsiTheme="majorHAnsi" w:cstheme="majorHAnsi"/>
          <w:i w:val="0"/>
          <w:iCs w:val="0"/>
          <w:color w:val="auto"/>
          <w:sz w:val="24"/>
          <w:szCs w:val="24"/>
          <w:vertAlign w:val="subscript"/>
        </w:rPr>
        <w:t>50</w:t>
      </w:r>
      <w:r w:rsidR="009B4C88" w:rsidRPr="00770846">
        <w:rPr>
          <w:rFonts w:asciiTheme="majorHAnsi" w:hAnsiTheme="majorHAnsi" w:cstheme="majorHAnsi"/>
          <w:i w:val="0"/>
          <w:iCs w:val="0"/>
          <w:color w:val="auto"/>
          <w:sz w:val="24"/>
          <w:szCs w:val="24"/>
        </w:rPr>
        <w:t>,</w:t>
      </w:r>
      <w:r w:rsidR="007A2365" w:rsidRPr="00770846">
        <w:rPr>
          <w:rFonts w:asciiTheme="majorHAnsi" w:hAnsiTheme="majorHAnsi" w:cstheme="majorHAnsi"/>
          <w:i w:val="0"/>
          <w:iCs w:val="0"/>
          <w:color w:val="auto"/>
          <w:sz w:val="24"/>
          <w:szCs w:val="24"/>
        </w:rPr>
        <w:t xml:space="preserve"> and D</w:t>
      </w:r>
      <w:r w:rsidR="007A2365" w:rsidRPr="00770846">
        <w:rPr>
          <w:rFonts w:asciiTheme="majorHAnsi" w:hAnsiTheme="majorHAnsi" w:cstheme="majorHAnsi"/>
          <w:i w:val="0"/>
          <w:iCs w:val="0"/>
          <w:color w:val="auto"/>
          <w:sz w:val="24"/>
          <w:szCs w:val="24"/>
          <w:vertAlign w:val="subscript"/>
        </w:rPr>
        <w:t>90</w:t>
      </w:r>
      <w:r w:rsidR="007A2365" w:rsidRPr="00770846">
        <w:rPr>
          <w:rFonts w:asciiTheme="majorHAnsi" w:hAnsiTheme="majorHAnsi" w:cstheme="majorHAnsi"/>
          <w:i w:val="0"/>
          <w:iCs w:val="0"/>
          <w:color w:val="auto"/>
          <w:sz w:val="24"/>
          <w:szCs w:val="24"/>
        </w:rPr>
        <w:t xml:space="preserve"> were calculated as substitute</w:t>
      </w:r>
      <w:r w:rsidR="009B4C88" w:rsidRPr="00770846">
        <w:rPr>
          <w:rFonts w:asciiTheme="majorHAnsi" w:hAnsiTheme="majorHAnsi" w:cstheme="majorHAnsi"/>
          <w:i w:val="0"/>
          <w:iCs w:val="0"/>
          <w:color w:val="auto"/>
          <w:sz w:val="24"/>
          <w:szCs w:val="24"/>
        </w:rPr>
        <w:t>s</w:t>
      </w:r>
      <w:r w:rsidR="007A2365" w:rsidRPr="00770846">
        <w:rPr>
          <w:rFonts w:asciiTheme="majorHAnsi" w:hAnsiTheme="majorHAnsi" w:cstheme="majorHAnsi"/>
          <w:i w:val="0"/>
          <w:iCs w:val="0"/>
          <w:color w:val="auto"/>
          <w:sz w:val="24"/>
          <w:szCs w:val="24"/>
        </w:rPr>
        <w:t xml:space="preserve"> for maximum, mean</w:t>
      </w:r>
      <w:r w:rsidR="009B4C88" w:rsidRPr="00770846">
        <w:rPr>
          <w:rFonts w:asciiTheme="majorHAnsi" w:hAnsiTheme="majorHAnsi" w:cstheme="majorHAnsi"/>
          <w:i w:val="0"/>
          <w:iCs w:val="0"/>
          <w:color w:val="auto"/>
          <w:sz w:val="24"/>
          <w:szCs w:val="24"/>
        </w:rPr>
        <w:t>,</w:t>
      </w:r>
      <w:r w:rsidR="007A2365" w:rsidRPr="00770846">
        <w:rPr>
          <w:rFonts w:asciiTheme="majorHAnsi" w:hAnsiTheme="majorHAnsi" w:cstheme="majorHAnsi"/>
          <w:i w:val="0"/>
          <w:iCs w:val="0"/>
          <w:color w:val="auto"/>
          <w:sz w:val="24"/>
          <w:szCs w:val="24"/>
        </w:rPr>
        <w:t xml:space="preserve"> and minimal dose</w:t>
      </w:r>
      <w:r w:rsidR="009B4C88" w:rsidRPr="00770846">
        <w:rPr>
          <w:rFonts w:asciiTheme="majorHAnsi" w:hAnsiTheme="majorHAnsi" w:cstheme="majorHAnsi"/>
          <w:i w:val="0"/>
          <w:iCs w:val="0"/>
          <w:color w:val="auto"/>
          <w:sz w:val="24"/>
          <w:szCs w:val="24"/>
        </w:rPr>
        <w:t>s</w:t>
      </w:r>
      <w:r w:rsidR="007A2365" w:rsidRPr="00770846">
        <w:rPr>
          <w:rFonts w:asciiTheme="majorHAnsi" w:hAnsiTheme="majorHAnsi" w:cstheme="majorHAnsi"/>
          <w:i w:val="0"/>
          <w:iCs w:val="0"/>
          <w:color w:val="auto"/>
          <w:sz w:val="24"/>
          <w:szCs w:val="24"/>
        </w:rPr>
        <w:t>, respectively. D</w:t>
      </w:r>
      <w:r w:rsidR="007A2365" w:rsidRPr="00770846">
        <w:rPr>
          <w:rFonts w:asciiTheme="majorHAnsi" w:hAnsiTheme="majorHAnsi" w:cstheme="majorHAnsi"/>
          <w:i w:val="0"/>
          <w:iCs w:val="0"/>
          <w:color w:val="auto"/>
          <w:sz w:val="24"/>
          <w:szCs w:val="24"/>
          <w:vertAlign w:val="subscript"/>
        </w:rPr>
        <w:t>x</w:t>
      </w:r>
      <w:r w:rsidR="007A2365" w:rsidRPr="00770846">
        <w:rPr>
          <w:rFonts w:asciiTheme="majorHAnsi" w:hAnsiTheme="majorHAnsi" w:cstheme="majorHAnsi"/>
          <w:i w:val="0"/>
          <w:iCs w:val="0"/>
          <w:color w:val="auto"/>
          <w:sz w:val="24"/>
          <w:szCs w:val="24"/>
        </w:rPr>
        <w:t xml:space="preserve"> stands for the dose received by x% of the volume. </w:t>
      </w:r>
      <w:r w:rsidR="00081CF9" w:rsidRPr="00770846">
        <w:rPr>
          <w:rFonts w:asciiTheme="majorHAnsi" w:hAnsiTheme="majorHAnsi" w:cstheme="majorHAnsi"/>
          <w:i w:val="0"/>
          <w:iCs w:val="0"/>
          <w:color w:val="auto"/>
          <w:sz w:val="24"/>
          <w:szCs w:val="24"/>
        </w:rPr>
        <w:t xml:space="preserve">Abbreviation: DVH = dose-volume histogram. </w:t>
      </w:r>
    </w:p>
    <w:p w14:paraId="031C66F4" w14:textId="77777777" w:rsidR="00B116A5" w:rsidRPr="00770846" w:rsidRDefault="00B116A5" w:rsidP="00770846">
      <w:pPr>
        <w:rPr>
          <w:rFonts w:asciiTheme="majorHAnsi" w:hAnsiTheme="majorHAnsi" w:cstheme="majorHAnsi"/>
          <w:i/>
          <w:iCs/>
        </w:rPr>
      </w:pPr>
    </w:p>
    <w:p w14:paraId="2CE646AF" w14:textId="6CD1D7AC" w:rsidR="003A43AA" w:rsidRPr="00770846" w:rsidRDefault="003A43AA" w:rsidP="00770846">
      <w:pPr>
        <w:pStyle w:val="Caption"/>
        <w:keepNext/>
        <w:spacing w:after="0"/>
        <w:rPr>
          <w:rFonts w:asciiTheme="majorHAnsi" w:hAnsiTheme="majorHAnsi" w:cstheme="majorHAnsi"/>
          <w:i w:val="0"/>
          <w:iCs w:val="0"/>
          <w:color w:val="auto"/>
          <w:sz w:val="24"/>
          <w:szCs w:val="24"/>
        </w:rPr>
      </w:pPr>
      <w:r w:rsidRPr="00770846">
        <w:rPr>
          <w:rFonts w:asciiTheme="majorHAnsi" w:hAnsiTheme="majorHAnsi" w:cstheme="majorHAnsi"/>
          <w:b/>
          <w:bCs/>
          <w:i w:val="0"/>
          <w:iCs w:val="0"/>
          <w:color w:val="auto"/>
          <w:sz w:val="24"/>
          <w:szCs w:val="24"/>
        </w:rPr>
        <w:t xml:space="preserve">Table </w:t>
      </w:r>
      <w:r w:rsidR="00AE60AF" w:rsidRPr="00770846">
        <w:rPr>
          <w:rFonts w:asciiTheme="majorHAnsi" w:hAnsiTheme="majorHAnsi" w:cstheme="majorHAnsi"/>
          <w:b/>
          <w:bCs/>
          <w:i w:val="0"/>
          <w:iCs w:val="0"/>
          <w:color w:val="auto"/>
          <w:sz w:val="24"/>
          <w:szCs w:val="24"/>
        </w:rPr>
        <w:fldChar w:fldCharType="begin"/>
      </w:r>
      <w:r w:rsidR="00AE60AF" w:rsidRPr="00770846">
        <w:rPr>
          <w:rFonts w:asciiTheme="majorHAnsi" w:hAnsiTheme="majorHAnsi" w:cstheme="majorHAnsi"/>
          <w:b/>
          <w:bCs/>
          <w:i w:val="0"/>
          <w:iCs w:val="0"/>
          <w:color w:val="auto"/>
          <w:sz w:val="24"/>
          <w:szCs w:val="24"/>
        </w:rPr>
        <w:instrText xml:space="preserve"> SEQ Table \* ARABIC </w:instrText>
      </w:r>
      <w:r w:rsidR="00AE60AF" w:rsidRPr="00770846">
        <w:rPr>
          <w:rFonts w:asciiTheme="majorHAnsi" w:hAnsiTheme="majorHAnsi" w:cstheme="majorHAnsi"/>
          <w:b/>
          <w:bCs/>
          <w:i w:val="0"/>
          <w:iCs w:val="0"/>
          <w:color w:val="auto"/>
          <w:sz w:val="24"/>
          <w:szCs w:val="24"/>
        </w:rPr>
        <w:fldChar w:fldCharType="separate"/>
      </w:r>
      <w:r w:rsidRPr="00770846">
        <w:rPr>
          <w:rFonts w:asciiTheme="majorHAnsi" w:hAnsiTheme="majorHAnsi" w:cstheme="majorHAnsi"/>
          <w:b/>
          <w:bCs/>
          <w:i w:val="0"/>
          <w:iCs w:val="0"/>
          <w:noProof/>
          <w:color w:val="auto"/>
          <w:sz w:val="24"/>
          <w:szCs w:val="24"/>
        </w:rPr>
        <w:t>4</w:t>
      </w:r>
      <w:r w:rsidR="00AE60AF" w:rsidRPr="00770846">
        <w:rPr>
          <w:rFonts w:asciiTheme="majorHAnsi" w:hAnsiTheme="majorHAnsi" w:cstheme="majorHAnsi"/>
          <w:b/>
          <w:bCs/>
          <w:i w:val="0"/>
          <w:iCs w:val="0"/>
          <w:noProof/>
          <w:color w:val="auto"/>
          <w:sz w:val="24"/>
          <w:szCs w:val="24"/>
        </w:rPr>
        <w:fldChar w:fldCharType="end"/>
      </w:r>
      <w:r w:rsidR="00A219B0" w:rsidRPr="00770846">
        <w:rPr>
          <w:rFonts w:asciiTheme="majorHAnsi" w:hAnsiTheme="majorHAnsi" w:cstheme="majorHAnsi"/>
          <w:b/>
          <w:bCs/>
          <w:i w:val="0"/>
          <w:iCs w:val="0"/>
          <w:color w:val="auto"/>
          <w:sz w:val="24"/>
          <w:szCs w:val="24"/>
        </w:rPr>
        <w:t>:</w:t>
      </w:r>
      <w:r w:rsidR="00A219B0" w:rsidRPr="00770846">
        <w:rPr>
          <w:rFonts w:asciiTheme="majorHAnsi" w:hAnsiTheme="majorHAnsi" w:cstheme="majorHAnsi"/>
          <w:i w:val="0"/>
          <w:iCs w:val="0"/>
          <w:color w:val="auto"/>
          <w:sz w:val="24"/>
          <w:szCs w:val="24"/>
        </w:rPr>
        <w:t xml:space="preserve"> </w:t>
      </w:r>
      <w:r w:rsidR="00A219B0" w:rsidRPr="00770846">
        <w:rPr>
          <w:rFonts w:asciiTheme="majorHAnsi" w:hAnsiTheme="majorHAnsi" w:cstheme="majorHAnsi"/>
          <w:b/>
          <w:bCs/>
          <w:i w:val="0"/>
          <w:iCs w:val="0"/>
          <w:color w:val="auto"/>
          <w:sz w:val="24"/>
          <w:szCs w:val="24"/>
        </w:rPr>
        <w:t>Q-factor</w:t>
      </w:r>
      <w:r w:rsidR="00B116A5" w:rsidRPr="00770846">
        <w:rPr>
          <w:rFonts w:asciiTheme="majorHAnsi" w:hAnsiTheme="majorHAnsi" w:cstheme="majorHAnsi"/>
          <w:b/>
          <w:bCs/>
          <w:i w:val="0"/>
          <w:iCs w:val="0"/>
          <w:color w:val="auto"/>
          <w:sz w:val="24"/>
          <w:szCs w:val="24"/>
        </w:rPr>
        <w:t>s</w:t>
      </w:r>
      <w:r w:rsidR="00A219B0" w:rsidRPr="00770846">
        <w:rPr>
          <w:rFonts w:asciiTheme="majorHAnsi" w:hAnsiTheme="majorHAnsi" w:cstheme="majorHAnsi"/>
          <w:b/>
          <w:bCs/>
          <w:i w:val="0"/>
          <w:iCs w:val="0"/>
          <w:color w:val="auto"/>
          <w:sz w:val="24"/>
          <w:szCs w:val="24"/>
        </w:rPr>
        <w:t>.</w:t>
      </w:r>
      <w:r w:rsidR="00A219B0" w:rsidRPr="00770846">
        <w:rPr>
          <w:rFonts w:asciiTheme="majorHAnsi" w:hAnsiTheme="majorHAnsi" w:cstheme="majorHAnsi"/>
          <w:i w:val="0"/>
          <w:iCs w:val="0"/>
          <w:color w:val="auto"/>
          <w:sz w:val="24"/>
          <w:szCs w:val="24"/>
        </w:rPr>
        <w:t xml:space="preserve"> </w:t>
      </w:r>
      <w:r w:rsidR="00033987" w:rsidRPr="00770846">
        <w:rPr>
          <w:rFonts w:asciiTheme="majorHAnsi" w:hAnsiTheme="majorHAnsi" w:cstheme="majorHAnsi"/>
          <w:i w:val="0"/>
          <w:iCs w:val="0"/>
          <w:color w:val="auto"/>
          <w:sz w:val="24"/>
          <w:szCs w:val="24"/>
        </w:rPr>
        <w:t>The table displays the overall Q-factor</w:t>
      </w:r>
      <w:r w:rsidR="000662D3" w:rsidRPr="00770846">
        <w:rPr>
          <w:rFonts w:asciiTheme="majorHAnsi" w:hAnsiTheme="majorHAnsi" w:cstheme="majorHAnsi"/>
          <w:i w:val="0"/>
          <w:iCs w:val="0"/>
          <w:color w:val="auto"/>
          <w:sz w:val="24"/>
          <w:szCs w:val="24"/>
        </w:rPr>
        <w:t>s</w:t>
      </w:r>
      <w:r w:rsidR="00033987" w:rsidRPr="00770846">
        <w:rPr>
          <w:rFonts w:asciiTheme="majorHAnsi" w:hAnsiTheme="majorHAnsi" w:cstheme="majorHAnsi"/>
          <w:i w:val="0"/>
          <w:iCs w:val="0"/>
          <w:color w:val="auto"/>
          <w:sz w:val="24"/>
          <w:szCs w:val="24"/>
        </w:rPr>
        <w:t xml:space="preserve"> for Method 1 and Method 2 for each case.</w:t>
      </w:r>
      <w:r w:rsidR="007620B9" w:rsidRPr="00770846">
        <w:rPr>
          <w:rFonts w:asciiTheme="majorHAnsi" w:hAnsiTheme="majorHAnsi" w:cstheme="majorHAnsi"/>
          <w:i w:val="0"/>
          <w:iCs w:val="0"/>
          <w:color w:val="auto"/>
          <w:sz w:val="24"/>
          <w:szCs w:val="24"/>
        </w:rPr>
        <w:t xml:space="preserve"> The Q-factor will be zero if the delivered dose and prescribed dose are equal. </w:t>
      </w:r>
    </w:p>
    <w:p w14:paraId="008B6F62" w14:textId="77777777" w:rsidR="000662D3" w:rsidRPr="00770846" w:rsidRDefault="000662D3" w:rsidP="00770846">
      <w:pPr>
        <w:rPr>
          <w:rFonts w:asciiTheme="majorHAnsi" w:hAnsiTheme="majorHAnsi" w:cstheme="majorHAnsi"/>
          <w:i/>
          <w:iCs/>
        </w:rPr>
      </w:pPr>
    </w:p>
    <w:p w14:paraId="7C0B6465" w14:textId="75E40CAC" w:rsidR="006E4797" w:rsidRPr="00770846" w:rsidRDefault="00551D82" w:rsidP="00770846">
      <w:pPr>
        <w:rPr>
          <w:rFonts w:asciiTheme="majorHAnsi" w:hAnsiTheme="majorHAnsi" w:cstheme="majorHAnsi"/>
          <w:b/>
        </w:rPr>
      </w:pPr>
      <w:r w:rsidRPr="00770846">
        <w:rPr>
          <w:rFonts w:asciiTheme="majorHAnsi" w:hAnsiTheme="majorHAnsi" w:cstheme="majorHAnsi"/>
          <w:b/>
        </w:rPr>
        <w:t>DISCUSSION:</w:t>
      </w:r>
    </w:p>
    <w:p w14:paraId="46892F6C" w14:textId="24BB0103" w:rsidR="00205462" w:rsidRPr="00770846" w:rsidRDefault="00F4224E" w:rsidP="00770846">
      <w:pPr>
        <w:rPr>
          <w:rFonts w:asciiTheme="majorHAnsi" w:hAnsiTheme="majorHAnsi" w:cstheme="majorHAnsi"/>
        </w:rPr>
      </w:pPr>
      <w:r w:rsidRPr="00770846">
        <w:rPr>
          <w:rFonts w:asciiTheme="majorHAnsi" w:hAnsiTheme="majorHAnsi" w:cstheme="majorHAnsi"/>
        </w:rPr>
        <w:t>A</w:t>
      </w:r>
      <w:r w:rsidR="00264DBB" w:rsidRPr="00770846">
        <w:rPr>
          <w:rFonts w:asciiTheme="majorHAnsi" w:hAnsiTheme="majorHAnsi" w:cstheme="majorHAnsi"/>
        </w:rPr>
        <w:t xml:space="preserve"> rat </w:t>
      </w:r>
      <w:r w:rsidR="00E71F8E" w:rsidRPr="00770846">
        <w:rPr>
          <w:rFonts w:asciiTheme="majorHAnsi" w:hAnsiTheme="majorHAnsi" w:cstheme="majorHAnsi"/>
        </w:rPr>
        <w:t xml:space="preserve">GB </w:t>
      </w:r>
      <w:r w:rsidR="00264DBB" w:rsidRPr="00770846">
        <w:rPr>
          <w:rFonts w:asciiTheme="majorHAnsi" w:hAnsiTheme="majorHAnsi" w:cstheme="majorHAnsi"/>
        </w:rPr>
        <w:t xml:space="preserve">model to mimic the chemo-radiation treatment </w:t>
      </w:r>
      <w:r w:rsidR="008D63B6" w:rsidRPr="00770846">
        <w:rPr>
          <w:rFonts w:asciiTheme="majorHAnsi" w:hAnsiTheme="majorHAnsi" w:cstheme="majorHAnsi"/>
        </w:rPr>
        <w:t xml:space="preserve">in the clinic </w:t>
      </w:r>
      <w:r w:rsidR="00264DBB" w:rsidRPr="00770846">
        <w:rPr>
          <w:rFonts w:asciiTheme="majorHAnsi" w:hAnsiTheme="majorHAnsi" w:cstheme="majorHAnsi"/>
        </w:rPr>
        <w:t>for glioblastoma patients</w:t>
      </w:r>
      <w:r w:rsidR="00E044C1" w:rsidRPr="00770846">
        <w:rPr>
          <w:rFonts w:asciiTheme="majorHAnsi" w:hAnsiTheme="majorHAnsi" w:cstheme="majorHAnsi"/>
        </w:rPr>
        <w:t xml:space="preserve"> </w:t>
      </w:r>
      <w:r w:rsidRPr="00770846">
        <w:rPr>
          <w:rFonts w:asciiTheme="majorHAnsi" w:hAnsiTheme="majorHAnsi" w:cstheme="majorHAnsi"/>
        </w:rPr>
        <w:t>was previously described</w:t>
      </w:r>
      <w:r w:rsidR="00264DBB"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{"citationItems":[{"id":"ITEM-1","itemData":{"DOI":"10.1007/s11060-014-1552-9","ISSN":"1573-7373","PMID":"25069566","abstract":"Current glioblastoma (GB) small animal models for cranial radiation therapy (RT) use simple single beam technologies, which differ from the advanced conformal image-guided radiation techniques used in clinical practice. This technological disparity presents a major disadvantage for the development of new therapeutic approaches. Hence, we established a F98 GB rat model using magnetic resonance imaging (MRI)-guided three-dimensional (3D)-conformal arc RT with the Small Animal Radiation Research Platform (SARRP). Ten Fischer rats were inoculated with F98 tumor cells. When the tumor reached a volume of approximately 27 mm(3) on T2-weighted MR images, the animals were randomized into a treatment group (n = 5) receiving RT and concomitant temozolomide, and a sham group (n = 5) receiving control injections. For the treated animals, contrast-enhanced T1-weighted MR images were acquired followed by a cone-beam computed tomography (CBCT) on the SARRP system. Both scans were co-registered; MRI was used to define the target whereas CBCT was used for calculating a dose plan (20 Gy, three non-coplanar arc beams, 3 × 3 mm collimator). Tumor volumes were evaluated on follow-up contrast-enhanced T1-weighted MR images. Verification of treatment accuracy with γH2AX immunohistochemical staining was performed. Tumors in the control animals showed rapid proliferation during follow-up, encompassing almost the entire right cerebral hemisphere at day 12-15. Treated animals showed no significant tumor growth from 2 to 9 days post RT. γH2AX results confirmed the accuracy of dose delivery. This model, which is quite similar to the approach in the clinic, is valid for combined RT and chemotherapy of GB in rats.","author":[{"dropping-particle":"","family":"Bolcaen","given":"Julie","non-dropping-particle":"","parse-names":false,"suffix":""},{"dropping-particle":"","family":"Descamps","given":"Benedicte","non-dropping-particle":"","parse-names":false,"suffix":""},{"dropping-particle":"","family":"Deblaere","given":"Karel","non-dropping-particle":"","parse-names":false,"suffix":""},{"dropping-particle":"","family":"Boterberg","given":"Tom","non-dropping-particle":"","parse-names":false,"suffix":""},{"dropping-particle":"","family":"Hallaert","given":"Giorgio","non-dropping-particle":"","parse-names":false,"suffix":""},{"dropping-particle":"","family":"Broecke","given":"Caroline","non-dropping-particle":"Van den","parse-names":false,"suffix":""},{"dropping-particle":"","family":"Decrock","given":"Elke","non-dropping-particle":"","parse-names":false,"suffix":""},{"dropping-particle":"","family":"Vral","given":"Anne","non-dropping-particle":"","parse-names":false,"suffix":""},{"dropping-particle":"","family":"Leybaert","given":"Luc","non-dropping-particle":"","parse-names":false,"suffix":""},{"dropping-particle":"","family":"Vanhove","given":"Christian","non-dropping-particle":"","parse-names":false,"suffix":""},{"dropping-particle":"","family":"Goethals","given":"Ingeborg","non-dropping-particle":"","parse-names":false,"suffix":""}],"container-title":"Journal of neuro-oncology","id":"ITEM-1","issue":"2","issued":{"date-parts":[["2014","11"]]},"page":"257-66","title":"MRI-guided 3D conformal arc micro-irradiation of a F98 glioblastoma rat model using the Small Animal Radiation Research Platform (SARRP).","type":"article-journal","volume":"120"},"uris":["http://www.mendeley.com/documents/?uuid=2644fe47-8dbf-46aa-b4d0-10a7d636faf7"]}],"mendeley":{"formattedCitation":"&lt;sup&gt;20&lt;/sup&gt;","plainTextFormattedCitation":"20","previouslyFormattedCitation":"&lt;sup&gt;20&lt;/sup&gt;"},"properties":{"noteIndex":0},"schema":"https://github.com/citation-style-language/schema/raw/master/csl-citation.json"}</w:instrText>
      </w:r>
      <w:r w:rsidR="00264DBB"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20</w:t>
      </w:r>
      <w:r w:rsidR="00264DBB" w:rsidRPr="00770846">
        <w:rPr>
          <w:rFonts w:asciiTheme="majorHAnsi" w:hAnsiTheme="majorHAnsi" w:cstheme="majorHAnsi"/>
        </w:rPr>
        <w:fldChar w:fldCharType="end"/>
      </w:r>
      <w:r w:rsidR="00264DBB" w:rsidRPr="00770846">
        <w:rPr>
          <w:rFonts w:asciiTheme="majorHAnsi" w:hAnsiTheme="majorHAnsi" w:cstheme="majorHAnsi"/>
        </w:rPr>
        <w:t xml:space="preserve">. </w:t>
      </w:r>
      <w:proofErr w:type="gramStart"/>
      <w:r w:rsidR="00950485" w:rsidRPr="00770846">
        <w:rPr>
          <w:rFonts w:asciiTheme="majorHAnsi" w:hAnsiTheme="majorHAnsi" w:cstheme="majorHAnsi"/>
        </w:rPr>
        <w:t>Similar to</w:t>
      </w:r>
      <w:proofErr w:type="gramEnd"/>
      <w:r w:rsidR="00950485" w:rsidRPr="00770846">
        <w:rPr>
          <w:rFonts w:asciiTheme="majorHAnsi" w:hAnsiTheme="majorHAnsi" w:cstheme="majorHAnsi"/>
        </w:rPr>
        <w:t xml:space="preserve"> the clinic</w:t>
      </w:r>
      <w:r w:rsidR="00E463DD" w:rsidRPr="00770846">
        <w:rPr>
          <w:rFonts w:asciiTheme="majorHAnsi" w:hAnsiTheme="majorHAnsi" w:cstheme="majorHAnsi"/>
        </w:rPr>
        <w:t>al method</w:t>
      </w:r>
      <w:r w:rsidR="00623F24" w:rsidRPr="00770846">
        <w:rPr>
          <w:rFonts w:asciiTheme="majorHAnsi" w:hAnsiTheme="majorHAnsi" w:cstheme="majorHAnsi"/>
        </w:rPr>
        <w:t>, CT and MRI were combined during the treatment</w:t>
      </w:r>
      <w:r w:rsidR="005558B8" w:rsidRPr="00770846">
        <w:rPr>
          <w:rFonts w:asciiTheme="majorHAnsi" w:hAnsiTheme="majorHAnsi" w:cstheme="majorHAnsi"/>
        </w:rPr>
        <w:t>-</w:t>
      </w:r>
      <w:r w:rsidR="00623F24" w:rsidRPr="00770846">
        <w:rPr>
          <w:rFonts w:asciiTheme="majorHAnsi" w:hAnsiTheme="majorHAnsi" w:cstheme="majorHAnsi"/>
        </w:rPr>
        <w:t xml:space="preserve">planning process to obtain more precise irradiation. </w:t>
      </w:r>
      <w:r w:rsidRPr="00770846">
        <w:rPr>
          <w:rFonts w:asciiTheme="majorHAnsi" w:hAnsiTheme="majorHAnsi" w:cstheme="majorHAnsi"/>
        </w:rPr>
        <w:t>A</w:t>
      </w:r>
      <w:r w:rsidR="00623F24" w:rsidRPr="00770846">
        <w:rPr>
          <w:rFonts w:asciiTheme="majorHAnsi" w:hAnsiTheme="majorHAnsi" w:cstheme="majorHAnsi"/>
        </w:rPr>
        <w:t xml:space="preserve"> multimodality bed to minimize (head) movement</w:t>
      </w:r>
      <w:r w:rsidRPr="00770846">
        <w:rPr>
          <w:rFonts w:asciiTheme="majorHAnsi" w:hAnsiTheme="majorHAnsi" w:cstheme="majorHAnsi"/>
        </w:rPr>
        <w:t xml:space="preserve"> was used </w:t>
      </w:r>
      <w:r w:rsidR="00623F24" w:rsidRPr="00770846">
        <w:rPr>
          <w:rFonts w:asciiTheme="majorHAnsi" w:hAnsiTheme="majorHAnsi" w:cstheme="majorHAnsi"/>
        </w:rPr>
        <w:t xml:space="preserve">when the animal was moved from one imaging system to another. </w:t>
      </w:r>
      <w:r w:rsidR="001635AF" w:rsidRPr="00770846">
        <w:rPr>
          <w:rFonts w:asciiTheme="majorHAnsi" w:hAnsiTheme="majorHAnsi" w:cstheme="majorHAnsi"/>
        </w:rPr>
        <w:t>Subsequently</w:t>
      </w:r>
      <w:r w:rsidR="00F46CEB" w:rsidRPr="00770846">
        <w:rPr>
          <w:rFonts w:asciiTheme="majorHAnsi" w:hAnsiTheme="majorHAnsi" w:cstheme="majorHAnsi"/>
        </w:rPr>
        <w:t>, PET</w:t>
      </w:r>
      <w:r w:rsidR="00E463DD" w:rsidRPr="00770846">
        <w:rPr>
          <w:rFonts w:asciiTheme="majorHAnsi" w:hAnsiTheme="majorHAnsi" w:cstheme="majorHAnsi"/>
        </w:rPr>
        <w:t xml:space="preserve"> </w:t>
      </w:r>
      <w:r w:rsidR="00F46CEB" w:rsidRPr="00770846">
        <w:rPr>
          <w:rFonts w:asciiTheme="majorHAnsi" w:hAnsiTheme="majorHAnsi" w:cstheme="majorHAnsi"/>
        </w:rPr>
        <w:t>imaging</w:t>
      </w:r>
      <w:r w:rsidR="00713DBD" w:rsidRPr="00770846">
        <w:rPr>
          <w:rFonts w:asciiTheme="majorHAnsi" w:hAnsiTheme="majorHAnsi" w:cstheme="majorHAnsi"/>
        </w:rPr>
        <w:t xml:space="preserve"> was added to</w:t>
      </w:r>
      <w:r w:rsidR="00C15ECA" w:rsidRPr="00770846">
        <w:rPr>
          <w:rFonts w:asciiTheme="majorHAnsi" w:hAnsiTheme="majorHAnsi" w:cstheme="majorHAnsi"/>
        </w:rPr>
        <w:t xml:space="preserve"> the treatment</w:t>
      </w:r>
      <w:r w:rsidR="005558B8" w:rsidRPr="00770846">
        <w:rPr>
          <w:rFonts w:asciiTheme="majorHAnsi" w:hAnsiTheme="majorHAnsi" w:cstheme="majorHAnsi"/>
        </w:rPr>
        <w:t>-</w:t>
      </w:r>
      <w:r w:rsidR="00C15ECA" w:rsidRPr="00770846">
        <w:rPr>
          <w:rFonts w:asciiTheme="majorHAnsi" w:hAnsiTheme="majorHAnsi" w:cstheme="majorHAnsi"/>
        </w:rPr>
        <w:t>planning process</w:t>
      </w:r>
      <w:r w:rsidR="00411FCD" w:rsidRPr="00770846">
        <w:rPr>
          <w:rFonts w:asciiTheme="majorHAnsi" w:hAnsiTheme="majorHAnsi" w:cstheme="majorHAnsi"/>
        </w:rPr>
        <w:t>,</w:t>
      </w:r>
      <w:r w:rsidR="00C15ECA" w:rsidRPr="00770846">
        <w:rPr>
          <w:rFonts w:asciiTheme="majorHAnsi" w:hAnsiTheme="majorHAnsi" w:cstheme="majorHAnsi"/>
        </w:rPr>
        <w:t xml:space="preserve"> and PET-based sub-volume boosting could be successfully implemente</w:t>
      </w:r>
      <w:r w:rsidR="000C5170" w:rsidRPr="00770846">
        <w:rPr>
          <w:rFonts w:asciiTheme="majorHAnsi" w:hAnsiTheme="majorHAnsi" w:cstheme="majorHAnsi"/>
        </w:rPr>
        <w:t>d</w:t>
      </w:r>
      <w:r w:rsidR="00922DBD"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{"citationItems":[{"id":"ITEM-1","itemData":{"DOI":"10.3791/56601","ISSN":"1940-087X","abstract":"© 2017, Journal of Visualized Experiments. All rights reserved. For decades, small animal radiation research was mostly performed using fairly crude experimental setups applying simple single-beam techniques without the ability to target a specific or well-delineated tumor volume. The delivery of radiation was achieved using fixed radiation sources or linear accelerators producing megavoltage (MV) X-rays. These devices are unable to achieve sub-millimeter precision required for small animals. Furthermore, the high doses delivered to healthy surrounding tissue hamper response assessment. To increase the translation between small animal studies and humans, our goal was to mimic the treatment of human glioblastoma in a rat model. To enable a more accurate irradiation in a preclinical setting, recently, precision image-guided small animal radiation research platforms were developed. Similar to human planning systems, treatment planning on these micro-irradiators is based on computed tomography (CT). However, low soft-tissue contrast on CT makes it very challenging to localize targets in certain tissues, such as the brain. Therefore, incorporating magnetic resonance imaging (MRI), which has excellent soft-tissue contrast compared to CT, would enable a more precise delineation of the target for irradiation. In the last decade also biological imaging techniques, such as positron emission tomography (PET) gained interest for radiation therapy treatment guidance. PET enables the visualization of e.g., glucose consumption, amino-acid transport, or hypoxia, present in the tumor. Targeting those highly proliferative or radio-resistant parts of the tumor with a higher dose could give a survival benefit. This hypothesis led to the introduction of the biological tumor volume (BTV), besides the conventional gross target volume (GTV), clinical target volume (CTV), and planned target volume (PTV). At the preclinical imaging lab of Ghent University, a micro-irradiator, a small animal PET, and a 7 T small animal MRI are available. The goal was to incorporate MRI-guided irradiation and PET-guided sub-volume boosting in a glioblastoma rat model.","author":[{"dropping-particle":"","family":"Bolcaen","given":"Julie","non-dropping-particle":"","parse-names":false,"suffix":""},{"dropping-particle":"","family":"Descamps","given":"Benedicte","non-dropping-particle":"","parse-names":false,"suffix":""},{"dropping-particle":"","family":"Boterberg","given":"Tom","non-dropping-particle":"","parse-names":false,"suffix":""},{"dropping-particle":"","family":"Vanhove","given":"Christian","non-dropping-particle":"","parse-names":false,"suffix":""},{"dropping-particle":"","family":"Goethals","given":"Ingeborg","non-dropping-particle":"","parse-names":false,"suffix":""}],"container-title":"Journal of Visualized Experiments","id":"ITEM-1","issue":"130","issued":{"date-parts":[["2017"]]},"page":"1-10","title":"PET and MRI Guided Irradiation of a Glioblastoma Rat Model Using a Micro-irradiator","type":"article-journal"},"uris":["http://www.mendeley.com/documents/?uuid=76745ea2-6d36-4fa7-9363-418bece7db83"]},{"id":"ITEM-2","itemData":{"DOI":"10.1186/s13014-019-1290-4","ISSN":"1748717X","abstract":"© 2019 The Author(s). Background: Glioblastoma (GB) is the most common primary malignant brain tumor. Standard medical treatment consists of a maximal safe surgical resection, subsequently radiation therapy (RT) and chemotherapy with temozolomide (TMZ). An accurate definition of the tumor volume is of utmost importance for guiding RT. In this project we investigated the feasibility and treatment response of subvolume boosting to a PET-defined tumor part. Method: F98 GB cells inoculated in the rat brain were imaged using T2- and contrast-enhanced T1-weighted (T1w) MRI. A dose of 20 Gy (5 × 5 mm2) was delivered to the target volume delineated based on T1w MRI for three treatment groups. Two of those treatment groups received an additional radiation boost of 5 Gy (1 × 1 mm2) delivered to the region either with maximum [18F]FET or [18F]FAZA PET tracer uptake, respectively. All therapy groups received intraperitoneal (IP) injections of TMZ. Finally, a control group received no RT and only control IP injections. The average, minimum and maximum dose, as well as the D90-, D50- and D2- values were calculated for nine rats using both RT plans. To evaluate response to therapy, follow-up tumor volumes were delineated based on T1w MRI. Results: When comparing the dose volume histograms, a significant difference was found exclusively between the D2-values. A significant difference in tumor growth was only found between active therapy and sham therapy respectively, while no significant differences were found when comparing the three treatment groups. Conclusion: In this study we showed the feasibility of PET guided subvolume boosting of F98 glioblastoma in rats. No evidence was found for a beneficial effect regarding tumor response. However, improvements for dose targeting in rodents and studies investigating new targeted drugs for GB treatment are mandatory.","author":[{"dropping-particle":"","family":"Verhoeven","given":"J.","non-dropping-particle":"","parse-names":false,"suffix":""},{"dropping-particle":"","family":"Bolcaen","given":"J.","non-dropping-particle":"","parse-names":false,"suffix":""},{"dropping-particle":"","family":"Meulenaere","given":"V.","non-dropping-particle":"De","parse-names":false,"suffix":""},{"dropping-particle":"","family":"Kersemans","given":"K.","non-dropping-particle":"","parse-names":false,"suffix":""},{"dropping-particle":"","family":"Descamps","given":"B.","non-dropping-particle":"","parse-names":false,"suffix":""},{"dropping-particle":"","family":"Donche","given":"S.","non-dropping-particle":"","parse-names":false,"suffix":""},{"dropping-particle":"","family":"Broecke","given":"C.","non-dropping-particle":"Van Den","parse-names":false,"suffix":""},{"dropping-particle":"","family":"Boterberg","given":"T.","non-dropping-particle":"","parse-names":false,"suffix":""},{"dropping-particle":"","family":"Kalala","given":"J.-P.","non-dropping-particle":"","parse-names":false,"suffix":""},{"dropping-particle":"","family":"Deblaere","given":"K.","non-dropping-particle":"","parse-names":false,"suffix":""},{"dropping-particle":"","family":"Vanhove","given":"C.","non-dropping-particle":"","parse-names":false,"suffix":""},{"dropping-particle":"","family":"Vos","given":"F.","non-dropping-particle":"De","parse-names":false,"suffix":""},{"dropping-particle":"","family":"Goethals","given":"I.","non-dropping-particle":"","parse-names":false,"suffix":""}],"container-title":"Radiation Oncology","id":"ITEM-2","issue":"1","issued":{"date-parts":[["2019"]]},"title":"Technical feasibility of [&lt;sup&gt;18&lt;/sup&gt;F]FET and [&lt;sup&gt;18&lt;/sup&gt;F]FAZA PET guided radiotherapy in a F98 glioblastoma rat model","type":"article-journal","volume":"14"},"uris":["http://www.mendeley.com/documents/?uuid=579295ad-8f4d-3f75-884e-ad23f2c9660b"]}],"mendeley":{"formattedCitation":"&lt;sup&gt;21,22&lt;/sup&gt;","plainTextFormattedCitation":"21,22","previouslyFormattedCitation":"&lt;sup&gt;21,22&lt;/sup&gt;"},"properties":{"noteIndex":0},"schema":"https://github.com/citation-style-language/schema/raw/master/csl-citation.json"}</w:instrText>
      </w:r>
      <w:r w:rsidR="00922DBD"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21,22</w:t>
      </w:r>
      <w:r w:rsidR="00922DBD" w:rsidRPr="00770846">
        <w:rPr>
          <w:rFonts w:asciiTheme="majorHAnsi" w:hAnsiTheme="majorHAnsi" w:cstheme="majorHAnsi"/>
        </w:rPr>
        <w:fldChar w:fldCharType="end"/>
      </w:r>
      <w:r w:rsidR="00922DBD" w:rsidRPr="00770846">
        <w:rPr>
          <w:rFonts w:asciiTheme="majorHAnsi" w:hAnsiTheme="majorHAnsi" w:cstheme="majorHAnsi"/>
        </w:rPr>
        <w:t xml:space="preserve">. </w:t>
      </w:r>
      <w:r w:rsidR="00AA28F4" w:rsidRPr="00770846">
        <w:rPr>
          <w:rFonts w:asciiTheme="majorHAnsi" w:hAnsiTheme="majorHAnsi" w:cstheme="majorHAnsi"/>
        </w:rPr>
        <w:t>The inclusion of a functional image mod</w:t>
      </w:r>
      <w:r w:rsidR="000A3974" w:rsidRPr="00770846">
        <w:rPr>
          <w:rFonts w:asciiTheme="majorHAnsi" w:hAnsiTheme="majorHAnsi" w:cstheme="majorHAnsi"/>
        </w:rPr>
        <w:t>ality, such as PET, in the treatment</w:t>
      </w:r>
      <w:r w:rsidR="005558B8" w:rsidRPr="00770846">
        <w:rPr>
          <w:rFonts w:asciiTheme="majorHAnsi" w:hAnsiTheme="majorHAnsi" w:cstheme="majorHAnsi"/>
        </w:rPr>
        <w:t>-</w:t>
      </w:r>
      <w:r w:rsidR="000A3974" w:rsidRPr="00770846">
        <w:rPr>
          <w:rFonts w:asciiTheme="majorHAnsi" w:hAnsiTheme="majorHAnsi" w:cstheme="majorHAnsi"/>
        </w:rPr>
        <w:t>planning process allows the visuali</w:t>
      </w:r>
      <w:r w:rsidR="00411FCD" w:rsidRPr="00770846">
        <w:rPr>
          <w:rFonts w:asciiTheme="majorHAnsi" w:hAnsiTheme="majorHAnsi" w:cstheme="majorHAnsi"/>
        </w:rPr>
        <w:t>z</w:t>
      </w:r>
      <w:r w:rsidR="000A3974" w:rsidRPr="00770846">
        <w:rPr>
          <w:rFonts w:asciiTheme="majorHAnsi" w:hAnsiTheme="majorHAnsi" w:cstheme="majorHAnsi"/>
        </w:rPr>
        <w:t>ation of the (biological) tumor heterogeneity. This facilitates the targeting of aggressive and/or radiation-resistant tumor regions. Although this method is feasible, it proved to be very labor</w:t>
      </w:r>
      <w:r w:rsidR="00411FCD" w:rsidRPr="00770846">
        <w:rPr>
          <w:rFonts w:asciiTheme="majorHAnsi" w:hAnsiTheme="majorHAnsi" w:cstheme="majorHAnsi"/>
        </w:rPr>
        <w:t>-</w:t>
      </w:r>
      <w:r w:rsidR="000A3974" w:rsidRPr="00770846">
        <w:rPr>
          <w:rFonts w:asciiTheme="majorHAnsi" w:hAnsiTheme="majorHAnsi" w:cstheme="majorHAnsi"/>
        </w:rPr>
        <w:t>intensive</w:t>
      </w:r>
      <w:r w:rsidR="00D02449" w:rsidRPr="00770846">
        <w:rPr>
          <w:rFonts w:asciiTheme="majorHAnsi" w:hAnsiTheme="majorHAnsi" w:cstheme="majorHAnsi"/>
        </w:rPr>
        <w:t xml:space="preserve"> because multimodal imaging, treatment planning</w:t>
      </w:r>
      <w:r w:rsidR="00411FCD" w:rsidRPr="00770846">
        <w:rPr>
          <w:rFonts w:asciiTheme="majorHAnsi" w:hAnsiTheme="majorHAnsi" w:cstheme="majorHAnsi"/>
        </w:rPr>
        <w:t>,</w:t>
      </w:r>
      <w:r w:rsidR="00D02449" w:rsidRPr="00770846">
        <w:rPr>
          <w:rFonts w:asciiTheme="majorHAnsi" w:hAnsiTheme="majorHAnsi" w:cstheme="majorHAnsi"/>
        </w:rPr>
        <w:t xml:space="preserve"> and dose delivery </w:t>
      </w:r>
      <w:r w:rsidR="00331877" w:rsidRPr="00770846">
        <w:rPr>
          <w:rFonts w:asciiTheme="majorHAnsi" w:hAnsiTheme="majorHAnsi" w:cstheme="majorHAnsi"/>
        </w:rPr>
        <w:t>must</w:t>
      </w:r>
      <w:r w:rsidR="00D02449" w:rsidRPr="00770846">
        <w:rPr>
          <w:rFonts w:asciiTheme="majorHAnsi" w:hAnsiTheme="majorHAnsi" w:cstheme="majorHAnsi"/>
        </w:rPr>
        <w:t xml:space="preserve"> be completed sequentially in a preclinical setting</w:t>
      </w:r>
      <w:r w:rsidR="00411FCD" w:rsidRPr="00770846">
        <w:rPr>
          <w:rFonts w:asciiTheme="majorHAnsi" w:hAnsiTheme="majorHAnsi" w:cstheme="majorHAnsi"/>
        </w:rPr>
        <w:t>.</w:t>
      </w:r>
      <w:r w:rsidR="00D02449" w:rsidRPr="00770846">
        <w:rPr>
          <w:rFonts w:asciiTheme="majorHAnsi" w:hAnsiTheme="majorHAnsi" w:cstheme="majorHAnsi"/>
        </w:rPr>
        <w:t xml:space="preserve"> </w:t>
      </w:r>
      <w:r w:rsidR="00411FCD" w:rsidRPr="00770846">
        <w:rPr>
          <w:rFonts w:asciiTheme="majorHAnsi" w:hAnsiTheme="majorHAnsi" w:cstheme="majorHAnsi"/>
        </w:rPr>
        <w:t>Moreover,</w:t>
      </w:r>
      <w:r w:rsidR="00D02449" w:rsidRPr="00770846">
        <w:rPr>
          <w:rFonts w:asciiTheme="majorHAnsi" w:hAnsiTheme="majorHAnsi" w:cstheme="majorHAnsi"/>
        </w:rPr>
        <w:t xml:space="preserve"> during this process</w:t>
      </w:r>
      <w:r w:rsidR="00411FCD" w:rsidRPr="00770846">
        <w:rPr>
          <w:rFonts w:asciiTheme="majorHAnsi" w:hAnsiTheme="majorHAnsi" w:cstheme="majorHAnsi"/>
        </w:rPr>
        <w:t>,</w:t>
      </w:r>
      <w:r w:rsidR="00D02449" w:rsidRPr="00770846">
        <w:rPr>
          <w:rFonts w:asciiTheme="majorHAnsi" w:hAnsiTheme="majorHAnsi" w:cstheme="majorHAnsi"/>
        </w:rPr>
        <w:t xml:space="preserve"> the animals have to stay under general anesthesia</w:t>
      </w:r>
      <w:r w:rsidR="006F72BE"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{"citationItems":[{"id":"ITEM-1","itemData":{"DOI":"10.1186/s13014-019-1290-4","ISSN":"1748717X","abstract":"© 2019 The Author(s). Background: Glioblastoma (GB) is the most common primary malignant brain tumor. Standard medical treatment consists of a maximal safe surgical resection, subsequently radiation therapy (RT) and chemotherapy with temozolomide (TMZ). An accurate definition of the tumor volume is of utmost importance for guiding RT. In this project we investigated the feasibility and treatment response of subvolume boosting to a PET-defined tumor part. Method: F98 GB cells inoculated in the rat brain were imaged using T2- and contrast-enhanced T1-weighted (T1w) MRI. A dose of 20 Gy (5 × 5 mm2) was delivered to the target volume delineated based on T1w MRI for three treatment groups. Two of those treatment groups received an additional radiation boost of 5 Gy (1 × 1 mm2) delivered to the region either with maximum [18F]FET or [18F]FAZA PET tracer uptake, respectively. All therapy groups received intraperitoneal (IP) injections of TMZ. Finally, a control group received no RT and only control IP injections. The average, minimum and maximum dose, as well as the D90-, D50- and D2- values were calculated for nine rats using both RT plans. To evaluate response to therapy, follow-up tumor volumes were delineated based on T1w MRI. Results: When comparing the dose volume histograms, a significant difference was found exclusively between the D2-values. A significant difference in tumor growth was only found between active therapy and sham therapy respectively, while no significant differences were found when comparing the three treatment groups. Conclusion: In this study we showed the feasibility of PET guided subvolume boosting of F98 glioblastoma in rats. No evidence was found for a beneficial effect regarding tumor response. However, improvements for dose targeting in rodents and studies investigating new targeted drugs for GB treatment are mandatory.","author":[{"dropping-particle":"","family":"Verhoeven","given":"J.","non-dropping-particle":"","parse-names":false,"suffix":""},{"dropping-particle":"","family":"Bolcaen","given":"J.","non-dropping-particle":"","parse-names":false,"suffix":""},{"dropping-particle":"","family":"Meulenaere","given":"V.","non-dropping-particle":"De","parse-names":false,"suffix":""},{"dropping-particle":"","family":"Kersemans","given":"K.","non-dropping-particle":"","parse-names":false,"suffix":""},{"dropping-particle":"","family":"Descamps","given":"B.","non-dropping-particle":"","parse-names":false,"suffix":""},{"dropping-particle":"","family":"Donche","given":"S.","non-dropping-particle":"","parse-names":false,"suffix":""},{"dropping-particle":"","family":"Broecke","given":"C.","non-dropping-particle":"Van Den","parse-names":false,"suffix":""},{"dropping-particle":"","family":"Boterberg","given":"T.","non-dropping-particle":"","parse-names":false,"suffix":""},{"dropping-particle":"","family":"Kalala","given":"J.-P.","non-dropping-particle":"","parse-names":false,"suffix":""},{"dropping-particle":"","family":"Deblaere","given":"K.","non-dropping-particle":"","parse-names":false,"suffix":""},{"dropping-particle":"","family":"Vanhove","given":"C.","non-dropping-particle":"","parse-names":false,"suffix":""},{"dropping-particle":"","family":"Vos","given":"F.","non-dropping-particle":"De","parse-names":false,"suffix":""},{"dropping-particle":"","family":"Goethals","given":"I.","non-dropping-particle":"","parse-names":false,"suffix":""}],"container-title":"Radiation Oncology","id":"ITEM-1","issue":"1","issued":{"date-parts":[["2019"]]},"title":"Technical feasibility of [&lt;sup&gt;18&lt;/sup&gt;F]FET and [&lt;sup&gt;18&lt;/sup&gt;F]FAZA PET guided radiotherapy in a F98 glioblastoma rat model","type":"article-journal","volume":"14"},"uris":["http://www.mendeley.com/documents/?uuid=579295ad-8f4d-3f75-884e-ad23f2c9660b"]}],"mendeley":{"formattedCitation":"&lt;sup&gt;22&lt;/sup&gt;","plainTextFormattedCitation":"22","previouslyFormattedCitation":"&lt;sup&gt;22&lt;/sup&gt;"},"properties":{"noteIndex":0},"schema":"https://github.com/citation-style-language/schema/raw/master/csl-citation.json"}</w:instrText>
      </w:r>
      <w:r w:rsidR="006F72BE"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22</w:t>
      </w:r>
      <w:r w:rsidR="006F72BE" w:rsidRPr="00770846">
        <w:rPr>
          <w:rFonts w:asciiTheme="majorHAnsi" w:hAnsiTheme="majorHAnsi" w:cstheme="majorHAnsi"/>
        </w:rPr>
        <w:fldChar w:fldCharType="end"/>
      </w:r>
      <w:r w:rsidR="00DA5E51" w:rsidRPr="00770846">
        <w:rPr>
          <w:rFonts w:asciiTheme="majorHAnsi" w:hAnsiTheme="majorHAnsi" w:cstheme="majorHAnsi"/>
        </w:rPr>
        <w:t>.</w:t>
      </w:r>
      <w:r w:rsidR="00E533AF" w:rsidRPr="00770846">
        <w:rPr>
          <w:rFonts w:asciiTheme="majorHAnsi" w:hAnsiTheme="majorHAnsi" w:cstheme="majorHAnsi"/>
        </w:rPr>
        <w:t xml:space="preserve"> Therefore, it is </w:t>
      </w:r>
      <w:r w:rsidR="001A5E34" w:rsidRPr="00770846">
        <w:rPr>
          <w:rFonts w:asciiTheme="majorHAnsi" w:hAnsiTheme="majorHAnsi" w:cstheme="majorHAnsi"/>
        </w:rPr>
        <w:t>essential</w:t>
      </w:r>
      <w:r w:rsidR="00E533AF" w:rsidRPr="00770846">
        <w:rPr>
          <w:rFonts w:asciiTheme="majorHAnsi" w:hAnsiTheme="majorHAnsi" w:cstheme="majorHAnsi"/>
        </w:rPr>
        <w:t xml:space="preserve"> to improve the efficiency of the preclinical treatment</w:t>
      </w:r>
      <w:r w:rsidR="005558B8" w:rsidRPr="00770846">
        <w:rPr>
          <w:rFonts w:asciiTheme="majorHAnsi" w:hAnsiTheme="majorHAnsi" w:cstheme="majorHAnsi"/>
        </w:rPr>
        <w:t>-</w:t>
      </w:r>
      <w:r w:rsidR="00E533AF" w:rsidRPr="00770846">
        <w:rPr>
          <w:rFonts w:asciiTheme="majorHAnsi" w:hAnsiTheme="majorHAnsi" w:cstheme="majorHAnsi"/>
        </w:rPr>
        <w:t>planning process.</w:t>
      </w:r>
    </w:p>
    <w:p w14:paraId="02703CAB" w14:textId="26D42E6F" w:rsidR="00951D6E" w:rsidRPr="00770846" w:rsidRDefault="00951D6E" w:rsidP="00770846">
      <w:pPr>
        <w:rPr>
          <w:rFonts w:asciiTheme="majorHAnsi" w:hAnsiTheme="majorHAnsi" w:cstheme="majorHAnsi"/>
        </w:rPr>
      </w:pPr>
    </w:p>
    <w:p w14:paraId="5712C11B" w14:textId="5E5D8E12" w:rsidR="00C71438" w:rsidRPr="00770846" w:rsidRDefault="00411FCD" w:rsidP="00770846">
      <w:pPr>
        <w:rPr>
          <w:rFonts w:asciiTheme="majorHAnsi" w:hAnsiTheme="majorHAnsi" w:cstheme="majorHAnsi"/>
        </w:rPr>
      </w:pPr>
      <w:r w:rsidRPr="00770846">
        <w:rPr>
          <w:rFonts w:asciiTheme="majorHAnsi" w:hAnsiTheme="majorHAnsi" w:cstheme="majorHAnsi"/>
        </w:rPr>
        <w:lastRenderedPageBreak/>
        <w:t>T</w:t>
      </w:r>
      <w:r w:rsidR="00C71438" w:rsidRPr="00770846">
        <w:rPr>
          <w:rFonts w:asciiTheme="majorHAnsi" w:hAnsiTheme="majorHAnsi" w:cstheme="majorHAnsi"/>
        </w:rPr>
        <w:t>his paper</w:t>
      </w:r>
      <w:r w:rsidRPr="00770846">
        <w:rPr>
          <w:rFonts w:asciiTheme="majorHAnsi" w:hAnsiTheme="majorHAnsi" w:cstheme="majorHAnsi"/>
        </w:rPr>
        <w:t xml:space="preserve"> presents</w:t>
      </w:r>
      <w:r w:rsidR="00C71438" w:rsidRPr="00770846">
        <w:rPr>
          <w:rFonts w:asciiTheme="majorHAnsi" w:hAnsiTheme="majorHAnsi" w:cstheme="majorHAnsi"/>
        </w:rPr>
        <w:t xml:space="preserve"> a user-friendly semi-automatic algorithm</w:t>
      </w:r>
      <w:r w:rsidR="00F4224E" w:rsidRPr="00770846">
        <w:rPr>
          <w:rFonts w:asciiTheme="majorHAnsi" w:hAnsiTheme="majorHAnsi" w:cstheme="majorHAnsi"/>
        </w:rPr>
        <w:t xml:space="preserve"> </w:t>
      </w:r>
      <w:r w:rsidR="00C71438" w:rsidRPr="00770846">
        <w:rPr>
          <w:rFonts w:asciiTheme="majorHAnsi" w:hAnsiTheme="majorHAnsi" w:cstheme="majorHAnsi"/>
        </w:rPr>
        <w:t>to further optimize preclinical multimodal imaging</w:t>
      </w:r>
      <w:r w:rsidRPr="00770846">
        <w:rPr>
          <w:rFonts w:asciiTheme="majorHAnsi" w:hAnsiTheme="majorHAnsi" w:cstheme="majorHAnsi"/>
        </w:rPr>
        <w:t>-</w:t>
      </w:r>
      <w:r w:rsidR="00C71438" w:rsidRPr="00770846">
        <w:rPr>
          <w:rFonts w:asciiTheme="majorHAnsi" w:hAnsiTheme="majorHAnsi" w:cstheme="majorHAnsi"/>
        </w:rPr>
        <w:t>based radiation treatment planning. Co</w:t>
      </w:r>
      <w:r w:rsidR="00C33D18" w:rsidRPr="00770846">
        <w:rPr>
          <w:rFonts w:asciiTheme="majorHAnsi" w:hAnsiTheme="majorHAnsi" w:cstheme="majorHAnsi"/>
        </w:rPr>
        <w:t>-</w:t>
      </w:r>
      <w:r w:rsidR="00C71438" w:rsidRPr="00770846">
        <w:rPr>
          <w:rFonts w:asciiTheme="majorHAnsi" w:hAnsiTheme="majorHAnsi" w:cstheme="majorHAnsi"/>
        </w:rPr>
        <w:t>registration between</w:t>
      </w:r>
      <w:r w:rsidR="00D526FE" w:rsidRPr="00770846">
        <w:rPr>
          <w:rFonts w:asciiTheme="majorHAnsi" w:hAnsiTheme="majorHAnsi" w:cstheme="majorHAnsi"/>
        </w:rPr>
        <w:t xml:space="preserve"> planning</w:t>
      </w:r>
      <w:r w:rsidR="00C71438" w:rsidRPr="00770846">
        <w:rPr>
          <w:rFonts w:asciiTheme="majorHAnsi" w:hAnsiTheme="majorHAnsi" w:cstheme="majorHAnsi"/>
        </w:rPr>
        <w:t xml:space="preserve"> CT, MRI</w:t>
      </w:r>
      <w:r w:rsidR="00A87E48" w:rsidRPr="00770846">
        <w:rPr>
          <w:rFonts w:asciiTheme="majorHAnsi" w:hAnsiTheme="majorHAnsi" w:cstheme="majorHAnsi"/>
        </w:rPr>
        <w:t>,</w:t>
      </w:r>
      <w:r w:rsidR="00C71438" w:rsidRPr="00770846">
        <w:rPr>
          <w:rFonts w:asciiTheme="majorHAnsi" w:hAnsiTheme="majorHAnsi" w:cstheme="majorHAnsi"/>
        </w:rPr>
        <w:t xml:space="preserve"> and PET were automated, in combination with the detection of the target isocenters. </w:t>
      </w:r>
      <w:r w:rsidR="00A87E48" w:rsidRPr="00770846">
        <w:rPr>
          <w:rFonts w:asciiTheme="majorHAnsi" w:hAnsiTheme="majorHAnsi" w:cstheme="majorHAnsi"/>
        </w:rPr>
        <w:t>Of note,</w:t>
      </w:r>
      <w:r w:rsidR="00EA590A" w:rsidRPr="00770846">
        <w:rPr>
          <w:rFonts w:asciiTheme="majorHAnsi" w:hAnsiTheme="majorHAnsi" w:cstheme="majorHAnsi"/>
        </w:rPr>
        <w:t xml:space="preserve"> </w:t>
      </w:r>
      <w:r w:rsidR="00F4224E" w:rsidRPr="00770846">
        <w:rPr>
          <w:rFonts w:asciiTheme="majorHAnsi" w:hAnsiTheme="majorHAnsi" w:cstheme="majorHAnsi"/>
        </w:rPr>
        <w:t>the</w:t>
      </w:r>
      <w:r w:rsidR="00EA590A" w:rsidRPr="00770846">
        <w:rPr>
          <w:rFonts w:asciiTheme="majorHAnsi" w:hAnsiTheme="majorHAnsi" w:cstheme="majorHAnsi"/>
        </w:rPr>
        <w:t xml:space="preserve"> software tool should not be considered as a black</w:t>
      </w:r>
      <w:r w:rsidR="00A54BF8" w:rsidRPr="00770846">
        <w:rPr>
          <w:rFonts w:asciiTheme="majorHAnsi" w:hAnsiTheme="majorHAnsi" w:cstheme="majorHAnsi"/>
        </w:rPr>
        <w:t xml:space="preserve"> </w:t>
      </w:r>
      <w:r w:rsidR="00EA590A" w:rsidRPr="00770846">
        <w:rPr>
          <w:rFonts w:asciiTheme="majorHAnsi" w:hAnsiTheme="majorHAnsi" w:cstheme="majorHAnsi"/>
        </w:rPr>
        <w:t>box</w:t>
      </w:r>
      <w:r w:rsidR="00A87E48" w:rsidRPr="00770846">
        <w:rPr>
          <w:rFonts w:asciiTheme="majorHAnsi" w:hAnsiTheme="majorHAnsi" w:cstheme="majorHAnsi"/>
        </w:rPr>
        <w:t>,</w:t>
      </w:r>
      <w:r w:rsidR="00EA590A" w:rsidRPr="00770846">
        <w:rPr>
          <w:rFonts w:asciiTheme="majorHAnsi" w:hAnsiTheme="majorHAnsi" w:cstheme="majorHAnsi"/>
        </w:rPr>
        <w:t xml:space="preserve"> and it </w:t>
      </w:r>
      <w:r w:rsidR="00A87E48" w:rsidRPr="00770846">
        <w:rPr>
          <w:rFonts w:asciiTheme="majorHAnsi" w:hAnsiTheme="majorHAnsi" w:cstheme="majorHAnsi"/>
        </w:rPr>
        <w:t>is</w:t>
      </w:r>
      <w:r w:rsidR="00EA590A" w:rsidRPr="00770846">
        <w:rPr>
          <w:rFonts w:asciiTheme="majorHAnsi" w:hAnsiTheme="majorHAnsi" w:cstheme="majorHAnsi"/>
        </w:rPr>
        <w:t xml:space="preserve"> </w:t>
      </w:r>
      <w:r w:rsidR="000D0584" w:rsidRPr="00770846">
        <w:rPr>
          <w:rFonts w:asciiTheme="majorHAnsi" w:hAnsiTheme="majorHAnsi" w:cstheme="majorHAnsi"/>
        </w:rPr>
        <w:t>crucial</w:t>
      </w:r>
      <w:r w:rsidR="00EA590A" w:rsidRPr="00770846">
        <w:rPr>
          <w:rFonts w:asciiTheme="majorHAnsi" w:hAnsiTheme="majorHAnsi" w:cstheme="majorHAnsi"/>
        </w:rPr>
        <w:t xml:space="preserve"> to</w:t>
      </w:r>
      <w:r w:rsidR="00A14E8E" w:rsidRPr="00770846">
        <w:rPr>
          <w:rFonts w:asciiTheme="majorHAnsi" w:hAnsiTheme="majorHAnsi" w:cstheme="majorHAnsi"/>
        </w:rPr>
        <w:t xml:space="preserve"> perform proper quality checks. The most critical step in this entire process is to evaluate the results of the automatic co</w:t>
      </w:r>
      <w:r w:rsidR="00C33D18" w:rsidRPr="00770846">
        <w:rPr>
          <w:rFonts w:asciiTheme="majorHAnsi" w:hAnsiTheme="majorHAnsi" w:cstheme="majorHAnsi"/>
        </w:rPr>
        <w:t>-</w:t>
      </w:r>
      <w:r w:rsidR="00A14E8E" w:rsidRPr="00770846">
        <w:rPr>
          <w:rFonts w:asciiTheme="majorHAnsi" w:hAnsiTheme="majorHAnsi" w:cstheme="majorHAnsi"/>
        </w:rPr>
        <w:t>registration of planning CT, MRI</w:t>
      </w:r>
      <w:r w:rsidR="00024CDA" w:rsidRPr="00770846">
        <w:rPr>
          <w:rFonts w:asciiTheme="majorHAnsi" w:hAnsiTheme="majorHAnsi" w:cstheme="majorHAnsi"/>
        </w:rPr>
        <w:t>,</w:t>
      </w:r>
      <w:r w:rsidR="00A14E8E" w:rsidRPr="00770846">
        <w:rPr>
          <w:rFonts w:asciiTheme="majorHAnsi" w:hAnsiTheme="majorHAnsi" w:cstheme="majorHAnsi"/>
        </w:rPr>
        <w:t xml:space="preserve"> and PET that should be as accurate as possible. The output of </w:t>
      </w:r>
      <w:r w:rsidR="00F4224E" w:rsidRPr="00770846">
        <w:rPr>
          <w:rFonts w:asciiTheme="majorHAnsi" w:hAnsiTheme="majorHAnsi" w:cstheme="majorHAnsi"/>
        </w:rPr>
        <w:t>the</w:t>
      </w:r>
      <w:r w:rsidR="00A14E8E" w:rsidRPr="00770846">
        <w:rPr>
          <w:rFonts w:asciiTheme="majorHAnsi" w:hAnsiTheme="majorHAnsi" w:cstheme="majorHAnsi"/>
        </w:rPr>
        <w:t xml:space="preserve"> algorithm </w:t>
      </w:r>
      <w:r w:rsidR="001B2ACA" w:rsidRPr="00770846">
        <w:rPr>
          <w:rFonts w:asciiTheme="majorHAnsi" w:hAnsiTheme="majorHAnsi" w:cstheme="majorHAnsi"/>
        </w:rPr>
        <w:t>consists of</w:t>
      </w:r>
      <w:r w:rsidR="009F5CCA" w:rsidRPr="00770846">
        <w:rPr>
          <w:rFonts w:asciiTheme="majorHAnsi" w:hAnsiTheme="majorHAnsi" w:cstheme="majorHAnsi"/>
        </w:rPr>
        <w:t xml:space="preserve"> the position</w:t>
      </w:r>
      <w:r w:rsidR="001B2ACA" w:rsidRPr="00770846">
        <w:rPr>
          <w:rFonts w:asciiTheme="majorHAnsi" w:hAnsiTheme="majorHAnsi" w:cstheme="majorHAnsi"/>
        </w:rPr>
        <w:t>s</w:t>
      </w:r>
      <w:r w:rsidR="009F5CCA" w:rsidRPr="00770846">
        <w:rPr>
          <w:rFonts w:asciiTheme="majorHAnsi" w:hAnsiTheme="majorHAnsi" w:cstheme="majorHAnsi"/>
        </w:rPr>
        <w:t xml:space="preserve"> of the target isocenters and the jaw dimensions of the </w:t>
      </w:r>
      <w:r w:rsidR="001B2ACA" w:rsidRPr="00770846">
        <w:rPr>
          <w:rFonts w:asciiTheme="majorHAnsi" w:hAnsiTheme="majorHAnsi" w:cstheme="majorHAnsi"/>
        </w:rPr>
        <w:t>MVC</w:t>
      </w:r>
      <w:r w:rsidR="009F5CCA" w:rsidRPr="00770846">
        <w:rPr>
          <w:rFonts w:asciiTheme="majorHAnsi" w:hAnsiTheme="majorHAnsi" w:cstheme="majorHAnsi"/>
        </w:rPr>
        <w:t xml:space="preserve"> for the different radiation beams. </w:t>
      </w:r>
      <w:r w:rsidR="001B2ACA" w:rsidRPr="00770846">
        <w:rPr>
          <w:rFonts w:asciiTheme="majorHAnsi" w:hAnsiTheme="majorHAnsi" w:cstheme="majorHAnsi"/>
        </w:rPr>
        <w:t>T</w:t>
      </w:r>
      <w:r w:rsidR="009F5CCA" w:rsidRPr="00770846">
        <w:rPr>
          <w:rFonts w:asciiTheme="majorHAnsi" w:hAnsiTheme="majorHAnsi" w:cstheme="majorHAnsi"/>
        </w:rPr>
        <w:t xml:space="preserve">hese values can be imported into the </w:t>
      </w:r>
      <w:r w:rsidR="001B2ACA" w:rsidRPr="00770846">
        <w:rPr>
          <w:rFonts w:asciiTheme="majorHAnsi" w:hAnsiTheme="majorHAnsi" w:cstheme="majorHAnsi"/>
        </w:rPr>
        <w:t xml:space="preserve">most recent version of the </w:t>
      </w:r>
      <w:r w:rsidR="009F5CCA" w:rsidRPr="00770846">
        <w:rPr>
          <w:rFonts w:asciiTheme="majorHAnsi" w:hAnsiTheme="majorHAnsi" w:cstheme="majorHAnsi"/>
        </w:rPr>
        <w:t xml:space="preserve">PCTPS. </w:t>
      </w:r>
    </w:p>
    <w:p w14:paraId="417862B2" w14:textId="426F27FF" w:rsidR="002B11A7" w:rsidRPr="00770846" w:rsidRDefault="002B11A7" w:rsidP="00770846">
      <w:pPr>
        <w:rPr>
          <w:rFonts w:asciiTheme="majorHAnsi" w:hAnsiTheme="majorHAnsi" w:cstheme="majorHAnsi"/>
        </w:rPr>
      </w:pPr>
    </w:p>
    <w:p w14:paraId="18AB501F" w14:textId="62DA7DD6" w:rsidR="00AF6026" w:rsidRPr="00770846" w:rsidRDefault="002B11A7" w:rsidP="00770846">
      <w:pPr>
        <w:rPr>
          <w:rFonts w:asciiTheme="majorHAnsi" w:hAnsiTheme="majorHAnsi" w:cstheme="majorHAnsi"/>
        </w:rPr>
      </w:pPr>
      <w:r w:rsidRPr="00770846">
        <w:rPr>
          <w:rFonts w:asciiTheme="majorHAnsi" w:hAnsiTheme="majorHAnsi" w:cstheme="majorHAnsi"/>
        </w:rPr>
        <w:t xml:space="preserve">This software tool was used to evaluate the accuracy and </w:t>
      </w:r>
      <w:r w:rsidR="00182A03" w:rsidRPr="00770846">
        <w:rPr>
          <w:rFonts w:asciiTheme="majorHAnsi" w:hAnsiTheme="majorHAnsi" w:cstheme="majorHAnsi"/>
        </w:rPr>
        <w:t>efficiency</w:t>
      </w:r>
      <w:r w:rsidR="006706A5" w:rsidRPr="00770846">
        <w:rPr>
          <w:rFonts w:asciiTheme="majorHAnsi" w:hAnsiTheme="majorHAnsi" w:cstheme="majorHAnsi"/>
        </w:rPr>
        <w:t xml:space="preserve"> of PET-based dose painting on the micro-irradiator by using an </w:t>
      </w:r>
      <w:proofErr w:type="gramStart"/>
      <w:r w:rsidR="006706A5" w:rsidRPr="00770846">
        <w:rPr>
          <w:rFonts w:asciiTheme="majorHAnsi" w:hAnsiTheme="majorHAnsi" w:cstheme="majorHAnsi"/>
          <w:i/>
          <w:iCs/>
        </w:rPr>
        <w:t>in silico</w:t>
      </w:r>
      <w:proofErr w:type="gramEnd"/>
      <w:r w:rsidR="006706A5" w:rsidRPr="00770846">
        <w:rPr>
          <w:rFonts w:asciiTheme="majorHAnsi" w:hAnsiTheme="majorHAnsi" w:cstheme="majorHAnsi"/>
        </w:rPr>
        <w:t xml:space="preserve"> study design. </w:t>
      </w:r>
      <w:r w:rsidR="004E0684" w:rsidRPr="00770846">
        <w:rPr>
          <w:rFonts w:asciiTheme="majorHAnsi" w:hAnsiTheme="majorHAnsi" w:cstheme="majorHAnsi"/>
        </w:rPr>
        <w:t xml:space="preserve">The </w:t>
      </w:r>
      <w:r w:rsidR="006706A5" w:rsidRPr="00770846">
        <w:rPr>
          <w:rFonts w:asciiTheme="majorHAnsi" w:hAnsiTheme="majorHAnsi" w:cstheme="majorHAnsi"/>
        </w:rPr>
        <w:t>optimized treatment</w:t>
      </w:r>
      <w:r w:rsidR="005558B8" w:rsidRPr="00770846">
        <w:rPr>
          <w:rFonts w:asciiTheme="majorHAnsi" w:hAnsiTheme="majorHAnsi" w:cstheme="majorHAnsi"/>
        </w:rPr>
        <w:t>-</w:t>
      </w:r>
      <w:r w:rsidR="006706A5" w:rsidRPr="00770846">
        <w:rPr>
          <w:rFonts w:asciiTheme="majorHAnsi" w:hAnsiTheme="majorHAnsi" w:cstheme="majorHAnsi"/>
        </w:rPr>
        <w:t xml:space="preserve">planning process </w:t>
      </w:r>
      <w:r w:rsidR="00075E92" w:rsidRPr="00770846">
        <w:rPr>
          <w:rFonts w:asciiTheme="majorHAnsi" w:hAnsiTheme="majorHAnsi" w:cstheme="majorHAnsi"/>
        </w:rPr>
        <w:t>was</w:t>
      </w:r>
      <w:r w:rsidR="006706A5" w:rsidRPr="00770846">
        <w:rPr>
          <w:rFonts w:asciiTheme="majorHAnsi" w:hAnsiTheme="majorHAnsi" w:cstheme="majorHAnsi"/>
        </w:rPr>
        <w:t xml:space="preserve"> superior to </w:t>
      </w:r>
      <w:r w:rsidR="004E0684" w:rsidRPr="00770846">
        <w:rPr>
          <w:rFonts w:asciiTheme="majorHAnsi" w:hAnsiTheme="majorHAnsi" w:cstheme="majorHAnsi"/>
        </w:rPr>
        <w:t>the</w:t>
      </w:r>
      <w:r w:rsidR="006706A5" w:rsidRPr="00770846">
        <w:rPr>
          <w:rFonts w:asciiTheme="majorHAnsi" w:hAnsiTheme="majorHAnsi" w:cstheme="majorHAnsi"/>
        </w:rPr>
        <w:t xml:space="preserve"> previously describe</w:t>
      </w:r>
      <w:r w:rsidR="00043453" w:rsidRPr="00770846">
        <w:rPr>
          <w:rFonts w:asciiTheme="majorHAnsi" w:hAnsiTheme="majorHAnsi" w:cstheme="majorHAnsi"/>
        </w:rPr>
        <w:t>d method</w:t>
      </w:r>
      <w:r w:rsidR="00043453"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{"citationItems":[{"id":"ITEM-1","itemData":{"DOI":"10.3791/56601","ISSN":"1940-087X","abstract":"© 2017, Journal of Visualized Experiments. All rights reserved. For decades, small animal radiation research was mostly performed using fairly crude experimental setups applying simple single-beam techniques without the ability to target a specific or well-delineated tumor volume. The delivery of radiation was achieved using fixed radiation sources or linear accelerators producing megavoltage (MV) X-rays. These devices are unable to achieve sub-millimeter precision required for small animals. Furthermore, the high doses delivered to healthy surrounding tissue hamper response assessment. To increase the translation between small animal studies and humans, our goal was to mimic the treatment of human glioblastoma in a rat model. To enable a more accurate irradiation in a preclinical setting, recently, precision image-guided small animal radiation research platforms were developed. Similar to human planning systems, treatment planning on these micro-irradiators is based on computed tomography (CT). However, low soft-tissue contrast on CT makes it very challenging to localize targets in certain tissues, such as the brain. Therefore, incorporating magnetic resonance imaging (MRI), which has excellent soft-tissue contrast compared to CT, would enable a more precise delineation of the target for irradiation. In the last decade also biological imaging techniques, such as positron emission tomography (PET) gained interest for radiation therapy treatment guidance. PET enables the visualization of e.g., glucose consumption, amino-acid transport, or hypoxia, present in the tumor. Targeting those highly proliferative or radio-resistant parts of the tumor with a higher dose could give a survival benefit. This hypothesis led to the introduction of the biological tumor volume (BTV), besides the conventional gross target volume (GTV), clinical target volume (CTV), and planned target volume (PTV). At the preclinical imaging lab of Ghent University, a micro-irradiator, a small animal PET, and a 7 T small animal MRI are available. The goal was to incorporate MRI-guided irradiation and PET-guided sub-volume boosting in a glioblastoma rat model.","author":[{"dropping-particle":"","family":"Bolcaen","given":"Julie","non-dropping-particle":"","parse-names":false,"suffix":""},{"dropping-particle":"","family":"Descamps","given":"Benedicte","non-dropping-particle":"","parse-names":false,"suffix":""},{"dropping-particle":"","family":"Boterberg","given":"Tom","non-dropping-particle":"","parse-names":false,"suffix":""},{"dropping-particle":"","family":"Vanhove","given":"Christian","non-dropping-particle":"","parse-names":false,"suffix":""},{"dropping-particle":"","family":"Goethals","given":"Ingeborg","non-dropping-particle":"","parse-names":false,"suffix":""}],"container-title":"Journal of Visualized Experiments","id":"ITEM-1","issue":"130","issued":{"date-parts":[["2017"]]},"page":"1-10","title":"PET and MRI Guided Irradiation of a Glioblastoma Rat Model Using a Micro-irradiator","type":"article-journal"},"uris":["http://www.mendeley.com/documents/?uuid=76745ea2-6d36-4fa7-9363-418bece7db83"]},{"id":"ITEM-2","itemData":{"DOI":"10.1186/s13014-019-1290-4","ISSN":"1748717X","abstract":"© 2019 The Author(s). Background: Glioblastoma (GB) is the most common primary malignant brain tumor. Standard medical treatment consists of a maximal safe surgical resection, subsequently radiation therapy (RT) and chemotherapy with temozolomide (TMZ). An accurate definition of the tumor volume is of utmost importance for guiding RT. In this project we investigated the feasibility and treatment response of subvolume boosting to a PET-defined tumor part. Method: F98 GB cells inoculated in the rat brain were imaged using T2- and contrast-enhanced T1-weighted (T1w) MRI. A dose of 20 Gy (5 × 5 mm2) was delivered to the target volume delineated based on T1w MRI for three treatment groups. Two of those treatment groups received an additional radiation boost of 5 Gy (1 × 1 mm2) delivered to the region either with maximum [18F]FET or [18F]FAZA PET tracer uptake, respectively. All therapy groups received intraperitoneal (IP) injections of TMZ. Finally, a control group received no RT and only control IP injections. The average, minimum and maximum dose, as well as the D90-, D50- and D2- values were calculated for nine rats using both RT plans. To evaluate response to therapy, follow-up tumor volumes were delineated based on T1w MRI. Results: When comparing the dose volume histograms, a significant difference was found exclusively between the D2-values. A significant difference in tumor growth was only found between active therapy and sham therapy respectively, while no significant differences were found when comparing the three treatment groups. Conclusion: In this study we showed the feasibility of PET guided subvolume boosting of F98 glioblastoma in rats. No evidence was found for a beneficial effect regarding tumor response. However, improvements for dose targeting in rodents and studies investigating new targeted drugs for GB treatment are mandatory.","author":[{"dropping-particle":"","family":"Verhoeven","given":"J.","non-dropping-particle":"","parse-names":false,"suffix":""},{"dropping-particle":"","family":"Bolcaen","given":"J.","non-dropping-particle":"","parse-names":false,"suffix":""},{"dropping-particle":"","family":"Meulenaere","given":"V.","non-dropping-particle":"De","parse-names":false,"suffix":""},{"dropping-particle":"","family":"Kersemans","given":"K.","non-dropping-particle":"","parse-names":false,"suffix":""},{"dropping-particle":"","family":"Descamps","given":"B.","non-dropping-particle":"","parse-names":false,"suffix":""},{"dropping-particle":"","family":"Donche","given":"S.","non-dropping-particle":"","parse-names":false,"suffix":""},{"dropping-particle":"","family":"Broecke","given":"C.","non-dropping-particle":"Van Den","parse-names":false,"suffix":""},{"dropping-particle":"","family":"Boterberg","given":"T.","non-dropping-particle":"","parse-names":false,"suffix":""},{"dropping-particle":"","family":"Kalala","given":"J.-P.","non-dropping-particle":"","parse-names":false,"suffix":""},{"dropping-particle":"","family":"Deblaere","given":"K.","non-dropping-particle":"","parse-names":false,"suffix":""},{"dropping-particle":"","family":"Vanhove","given":"C.","non-dropping-particle":"","parse-names":false,"suffix":""},{"dropping-particle":"","family":"Vos","given":"F.","non-dropping-particle":"De","parse-names":false,"suffix":""},{"dropping-particle":"","family":"Goethals","given":"I.","non-dropping-particle":"","parse-names":false,"suffix":""}],"container-title":"Radiation Oncology","id":"ITEM-2","issue":"1","issued":{"date-parts":[["2019"]]},"title":"Technical feasibility of [&lt;sup&gt;18&lt;/sup&gt;F]FET and [&lt;sup&gt;18&lt;/sup&gt;F]FAZA PET guided radiotherapy in a F98 glioblastoma rat model","type":"article-journal","volume":"14"},"uris":["http://www.mendeley.com/documents/?uuid=579295ad-8f4d-3f75-884e-ad23f2c9660b"]}],"mendeley":{"formattedCitation":"&lt;sup&gt;21,22&lt;/sup&gt;","plainTextFormattedCitation":"21,22","previouslyFormattedCitation":"&lt;sup&gt;21,22&lt;/sup&gt;"},"properties":{"noteIndex":0},"schema":"https://github.com/citation-style-language/schema/raw/master/csl-citation.json"}</w:instrText>
      </w:r>
      <w:r w:rsidR="00043453"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21,22</w:t>
      </w:r>
      <w:r w:rsidR="00043453" w:rsidRPr="00770846">
        <w:rPr>
          <w:rFonts w:asciiTheme="majorHAnsi" w:hAnsiTheme="majorHAnsi" w:cstheme="majorHAnsi"/>
        </w:rPr>
        <w:fldChar w:fldCharType="end"/>
      </w:r>
      <w:r w:rsidR="006D77B3" w:rsidRPr="00770846">
        <w:rPr>
          <w:rFonts w:asciiTheme="majorHAnsi" w:hAnsiTheme="majorHAnsi" w:cstheme="majorHAnsi"/>
        </w:rPr>
        <w:t xml:space="preserve"> in term</w:t>
      </w:r>
      <w:r w:rsidR="00075E92" w:rsidRPr="00770846">
        <w:rPr>
          <w:rFonts w:asciiTheme="majorHAnsi" w:hAnsiTheme="majorHAnsi" w:cstheme="majorHAnsi"/>
        </w:rPr>
        <w:t>s</w:t>
      </w:r>
      <w:r w:rsidR="006D77B3" w:rsidRPr="00770846">
        <w:rPr>
          <w:rFonts w:asciiTheme="majorHAnsi" w:hAnsiTheme="majorHAnsi" w:cstheme="majorHAnsi"/>
        </w:rPr>
        <w:t xml:space="preserve"> of time</w:t>
      </w:r>
      <w:r w:rsidR="00075E92" w:rsidRPr="00770846">
        <w:rPr>
          <w:rFonts w:asciiTheme="majorHAnsi" w:hAnsiTheme="majorHAnsi" w:cstheme="majorHAnsi"/>
        </w:rPr>
        <w:t xml:space="preserve"> </w:t>
      </w:r>
      <w:r w:rsidR="006D77B3" w:rsidRPr="00770846">
        <w:rPr>
          <w:rFonts w:asciiTheme="majorHAnsi" w:hAnsiTheme="majorHAnsi" w:cstheme="majorHAnsi"/>
        </w:rPr>
        <w:t xml:space="preserve">efficiency, intra- and inter-user variability, and accuracy. </w:t>
      </w:r>
      <w:r w:rsidR="00CB66F6" w:rsidRPr="00770846">
        <w:rPr>
          <w:rFonts w:asciiTheme="majorHAnsi" w:hAnsiTheme="majorHAnsi" w:cstheme="majorHAnsi"/>
        </w:rPr>
        <w:t xml:space="preserve">While conventional preclinical treatment planning, including </w:t>
      </w:r>
      <w:r w:rsidR="00476191" w:rsidRPr="00770846">
        <w:rPr>
          <w:rFonts w:asciiTheme="majorHAnsi" w:hAnsiTheme="majorHAnsi" w:cstheme="majorHAnsi"/>
        </w:rPr>
        <w:t xml:space="preserve">multimodal </w:t>
      </w:r>
      <w:r w:rsidR="00CB66F6" w:rsidRPr="00770846">
        <w:rPr>
          <w:rFonts w:asciiTheme="majorHAnsi" w:hAnsiTheme="majorHAnsi" w:cstheme="majorHAnsi"/>
        </w:rPr>
        <w:t>imaging, can require up to 180 min</w:t>
      </w:r>
      <w:r w:rsidR="00CB66F6" w:rsidRPr="00770846">
        <w:rPr>
          <w:rFonts w:asciiTheme="majorHAnsi" w:hAnsiTheme="majorHAnsi" w:cstheme="majorHAnsi"/>
        </w:rPr>
        <w:fldChar w:fldCharType="begin" w:fldLock="1"/>
      </w:r>
      <w:r w:rsidR="00CB66F6" w:rsidRPr="00770846">
        <w:rPr>
          <w:rFonts w:asciiTheme="majorHAnsi" w:hAnsiTheme="majorHAnsi" w:cstheme="majorHAnsi"/>
        </w:rPr>
        <w:instrText>ADDIN CSL_CITATION {"citationItems":[{"id":"ITEM-1","itemData":{"DOI":"10.1186/s13014-019-1290-4","ISSN":"1748717X","abstract":"© 2019 The Author(s). Background: Glioblastoma (GB) is the most common primary malignant brain tumor. Standard medical treatment consists of a maximal safe surgical resection, subsequently radiation therapy (RT) and chemotherapy with temozolomide (TMZ). An accurate definition of the tumor volume is of utmost importance for guiding RT. In this project we investigated the feasibility and treatment response of subvolume boosting to a PET-defined tumor part. Method: F98 GB cells inoculated in the rat brain were imaged using T2- and contrast-enhanced T1-weighted (T1w) MRI. A dose of 20 Gy (5 × 5 mm2) was delivered to the target volume delineated based on T1w MRI for three treatment groups. Two of those treatment groups received an additional radiation boost of 5 Gy (1 × 1 mm2) delivered to the region either with maximum [18F]FET or [18F]FAZA PET tracer uptake, respectively. All therapy groups received intraperitoneal (IP) injections of TMZ. Finally, a control group received no RT and only control IP injections. The average, minimum and maximum dose, as well as the D90-, D50- and D2- values were calculated for nine rats using both RT plans. To evaluate response to therapy, follow-up tumor volumes were delineated based on T1w MRI. Results: When comparing the dose volume histograms, a significant difference was found exclusively between the D2-values. A significant difference in tumor growth was only found between active therapy and sham therapy respectively, while no significant differences were found when comparing the three treatment groups. Conclusion: In this study we showed the feasibility of PET guided subvolume boosting of F98 glioblastoma in rats. No evidence was found for a beneficial effect regarding tumor response. However, improvements for dose targeting in rodents and studies investigating new targeted drugs for GB treatment are mandatory.","author":[{"dropping-particle":"","family":"Verhoeven","given":"J.","non-dropping-particle":"","parse-names":false,"suffix":""},{"dropping-particle":"","family":"Bolcaen","given":"J.","non-dropping-particle":"","parse-names":false,"suffix":""},{"dropping-particle":"","family":"Meulenaere","given":"V.","non-dropping-particle":"De","parse-names":false,"suffix":""},{"dropping-particle":"","family":"Kersemans","given":"K.","non-dropping-particle":"","parse-names":false,"suffix":""},{"dropping-particle":"","family":"Descamps","given":"B.","non-dropping-particle":"","parse-names":false,"suffix":""},{"dropping-particle":"","family":"Donche","given":"S.","non-dropping-particle":"","parse-names":false,"suffix":""},{"dropping-particle":"","family":"Broecke","given":"C.","non-dropping-particle":"Van Den","parse-names":false,"suffix":""},{"dropping-particle":"","family":"Boterberg","given":"T.","non-dropping-particle":"","parse-names":false,"suffix":""},{"dropping-particle":"","family":"Kalala","given":"J.-P.","non-dropping-particle":"","parse-names":false,"suffix":""},{"dropping-particle":"","family":"Deblaere","given":"K.","non-dropping-particle":"","parse-names":false,"suffix":""},{"dropping-particle":"","family":"Vanhove","given":"C.","non-dropping-particle":"","parse-names":false,"suffix":""},{"dropping-particle":"","family":"Vos","given":"F.","non-dropping-particle":"De","parse-names":false,"suffix":""},{"dropping-particle":"","family":"Goethals","given":"I.","non-dropping-particle":"","parse-names":false,"suffix":""}],"container-title":"Radiation Oncology","id":"ITEM-1","issue":"1","issued":{"date-parts":[["2019"]]},"title":"Technical feasibility of [&lt;sup&gt;18&lt;/sup&gt;F]FET and [&lt;sup&gt;18&lt;/sup&gt;F]FAZA PET guided radiotherapy in a F98 glioblastoma rat model","type":"article-journal","volume":"14"},"uris":["http://www.mendeley.com/documents/?uuid=579295ad-8f4d-3f75-884e-ad23f2c9660b"]}],"mendeley":{"formattedCitation":"&lt;sup&gt;22&lt;/sup&gt;","plainTextFormattedCitation":"22","previouslyFormattedCitation":"&lt;sup&gt;22&lt;/sup&gt;"},"properties":{"noteIndex":0},"schema":"https://github.com/citation-style-language/schema/raw/master/csl-citation.json"}</w:instrText>
      </w:r>
      <w:r w:rsidR="00CB66F6" w:rsidRPr="00770846">
        <w:rPr>
          <w:rFonts w:asciiTheme="majorHAnsi" w:hAnsiTheme="majorHAnsi" w:cstheme="majorHAnsi"/>
        </w:rPr>
        <w:fldChar w:fldCharType="separate"/>
      </w:r>
      <w:r w:rsidR="00CB66F6" w:rsidRPr="00770846">
        <w:rPr>
          <w:rFonts w:asciiTheme="majorHAnsi" w:hAnsiTheme="majorHAnsi" w:cstheme="majorHAnsi"/>
          <w:noProof/>
          <w:vertAlign w:val="superscript"/>
        </w:rPr>
        <w:t>22</w:t>
      </w:r>
      <w:r w:rsidR="00CB66F6" w:rsidRPr="00770846">
        <w:rPr>
          <w:rFonts w:asciiTheme="majorHAnsi" w:hAnsiTheme="majorHAnsi" w:cstheme="majorHAnsi"/>
        </w:rPr>
        <w:fldChar w:fldCharType="end"/>
      </w:r>
      <w:r w:rsidR="00CB66F6" w:rsidRPr="00770846">
        <w:rPr>
          <w:rFonts w:asciiTheme="majorHAnsi" w:hAnsiTheme="majorHAnsi" w:cstheme="majorHAnsi"/>
        </w:rPr>
        <w:t xml:space="preserve">, this time could be reduced to </w:t>
      </w:r>
      <w:r w:rsidR="00075E92" w:rsidRPr="00770846">
        <w:rPr>
          <w:rFonts w:asciiTheme="majorHAnsi" w:hAnsiTheme="majorHAnsi" w:cstheme="majorHAnsi"/>
        </w:rPr>
        <w:t>~</w:t>
      </w:r>
      <w:r w:rsidR="00CB66F6" w:rsidRPr="00770846">
        <w:rPr>
          <w:rFonts w:asciiTheme="majorHAnsi" w:hAnsiTheme="majorHAnsi" w:cstheme="majorHAnsi"/>
        </w:rPr>
        <w:t xml:space="preserve">80 min with both </w:t>
      </w:r>
      <w:r w:rsidR="00075E92" w:rsidRPr="00770846">
        <w:rPr>
          <w:rFonts w:asciiTheme="majorHAnsi" w:hAnsiTheme="majorHAnsi" w:cstheme="majorHAnsi"/>
        </w:rPr>
        <w:t xml:space="preserve">the </w:t>
      </w:r>
      <w:r w:rsidR="00CB66F6" w:rsidRPr="00770846">
        <w:rPr>
          <w:rFonts w:asciiTheme="majorHAnsi" w:hAnsiTheme="majorHAnsi" w:cstheme="majorHAnsi"/>
        </w:rPr>
        <w:t xml:space="preserve">semi-automatic methods presented in this manuscript. </w:t>
      </w:r>
      <w:r w:rsidR="008D101D" w:rsidRPr="00770846">
        <w:rPr>
          <w:rFonts w:asciiTheme="majorHAnsi" w:hAnsiTheme="majorHAnsi" w:cstheme="majorHAnsi"/>
        </w:rPr>
        <w:t xml:space="preserve">Moreover, human errors are more </w:t>
      </w:r>
      <w:r w:rsidR="00075E92" w:rsidRPr="00770846">
        <w:rPr>
          <w:rFonts w:asciiTheme="majorHAnsi" w:hAnsiTheme="majorHAnsi" w:cstheme="majorHAnsi"/>
        </w:rPr>
        <w:t>likely</w:t>
      </w:r>
      <w:r w:rsidR="008D101D" w:rsidRPr="00770846">
        <w:rPr>
          <w:rFonts w:asciiTheme="majorHAnsi" w:hAnsiTheme="majorHAnsi" w:cstheme="majorHAnsi"/>
        </w:rPr>
        <w:t xml:space="preserve"> in the conventional treatment</w:t>
      </w:r>
      <w:r w:rsidR="005558B8" w:rsidRPr="00770846">
        <w:rPr>
          <w:rFonts w:asciiTheme="majorHAnsi" w:hAnsiTheme="majorHAnsi" w:cstheme="majorHAnsi"/>
        </w:rPr>
        <w:t>-</w:t>
      </w:r>
      <w:r w:rsidR="008D101D" w:rsidRPr="00770846">
        <w:rPr>
          <w:rFonts w:asciiTheme="majorHAnsi" w:hAnsiTheme="majorHAnsi" w:cstheme="majorHAnsi"/>
        </w:rPr>
        <w:t>planning process during manual co</w:t>
      </w:r>
      <w:r w:rsidR="00C33D18" w:rsidRPr="00770846">
        <w:rPr>
          <w:rFonts w:asciiTheme="majorHAnsi" w:hAnsiTheme="majorHAnsi" w:cstheme="majorHAnsi"/>
        </w:rPr>
        <w:t>-</w:t>
      </w:r>
      <w:r w:rsidR="008D101D" w:rsidRPr="00770846">
        <w:rPr>
          <w:rFonts w:asciiTheme="majorHAnsi" w:hAnsiTheme="majorHAnsi" w:cstheme="majorHAnsi"/>
        </w:rPr>
        <w:t xml:space="preserve">registration and visual determination of the isocenters, resulting in </w:t>
      </w:r>
      <w:r w:rsidR="00106A97" w:rsidRPr="00770846">
        <w:rPr>
          <w:rFonts w:asciiTheme="majorHAnsi" w:hAnsiTheme="majorHAnsi" w:cstheme="majorHAnsi"/>
        </w:rPr>
        <w:t>larger intra- and inter-user variability. The automatic co</w:t>
      </w:r>
      <w:r w:rsidR="00C33D18" w:rsidRPr="00770846">
        <w:rPr>
          <w:rFonts w:asciiTheme="majorHAnsi" w:hAnsiTheme="majorHAnsi" w:cstheme="majorHAnsi"/>
        </w:rPr>
        <w:t>-</w:t>
      </w:r>
      <w:r w:rsidR="00106A97" w:rsidRPr="00770846">
        <w:rPr>
          <w:rFonts w:asciiTheme="majorHAnsi" w:hAnsiTheme="majorHAnsi" w:cstheme="majorHAnsi"/>
        </w:rPr>
        <w:t xml:space="preserve">registration and </w:t>
      </w:r>
      <w:r w:rsidR="00AE02D6" w:rsidRPr="00770846">
        <w:rPr>
          <w:rFonts w:asciiTheme="majorHAnsi" w:hAnsiTheme="majorHAnsi" w:cstheme="majorHAnsi"/>
        </w:rPr>
        <w:t xml:space="preserve">detection of the target isocenters by </w:t>
      </w:r>
      <w:r w:rsidR="004E0684" w:rsidRPr="00770846">
        <w:rPr>
          <w:rFonts w:asciiTheme="majorHAnsi" w:hAnsiTheme="majorHAnsi" w:cstheme="majorHAnsi"/>
        </w:rPr>
        <w:t>the</w:t>
      </w:r>
      <w:r w:rsidR="00AE02D6" w:rsidRPr="00770846">
        <w:rPr>
          <w:rFonts w:asciiTheme="majorHAnsi" w:hAnsiTheme="majorHAnsi" w:cstheme="majorHAnsi"/>
        </w:rPr>
        <w:t xml:space="preserve"> algorithm will reduce these intra- and inter-user variabilities. In addition, </w:t>
      </w:r>
      <w:r w:rsidR="004E0684" w:rsidRPr="00770846">
        <w:rPr>
          <w:rFonts w:asciiTheme="majorHAnsi" w:hAnsiTheme="majorHAnsi" w:cstheme="majorHAnsi"/>
        </w:rPr>
        <w:t>the</w:t>
      </w:r>
      <w:r w:rsidR="00AE02D6" w:rsidRPr="00770846">
        <w:rPr>
          <w:rFonts w:asciiTheme="majorHAnsi" w:hAnsiTheme="majorHAnsi" w:cstheme="majorHAnsi"/>
        </w:rPr>
        <w:t xml:space="preserve"> optimized and automated workflow provides more accurate irradiation of the tumor volume. This </w:t>
      </w:r>
      <w:r w:rsidR="00791911" w:rsidRPr="00770846">
        <w:rPr>
          <w:rFonts w:asciiTheme="majorHAnsi" w:hAnsiTheme="majorHAnsi" w:cstheme="majorHAnsi"/>
        </w:rPr>
        <w:t>is</w:t>
      </w:r>
      <w:r w:rsidR="00AE02D6" w:rsidRPr="00770846">
        <w:rPr>
          <w:rFonts w:asciiTheme="majorHAnsi" w:hAnsiTheme="majorHAnsi" w:cstheme="majorHAnsi"/>
        </w:rPr>
        <w:t xml:space="preserve"> illustrated by the lower Q-factors (</w:t>
      </w:r>
      <w:r w:rsidR="00AE02D6" w:rsidRPr="00770846">
        <w:rPr>
          <w:rFonts w:asciiTheme="majorHAnsi" w:hAnsiTheme="majorHAnsi" w:cstheme="majorHAnsi"/>
          <w:b/>
          <w:bCs/>
        </w:rPr>
        <w:t>Table 4</w:t>
      </w:r>
      <w:r w:rsidR="00AE02D6" w:rsidRPr="00770846">
        <w:rPr>
          <w:rFonts w:asciiTheme="majorHAnsi" w:hAnsiTheme="majorHAnsi" w:cstheme="majorHAnsi"/>
        </w:rPr>
        <w:t>), which assesses the difference between the dose calculated</w:t>
      </w:r>
      <w:r w:rsidR="00A16379" w:rsidRPr="00770846">
        <w:rPr>
          <w:rFonts w:asciiTheme="majorHAnsi" w:hAnsiTheme="majorHAnsi" w:cstheme="majorHAnsi"/>
        </w:rPr>
        <w:t>/delivered by the PCTPS</w:t>
      </w:r>
      <w:r w:rsidR="00D97B81" w:rsidRPr="00770846">
        <w:rPr>
          <w:rFonts w:asciiTheme="majorHAnsi" w:hAnsiTheme="majorHAnsi" w:cstheme="majorHAnsi"/>
        </w:rPr>
        <w:t xml:space="preserve"> and the prescribed dose. </w:t>
      </w:r>
    </w:p>
    <w:p w14:paraId="194717F9" w14:textId="77777777" w:rsidR="00AF6026" w:rsidRPr="00770846" w:rsidRDefault="00AF6026" w:rsidP="00770846">
      <w:pPr>
        <w:rPr>
          <w:rFonts w:asciiTheme="majorHAnsi" w:hAnsiTheme="majorHAnsi" w:cstheme="majorHAnsi"/>
        </w:rPr>
      </w:pPr>
    </w:p>
    <w:p w14:paraId="3607BF2B" w14:textId="26A2CC4A" w:rsidR="00BA2A65" w:rsidRPr="00770846" w:rsidRDefault="00D97B81" w:rsidP="00770846">
      <w:pPr>
        <w:rPr>
          <w:rFonts w:asciiTheme="majorHAnsi" w:hAnsiTheme="majorHAnsi" w:cstheme="majorHAnsi"/>
        </w:rPr>
      </w:pPr>
      <w:r w:rsidRPr="00770846">
        <w:rPr>
          <w:rFonts w:asciiTheme="majorHAnsi" w:hAnsiTheme="majorHAnsi" w:cstheme="majorHAnsi"/>
        </w:rPr>
        <w:t>It is also noteworthy that the use of a</w:t>
      </w:r>
      <w:r w:rsidR="006F5F0D" w:rsidRPr="00770846">
        <w:rPr>
          <w:rFonts w:asciiTheme="majorHAnsi" w:hAnsiTheme="majorHAnsi" w:cstheme="majorHAnsi"/>
        </w:rPr>
        <w:t xml:space="preserve">n </w:t>
      </w:r>
      <w:r w:rsidRPr="00770846">
        <w:rPr>
          <w:rFonts w:asciiTheme="majorHAnsi" w:hAnsiTheme="majorHAnsi" w:cstheme="majorHAnsi"/>
        </w:rPr>
        <w:t>MVC</w:t>
      </w:r>
      <w:r w:rsidR="006F5F0D" w:rsidRPr="00770846">
        <w:rPr>
          <w:rFonts w:asciiTheme="majorHAnsi" w:hAnsiTheme="majorHAnsi" w:cstheme="majorHAnsi"/>
        </w:rPr>
        <w:t xml:space="preserve"> </w:t>
      </w:r>
      <w:r w:rsidRPr="00770846">
        <w:rPr>
          <w:rFonts w:asciiTheme="majorHAnsi" w:hAnsiTheme="majorHAnsi" w:cstheme="majorHAnsi"/>
        </w:rPr>
        <w:t xml:space="preserve">results in a reduced dose to the surrounding normal brain tissue, compared to collimators with a fixed beam size. This is illustrated in </w:t>
      </w:r>
      <w:r w:rsidRPr="00770846">
        <w:rPr>
          <w:rFonts w:asciiTheme="majorHAnsi" w:hAnsiTheme="majorHAnsi" w:cstheme="majorHAnsi"/>
          <w:b/>
          <w:bCs/>
        </w:rPr>
        <w:t>Figure 7</w:t>
      </w:r>
      <w:r w:rsidRPr="00770846">
        <w:rPr>
          <w:rFonts w:asciiTheme="majorHAnsi" w:hAnsiTheme="majorHAnsi" w:cstheme="majorHAnsi"/>
        </w:rPr>
        <w:t xml:space="preserve"> and is important to narrow the gap between clinical</w:t>
      </w:r>
      <w:r w:rsidR="004D40E1" w:rsidRPr="00770846">
        <w:rPr>
          <w:rFonts w:asciiTheme="majorHAnsi" w:hAnsiTheme="majorHAnsi" w:cstheme="majorHAnsi"/>
        </w:rPr>
        <w:t xml:space="preserve"> trials evaluating DPBN RT strategy (where multi-leaf</w:t>
      </w:r>
      <w:r w:rsidR="002164DE" w:rsidRPr="00770846">
        <w:rPr>
          <w:rFonts w:asciiTheme="majorHAnsi" w:hAnsiTheme="majorHAnsi" w:cstheme="majorHAnsi"/>
        </w:rPr>
        <w:t xml:space="preserve"> collimators are used) and laboratory animal radiation research.</w:t>
      </w:r>
      <w:r w:rsidR="00563F40" w:rsidRPr="00770846">
        <w:rPr>
          <w:rFonts w:asciiTheme="majorHAnsi" w:hAnsiTheme="majorHAnsi" w:cstheme="majorHAnsi"/>
        </w:rPr>
        <w:t xml:space="preserve"> </w:t>
      </w:r>
      <w:r w:rsidR="00CB66F6" w:rsidRPr="00770846">
        <w:rPr>
          <w:rFonts w:asciiTheme="majorHAnsi" w:hAnsiTheme="majorHAnsi" w:cstheme="majorHAnsi"/>
        </w:rPr>
        <w:t>However, we assume that dose delivery might be slightly slower when using a</w:t>
      </w:r>
      <w:r w:rsidR="006F5F0D" w:rsidRPr="00770846">
        <w:rPr>
          <w:rFonts w:asciiTheme="majorHAnsi" w:hAnsiTheme="majorHAnsi" w:cstheme="majorHAnsi"/>
        </w:rPr>
        <w:t>n MVC</w:t>
      </w:r>
      <w:r w:rsidR="00CB66F6" w:rsidRPr="00770846">
        <w:rPr>
          <w:rFonts w:asciiTheme="majorHAnsi" w:hAnsiTheme="majorHAnsi" w:cstheme="majorHAnsi"/>
        </w:rPr>
        <w:t xml:space="preserve"> to switch between beam positions and adjust the jaw dimensions for each individual beam. </w:t>
      </w:r>
      <w:r w:rsidR="002164DE" w:rsidRPr="00770846">
        <w:rPr>
          <w:rFonts w:asciiTheme="majorHAnsi" w:hAnsiTheme="majorHAnsi" w:cstheme="majorHAnsi"/>
        </w:rPr>
        <w:t>Finally, preclinical treatment planning is most often done by forward planning. The meth</w:t>
      </w:r>
      <w:r w:rsidR="00DA47CA" w:rsidRPr="00770846">
        <w:rPr>
          <w:rFonts w:asciiTheme="majorHAnsi" w:hAnsiTheme="majorHAnsi" w:cstheme="majorHAnsi"/>
        </w:rPr>
        <w:t>odology described in this paper is a</w:t>
      </w:r>
      <w:r w:rsidR="004168EF" w:rsidRPr="00770846">
        <w:rPr>
          <w:rFonts w:asciiTheme="majorHAnsi" w:hAnsiTheme="majorHAnsi" w:cstheme="majorHAnsi"/>
        </w:rPr>
        <w:t xml:space="preserve"> crucial</w:t>
      </w:r>
      <w:r w:rsidR="00DA47CA" w:rsidRPr="00770846">
        <w:rPr>
          <w:rFonts w:asciiTheme="majorHAnsi" w:hAnsiTheme="majorHAnsi" w:cstheme="majorHAnsi"/>
        </w:rPr>
        <w:t xml:space="preserve"> step towards inverse planning, which is generally used in the clinic, and further narrow</w:t>
      </w:r>
      <w:r w:rsidR="00F3523F" w:rsidRPr="00770846">
        <w:rPr>
          <w:rFonts w:asciiTheme="majorHAnsi" w:hAnsiTheme="majorHAnsi" w:cstheme="majorHAnsi"/>
        </w:rPr>
        <w:t xml:space="preserve">s the gap between preclinical radiation research and the clinic. </w:t>
      </w:r>
      <w:r w:rsidR="004E0684" w:rsidRPr="00770846">
        <w:rPr>
          <w:rFonts w:asciiTheme="majorHAnsi" w:hAnsiTheme="majorHAnsi" w:cstheme="majorHAnsi"/>
        </w:rPr>
        <w:t xml:space="preserve"> </w:t>
      </w:r>
    </w:p>
    <w:p w14:paraId="2A3AB671" w14:textId="77777777" w:rsidR="00BA2A65" w:rsidRPr="00770846" w:rsidRDefault="00BA2A65" w:rsidP="00770846">
      <w:pPr>
        <w:rPr>
          <w:rFonts w:asciiTheme="majorHAnsi" w:hAnsiTheme="majorHAnsi" w:cstheme="majorHAnsi"/>
        </w:rPr>
      </w:pPr>
    </w:p>
    <w:p w14:paraId="4A75F418" w14:textId="042452F1" w:rsidR="00F3523F" w:rsidRPr="00770846" w:rsidRDefault="00BA2A65" w:rsidP="00770846">
      <w:pPr>
        <w:rPr>
          <w:rFonts w:asciiTheme="majorHAnsi" w:hAnsiTheme="majorHAnsi" w:cstheme="majorHAnsi"/>
        </w:rPr>
      </w:pPr>
      <w:r w:rsidRPr="00770846">
        <w:rPr>
          <w:rFonts w:asciiTheme="majorHAnsi" w:hAnsiTheme="majorHAnsi" w:cstheme="majorHAnsi"/>
        </w:rPr>
        <w:t>This study also has some limitations</w:t>
      </w:r>
      <w:r w:rsidR="000E3142" w:rsidRPr="00770846">
        <w:rPr>
          <w:rFonts w:asciiTheme="majorHAnsi" w:hAnsiTheme="majorHAnsi" w:cstheme="majorHAnsi"/>
        </w:rPr>
        <w:t>. For the experiments described in this manuscript, the most commonly used amino acid PET tracer [</w:t>
      </w:r>
      <w:r w:rsidR="000E3142" w:rsidRPr="00770846">
        <w:rPr>
          <w:rFonts w:asciiTheme="majorHAnsi" w:hAnsiTheme="majorHAnsi" w:cstheme="majorHAnsi"/>
          <w:vertAlign w:val="superscript"/>
        </w:rPr>
        <w:t>18</w:t>
      </w:r>
      <w:proofErr w:type="gramStart"/>
      <w:r w:rsidR="000E3142" w:rsidRPr="00770846">
        <w:rPr>
          <w:rFonts w:asciiTheme="majorHAnsi" w:hAnsiTheme="majorHAnsi" w:cstheme="majorHAnsi"/>
        </w:rPr>
        <w:t>F]FET</w:t>
      </w:r>
      <w:proofErr w:type="gramEnd"/>
      <w:r w:rsidR="000E3142" w:rsidRPr="00770846">
        <w:rPr>
          <w:rFonts w:asciiTheme="majorHAnsi" w:hAnsiTheme="majorHAnsi" w:cstheme="majorHAnsi"/>
        </w:rPr>
        <w:t xml:space="preserve"> was used. When using other PET tracers to guide radiation treatment, the semi-automatic workflow should be properly examined because co</w:t>
      </w:r>
      <w:r w:rsidR="00C33D18" w:rsidRPr="00770846">
        <w:rPr>
          <w:rFonts w:asciiTheme="majorHAnsi" w:hAnsiTheme="majorHAnsi" w:cstheme="majorHAnsi"/>
        </w:rPr>
        <w:t>-</w:t>
      </w:r>
      <w:r w:rsidR="000E3142" w:rsidRPr="00770846">
        <w:rPr>
          <w:rFonts w:asciiTheme="majorHAnsi" w:hAnsiTheme="majorHAnsi" w:cstheme="majorHAnsi"/>
        </w:rPr>
        <w:t>registration might be less accurate.</w:t>
      </w:r>
      <w:r w:rsidR="004E0684" w:rsidRPr="00770846">
        <w:rPr>
          <w:rFonts w:asciiTheme="majorHAnsi" w:hAnsiTheme="majorHAnsi" w:cstheme="majorHAnsi"/>
        </w:rPr>
        <w:t xml:space="preserve"> </w:t>
      </w:r>
      <w:r w:rsidR="004D252A" w:rsidRPr="00770846">
        <w:rPr>
          <w:rFonts w:asciiTheme="majorHAnsi" w:hAnsiTheme="majorHAnsi" w:cstheme="majorHAnsi"/>
        </w:rPr>
        <w:t>Further</w:t>
      </w:r>
      <w:r w:rsidR="000E3142" w:rsidRPr="00770846">
        <w:rPr>
          <w:rFonts w:asciiTheme="majorHAnsi" w:hAnsiTheme="majorHAnsi" w:cstheme="majorHAnsi"/>
        </w:rPr>
        <w:t xml:space="preserve">, </w:t>
      </w:r>
      <w:r w:rsidR="004E0684" w:rsidRPr="00770846">
        <w:rPr>
          <w:rFonts w:asciiTheme="majorHAnsi" w:hAnsiTheme="majorHAnsi" w:cstheme="majorHAnsi"/>
        </w:rPr>
        <w:t>the impact of</w:t>
      </w:r>
      <w:r w:rsidR="000E3142" w:rsidRPr="00770846">
        <w:rPr>
          <w:rFonts w:asciiTheme="majorHAnsi" w:hAnsiTheme="majorHAnsi" w:cstheme="majorHAnsi"/>
        </w:rPr>
        <w:t xml:space="preserve"> using a different voxel size</w:t>
      </w:r>
      <w:r w:rsidR="004E0684" w:rsidRPr="00770846">
        <w:rPr>
          <w:rFonts w:asciiTheme="majorHAnsi" w:hAnsiTheme="majorHAnsi" w:cstheme="majorHAnsi"/>
        </w:rPr>
        <w:t xml:space="preserve"> </w:t>
      </w:r>
      <w:r w:rsidRPr="00770846">
        <w:rPr>
          <w:rFonts w:asciiTheme="majorHAnsi" w:hAnsiTheme="majorHAnsi" w:cstheme="majorHAnsi"/>
        </w:rPr>
        <w:t>for PET and/or MRI on treatment planning and dose delivery should be further investigated</w:t>
      </w:r>
      <w:r w:rsidR="004E0684" w:rsidRPr="00770846">
        <w:rPr>
          <w:rFonts w:asciiTheme="majorHAnsi" w:hAnsiTheme="majorHAnsi" w:cstheme="majorHAnsi"/>
        </w:rPr>
        <w:t>.</w:t>
      </w:r>
      <w:r w:rsidR="00586372" w:rsidRPr="00770846">
        <w:rPr>
          <w:rFonts w:asciiTheme="majorHAnsi" w:hAnsiTheme="majorHAnsi" w:cstheme="majorHAnsi"/>
        </w:rPr>
        <w:t xml:space="preserve"> </w:t>
      </w:r>
      <w:r w:rsidR="00F3523F" w:rsidRPr="00770846">
        <w:rPr>
          <w:rFonts w:asciiTheme="majorHAnsi" w:hAnsiTheme="majorHAnsi" w:cstheme="majorHAnsi"/>
        </w:rPr>
        <w:t xml:space="preserve">In conclusion, the methodology </w:t>
      </w:r>
      <w:r w:rsidR="004D252A" w:rsidRPr="00770846">
        <w:rPr>
          <w:rFonts w:asciiTheme="majorHAnsi" w:hAnsiTheme="majorHAnsi" w:cstheme="majorHAnsi"/>
        </w:rPr>
        <w:t xml:space="preserve">described here </w:t>
      </w:r>
      <w:r w:rsidR="00794335" w:rsidRPr="00770846">
        <w:rPr>
          <w:rFonts w:asciiTheme="majorHAnsi" w:hAnsiTheme="majorHAnsi" w:cstheme="majorHAnsi"/>
        </w:rPr>
        <w:t>to optimize the preclinical treatment</w:t>
      </w:r>
      <w:r w:rsidR="005558B8" w:rsidRPr="00770846">
        <w:rPr>
          <w:rFonts w:asciiTheme="majorHAnsi" w:hAnsiTheme="majorHAnsi" w:cstheme="majorHAnsi"/>
        </w:rPr>
        <w:t>-</w:t>
      </w:r>
      <w:r w:rsidR="00794335" w:rsidRPr="00770846">
        <w:rPr>
          <w:rFonts w:asciiTheme="majorHAnsi" w:hAnsiTheme="majorHAnsi" w:cstheme="majorHAnsi"/>
        </w:rPr>
        <w:t xml:space="preserve">planning process </w:t>
      </w:r>
      <w:r w:rsidR="00D45E46" w:rsidRPr="00770846">
        <w:rPr>
          <w:rFonts w:asciiTheme="majorHAnsi" w:hAnsiTheme="majorHAnsi" w:cstheme="majorHAnsi"/>
        </w:rPr>
        <w:t xml:space="preserve">has many advantages compared to </w:t>
      </w:r>
      <w:r w:rsidR="00F4224E" w:rsidRPr="00770846">
        <w:rPr>
          <w:rFonts w:asciiTheme="majorHAnsi" w:hAnsiTheme="majorHAnsi" w:cstheme="majorHAnsi"/>
        </w:rPr>
        <w:t>the</w:t>
      </w:r>
      <w:r w:rsidR="00D45E46" w:rsidRPr="00770846">
        <w:rPr>
          <w:rFonts w:asciiTheme="majorHAnsi" w:hAnsiTheme="majorHAnsi" w:cstheme="majorHAnsi"/>
        </w:rPr>
        <w:t xml:space="preserve"> previously described method</w:t>
      </w:r>
      <w:r w:rsidR="00D45E46"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{"citationItems":[{"id":"ITEM-1","itemData":{"DOI":"10.3791/56601","ISSN":"1940-087X","abstract":"© 2017, Journal of Visualized Experiments. All rights reserved. For decades, small animal radiation research was mostly performed using fairly crude experimental setups applying simple single-beam techniques without the ability to target a specific or well-delineated tumor volume. The delivery of radiation was achieved using fixed radiation sources or linear accelerators producing megavoltage (MV) X-rays. These devices are unable to achieve sub-millimeter precision required for small animals. Furthermore, the high doses delivered to healthy surrounding tissue hamper response assessment. To increase the translation between small animal studies and humans, our goal was to mimic the treatment of human glioblastoma in a rat model. To enable a more accurate irradiation in a preclinical setting, recently, precision image-guided small animal radiation research platforms were developed. Similar to human planning systems, treatment planning on these micro-irradiators is based on computed tomography (CT). However, low soft-tissue contrast on CT makes it very challenging to localize targets in certain tissues, such as the brain. Therefore, incorporating magnetic resonance imaging (MRI), which has excellent soft-tissue contrast compared to CT, would enable a more precise delineation of the target for irradiation. In the last decade also biological imaging techniques, such as positron emission tomography (PET) gained interest for radiation therapy treatment guidance. PET enables the visualization of e.g., glucose consumption, amino-acid transport, or hypoxia, present in the tumor. Targeting those highly proliferative or radio-resistant parts of the tumor with a higher dose could give a survival benefit. This hypothesis led to the introduction of the biological tumor volume (BTV), besides the conventional gross target volume (GTV), clinical target volume (CTV), and planned target volume (PTV). At the preclinical imaging lab of Ghent University, a micro-irradiator, a small animal PET, and a 7 T small animal MRI are available. The goal was to incorporate MRI-guided irradiation and PET-guided sub-volume boosting in a glioblastoma rat model.","author":[{"dropping-particle":"","family":"Bolcaen","given":"Julie","non-dropping-particle":"","parse-names":false,"suffix":""},{"dropping-particle":"","family":"Descamps","given":"Benedicte","non-dropping-particle":"","parse-names":false,"suffix":""},{"dropping-particle":"","family":"Boterberg","given":"Tom","non-dropping-particle":"","parse-names":false,"suffix":""},{"dropping-particle":"","family":"Vanhove","given":"Christian","non-dropping-particle":"","parse-names":false,"suffix":""},{"dropping-particle":"","family":"Goethals","given":"Ingeborg","non-dropping-particle":"","parse-names":false,"suffix":""}],"container-title":"Journal of Visualized Experiments","id":"ITEM-1","issue":"130","issued":{"date-parts":[["2017"]]},"page":"1-10","title":"PET and MRI Guided Irradiation of a Glioblastoma Rat Model Using a Micro-irradiator","type":"article-journal"},"uris":["http://www.mendeley.com/documents/?uuid=76745ea2-6d36-4fa7-9363-418bece7db83"]},{"id":"ITEM-2","itemData":{"DOI":"10.1186/s13014-019-1290-4","ISSN":"1748717X","abstract":"© 2019 The Author(s). Background: Glioblastoma (GB) is the most common primary malignant brain tumor. Standard medical treatment consists of a maximal safe surgical resection, subsequently radiation therapy (RT) and chemotherapy with temozolomide (TMZ). An accurate definition of the tumor volume is of utmost importance for guiding RT. In this project we investigated the feasibility and treatment response of subvolume boosting to a PET-defined tumor part. Method: F98 GB cells inoculated in the rat brain were imaged using T2- and contrast-enhanced T1-weighted (T1w) MRI. A dose of 20 Gy (5 × 5 mm2) was delivered to the target volume delineated based on T1w MRI for three treatment groups. Two of those treatment groups received an additional radiation boost of 5 Gy (1 × 1 mm2) delivered to the region either with maximum [18F]FET or [18F]FAZA PET tracer uptake, respectively. All therapy groups received intraperitoneal (IP) injections of TMZ. Finally, a control group received no RT and only control IP injections. The average, minimum and maximum dose, as well as the D90-, D50- and D2- values were calculated for nine rats using both RT plans. To evaluate response to therapy, follow-up tumor volumes were delineated based on T1w MRI. Results: When comparing the dose volume histograms, a significant difference was found exclusively between the D2-values. A significant difference in tumor growth was only found between active therapy and sham therapy respectively, while no significant differences were found when comparing the three treatment groups. Conclusion: In this study we showed the feasibility of PET guided subvolume boosting of F98 glioblastoma in rats. No evidence was found for a beneficial effect regarding tumor response. However, improvements for dose targeting in rodents and studies investigating new targeted drugs for GB treatment are mandatory.","author":[{"dropping-particle":"","family":"Verhoeven","given":"J.","non-dropping-particle":"","parse-names":false,"suffix":""},{"dropping-particle":"","family":"Bolcaen","given":"J.","non-dropping-particle":"","parse-names":false,"suffix":""},{"dropping-particle":"","family":"Meulenaere","given":"V.","non-dropping-particle":"De","parse-names":false,"suffix":""},{"dropping-particle":"","family":"Kersemans","given":"K.","non-dropping-particle":"","parse-names":false,"suffix":""},{"dropping-particle":"","family":"Descamps","given":"B.","non-dropping-particle":"","parse-names":false,"suffix":""},{"dropping-particle":"","family":"Donche","given":"S.","non-dropping-particle":"","parse-names":false,"suffix":""},{"dropping-particle":"","family":"Broecke","given":"C.","non-dropping-particle":"Van Den","parse-names":false,"suffix":""},{"dropping-particle":"","family":"Boterberg","given":"T.","non-dropping-particle":"","parse-names":false,"suffix":""},{"dropping-particle":"","family":"Kalala","given":"J.-P.","non-dropping-particle":"","parse-names":false,"suffix":""},{"dropping-particle":"","family":"Deblaere","given":"K.","non-dropping-particle":"","parse-names":false,"suffix":""},{"dropping-particle":"","family":"Vanhove","given":"C.","non-dropping-particle":"","parse-names":false,"suffix":""},{"dropping-particle":"","family":"Vos","given":"F.","non-dropping-particle":"De","parse-names":false,"suffix":""},{"dropping-particle":"","family":"Goethals","given":"I.","non-dropping-particle":"","parse-names":false,"suffix":""}],"container-title":"Radiation Oncology","id":"ITEM-2","issue":"1","issued":{"date-parts":[["2019"]]},"title":"Technical feasibility of [&lt;sup&gt;18&lt;/sup&gt;F]FET and [&lt;sup&gt;18&lt;/sup&gt;F]FAZA PET guided radiotherapy in a F98 glioblastoma rat model","type":"article-journal","volume":"14"},"uris":["http://www.mendeley.com/documents/?uuid=579295ad-8f4d-3f75-884e-ad23f2c9660b"]}],"mendeley":{"formattedCitation":"&lt;sup&gt;21,22&lt;/sup&gt;","plainTextFormattedCitation":"21,22","previouslyFormattedCitation":"&lt;sup&gt;21,22&lt;/sup&gt;"},"properties":{"noteIndex":0},"schema":"https://github.com/citation-style-language/schema/raw/master/csl-citation.json"}</w:instrText>
      </w:r>
      <w:r w:rsidR="00D45E46"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21,22</w:t>
      </w:r>
      <w:r w:rsidR="00D45E46" w:rsidRPr="00770846">
        <w:rPr>
          <w:rFonts w:asciiTheme="majorHAnsi" w:hAnsiTheme="majorHAnsi" w:cstheme="majorHAnsi"/>
        </w:rPr>
        <w:fldChar w:fldCharType="end"/>
      </w:r>
      <w:r w:rsidR="00F63AAA" w:rsidRPr="00770846">
        <w:rPr>
          <w:rFonts w:asciiTheme="majorHAnsi" w:hAnsiTheme="majorHAnsi" w:cstheme="majorHAnsi"/>
        </w:rPr>
        <w:t xml:space="preserve">. </w:t>
      </w:r>
      <w:r w:rsidR="00D877A4" w:rsidRPr="00770846">
        <w:rPr>
          <w:rFonts w:asciiTheme="majorHAnsi" w:hAnsiTheme="majorHAnsi" w:cstheme="majorHAnsi"/>
        </w:rPr>
        <w:t>U</w:t>
      </w:r>
      <w:r w:rsidR="00F63AAA" w:rsidRPr="00770846">
        <w:rPr>
          <w:rFonts w:asciiTheme="majorHAnsi" w:hAnsiTheme="majorHAnsi" w:cstheme="majorHAnsi"/>
        </w:rPr>
        <w:t xml:space="preserve">sing an </w:t>
      </w:r>
      <w:proofErr w:type="gramStart"/>
      <w:r w:rsidR="00F63AAA" w:rsidRPr="00770846">
        <w:rPr>
          <w:rFonts w:asciiTheme="majorHAnsi" w:hAnsiTheme="majorHAnsi" w:cstheme="majorHAnsi"/>
          <w:i/>
          <w:iCs/>
        </w:rPr>
        <w:t>in silico</w:t>
      </w:r>
      <w:proofErr w:type="gramEnd"/>
      <w:r w:rsidR="00F4224E" w:rsidRPr="00770846">
        <w:rPr>
          <w:rFonts w:asciiTheme="majorHAnsi" w:hAnsiTheme="majorHAnsi" w:cstheme="majorHAnsi"/>
        </w:rPr>
        <w:t xml:space="preserve"> study design, it was </w:t>
      </w:r>
      <w:r w:rsidR="00F63AAA" w:rsidRPr="00770846">
        <w:rPr>
          <w:rFonts w:asciiTheme="majorHAnsi" w:hAnsiTheme="majorHAnsi" w:cstheme="majorHAnsi"/>
        </w:rPr>
        <w:t>prove</w:t>
      </w:r>
      <w:r w:rsidR="00F4224E" w:rsidRPr="00770846">
        <w:rPr>
          <w:rFonts w:asciiTheme="majorHAnsi" w:hAnsiTheme="majorHAnsi" w:cstheme="majorHAnsi"/>
        </w:rPr>
        <w:t>n</w:t>
      </w:r>
      <w:r w:rsidR="00F63AAA" w:rsidRPr="00770846">
        <w:rPr>
          <w:rFonts w:asciiTheme="majorHAnsi" w:hAnsiTheme="majorHAnsi" w:cstheme="majorHAnsi"/>
        </w:rPr>
        <w:t xml:space="preserve"> that </w:t>
      </w:r>
      <w:r w:rsidR="00F4224E" w:rsidRPr="00770846">
        <w:rPr>
          <w:rFonts w:asciiTheme="majorHAnsi" w:hAnsiTheme="majorHAnsi" w:cstheme="majorHAnsi"/>
        </w:rPr>
        <w:t>the</w:t>
      </w:r>
      <w:r w:rsidR="00F63AAA" w:rsidRPr="00770846">
        <w:rPr>
          <w:rFonts w:asciiTheme="majorHAnsi" w:hAnsiTheme="majorHAnsi" w:cstheme="majorHAnsi"/>
        </w:rPr>
        <w:t xml:space="preserve"> novel workflow for preclinical multimodal treatment planning is more accurate in terms of dose delivery, </w:t>
      </w:r>
      <w:r w:rsidR="00D877A4" w:rsidRPr="00770846">
        <w:rPr>
          <w:rFonts w:asciiTheme="majorHAnsi" w:hAnsiTheme="majorHAnsi" w:cstheme="majorHAnsi"/>
        </w:rPr>
        <w:t xml:space="preserve">more </w:t>
      </w:r>
      <w:r w:rsidR="00F63AAA" w:rsidRPr="00770846">
        <w:rPr>
          <w:rFonts w:asciiTheme="majorHAnsi" w:hAnsiTheme="majorHAnsi" w:cstheme="majorHAnsi"/>
        </w:rPr>
        <w:t>time-efficien</w:t>
      </w:r>
      <w:r w:rsidR="00D877A4" w:rsidRPr="00770846">
        <w:rPr>
          <w:rFonts w:asciiTheme="majorHAnsi" w:hAnsiTheme="majorHAnsi" w:cstheme="majorHAnsi"/>
        </w:rPr>
        <w:t xml:space="preserve">t, </w:t>
      </w:r>
      <w:r w:rsidR="00537C1C" w:rsidRPr="00770846">
        <w:rPr>
          <w:rFonts w:asciiTheme="majorHAnsi" w:hAnsiTheme="majorHAnsi" w:cstheme="majorHAnsi"/>
        </w:rPr>
        <w:t xml:space="preserve">and </w:t>
      </w:r>
      <w:r w:rsidR="008F32F2" w:rsidRPr="00770846">
        <w:rPr>
          <w:rFonts w:asciiTheme="majorHAnsi" w:hAnsiTheme="majorHAnsi" w:cstheme="majorHAnsi"/>
        </w:rPr>
        <w:t xml:space="preserve">shows less intra- and inter-user variability. These improvements are </w:t>
      </w:r>
      <w:r w:rsidR="00F007FC" w:rsidRPr="00770846">
        <w:rPr>
          <w:rFonts w:asciiTheme="majorHAnsi" w:hAnsiTheme="majorHAnsi" w:cstheme="majorHAnsi"/>
        </w:rPr>
        <w:t>essential</w:t>
      </w:r>
      <w:r w:rsidR="008F32F2" w:rsidRPr="00770846">
        <w:rPr>
          <w:rFonts w:asciiTheme="majorHAnsi" w:hAnsiTheme="majorHAnsi" w:cstheme="majorHAnsi"/>
        </w:rPr>
        <w:t xml:space="preserve"> to narrow the gap between clinical</w:t>
      </w:r>
      <w:r w:rsidR="0027338E" w:rsidRPr="00770846">
        <w:rPr>
          <w:rFonts w:asciiTheme="majorHAnsi" w:hAnsiTheme="majorHAnsi" w:cstheme="majorHAnsi"/>
        </w:rPr>
        <w:t xml:space="preserve"> </w:t>
      </w:r>
      <w:r w:rsidR="0027338E" w:rsidRPr="00770846">
        <w:rPr>
          <w:rFonts w:asciiTheme="majorHAnsi" w:hAnsiTheme="majorHAnsi" w:cstheme="majorHAnsi"/>
        </w:rPr>
        <w:lastRenderedPageBreak/>
        <w:t xml:space="preserve">and preclinical radiation research and for the development of new therapeutics and/or radiation therapy procedures for glioblastoma. </w:t>
      </w:r>
    </w:p>
    <w:p w14:paraId="6B103D6C" w14:textId="77777777" w:rsidR="00E90C04" w:rsidRPr="00770846" w:rsidRDefault="00E90C04" w:rsidP="00770846">
      <w:pPr>
        <w:rPr>
          <w:rFonts w:asciiTheme="majorHAnsi" w:hAnsiTheme="majorHAnsi" w:cstheme="majorHAnsi"/>
        </w:rPr>
      </w:pPr>
    </w:p>
    <w:p w14:paraId="59F37CC4" w14:textId="48111428" w:rsidR="006E4797" w:rsidRPr="00770846" w:rsidRDefault="00551D82" w:rsidP="00770846">
      <w:pPr>
        <w:pBdr>
          <w:top w:val="nil"/>
          <w:left w:val="nil"/>
          <w:bottom w:val="nil"/>
          <w:right w:val="nil"/>
          <w:between w:val="nil"/>
        </w:pBdr>
        <w:rPr>
          <w:rFonts w:asciiTheme="majorHAnsi" w:hAnsiTheme="majorHAnsi" w:cstheme="majorHAnsi"/>
        </w:rPr>
      </w:pPr>
      <w:r w:rsidRPr="00770846">
        <w:rPr>
          <w:rFonts w:asciiTheme="majorHAnsi" w:hAnsiTheme="majorHAnsi" w:cstheme="majorHAnsi"/>
          <w:b/>
        </w:rPr>
        <w:t>ACKNOWLEDGMENTS:</w:t>
      </w:r>
    </w:p>
    <w:p w14:paraId="6D064C88" w14:textId="527CB688" w:rsidR="006E4797" w:rsidRPr="00770846" w:rsidRDefault="00B37CFF" w:rsidP="00770846">
      <w:pPr>
        <w:rPr>
          <w:rFonts w:asciiTheme="majorHAnsi" w:hAnsiTheme="majorHAnsi" w:cstheme="majorHAnsi"/>
        </w:rPr>
      </w:pPr>
      <w:r w:rsidRPr="00770846">
        <w:rPr>
          <w:rFonts w:asciiTheme="majorHAnsi" w:hAnsiTheme="majorHAnsi" w:cstheme="majorHAnsi"/>
        </w:rPr>
        <w:t xml:space="preserve">The authors would like to thank </w:t>
      </w:r>
      <w:r w:rsidR="003254DB" w:rsidRPr="00770846">
        <w:rPr>
          <w:rFonts w:asciiTheme="majorHAnsi" w:hAnsiTheme="majorHAnsi" w:cstheme="majorHAnsi"/>
        </w:rPr>
        <w:t>Lux Luka Foundation</w:t>
      </w:r>
      <w:r w:rsidRPr="00770846">
        <w:rPr>
          <w:rFonts w:asciiTheme="majorHAnsi" w:hAnsiTheme="majorHAnsi" w:cstheme="majorHAnsi"/>
        </w:rPr>
        <w:t xml:space="preserve"> for supporting this work. </w:t>
      </w:r>
    </w:p>
    <w:p w14:paraId="25B2FBBD" w14:textId="77777777" w:rsidR="006E4797" w:rsidRPr="00770846" w:rsidRDefault="006E4797" w:rsidP="00770846">
      <w:pPr>
        <w:rPr>
          <w:rFonts w:asciiTheme="majorHAnsi" w:hAnsiTheme="majorHAnsi" w:cstheme="majorHAnsi"/>
          <w:b/>
        </w:rPr>
      </w:pPr>
    </w:p>
    <w:p w14:paraId="5E703EBA" w14:textId="59982ACC" w:rsidR="006E4797" w:rsidRPr="00770846" w:rsidRDefault="00551D82" w:rsidP="00770846">
      <w:pPr>
        <w:pBdr>
          <w:top w:val="nil"/>
          <w:left w:val="nil"/>
          <w:bottom w:val="nil"/>
          <w:right w:val="nil"/>
          <w:between w:val="nil"/>
        </w:pBdr>
        <w:rPr>
          <w:rFonts w:asciiTheme="majorHAnsi" w:hAnsiTheme="majorHAnsi" w:cstheme="majorHAnsi"/>
        </w:rPr>
      </w:pPr>
      <w:r w:rsidRPr="00770846">
        <w:rPr>
          <w:rFonts w:asciiTheme="majorHAnsi" w:hAnsiTheme="majorHAnsi" w:cstheme="majorHAnsi"/>
          <w:b/>
        </w:rPr>
        <w:t>DISCLOSURES:</w:t>
      </w:r>
    </w:p>
    <w:p w14:paraId="132340D6" w14:textId="2F9479C4" w:rsidR="006E4797" w:rsidRPr="00770846" w:rsidRDefault="00C46385" w:rsidP="00770846">
      <w:pPr>
        <w:rPr>
          <w:rFonts w:asciiTheme="majorHAnsi" w:hAnsiTheme="majorHAnsi" w:cstheme="majorHAnsi"/>
        </w:rPr>
      </w:pPr>
      <w:r w:rsidRPr="00770846">
        <w:rPr>
          <w:rFonts w:asciiTheme="majorHAnsi" w:hAnsiTheme="majorHAnsi" w:cstheme="majorHAnsi"/>
        </w:rPr>
        <w:t xml:space="preserve">The authors have no conflicts of interest to disclose. </w:t>
      </w:r>
    </w:p>
    <w:p w14:paraId="4A7B0E5C" w14:textId="77777777" w:rsidR="006E4797" w:rsidRPr="00770846" w:rsidRDefault="006E4797" w:rsidP="00770846">
      <w:pPr>
        <w:rPr>
          <w:rFonts w:asciiTheme="majorHAnsi" w:hAnsiTheme="majorHAnsi" w:cstheme="majorHAnsi"/>
        </w:rPr>
      </w:pPr>
    </w:p>
    <w:p w14:paraId="6DE2B73C" w14:textId="51CA8166" w:rsidR="006E4797" w:rsidRPr="00770846" w:rsidRDefault="00551D82" w:rsidP="00770846">
      <w:pPr>
        <w:rPr>
          <w:rFonts w:asciiTheme="majorHAnsi" w:hAnsiTheme="majorHAnsi" w:cstheme="majorHAnsi"/>
          <w:b/>
        </w:rPr>
      </w:pPr>
      <w:r w:rsidRPr="00770846">
        <w:rPr>
          <w:rFonts w:asciiTheme="majorHAnsi" w:hAnsiTheme="majorHAnsi" w:cstheme="majorHAnsi"/>
          <w:b/>
        </w:rPr>
        <w:t>REFERENCES:</w:t>
      </w:r>
    </w:p>
    <w:p w14:paraId="7D0FD49D" w14:textId="46B23360" w:rsidR="00E576E6" w:rsidRPr="00770846" w:rsidRDefault="009812DA" w:rsidP="00770846">
      <w:pPr>
        <w:autoSpaceDE w:val="0"/>
        <w:autoSpaceDN w:val="0"/>
        <w:adjustRightInd w:val="0"/>
        <w:rPr>
          <w:rFonts w:asciiTheme="majorHAnsi" w:hAnsiTheme="majorHAnsi" w:cstheme="majorHAnsi"/>
          <w:noProof/>
        </w:rPr>
      </w:pPr>
      <w:r w:rsidRPr="00770846">
        <w:rPr>
          <w:rFonts w:asciiTheme="majorHAnsi" w:hAnsiTheme="majorHAnsi" w:cstheme="majorHAnsi"/>
          <w:b/>
        </w:rPr>
        <w:fldChar w:fldCharType="begin" w:fldLock="1"/>
      </w:r>
      <w:r w:rsidRPr="00770846">
        <w:rPr>
          <w:rFonts w:asciiTheme="majorHAnsi" w:hAnsiTheme="majorHAnsi" w:cstheme="majorHAnsi"/>
          <w:b/>
        </w:rPr>
        <w:instrText xml:space="preserve">ADDIN Mendeley Bibliography CSL_BIBLIOGRAPHY </w:instrText>
      </w:r>
      <w:r w:rsidRPr="00770846">
        <w:rPr>
          <w:rFonts w:asciiTheme="majorHAnsi" w:hAnsiTheme="majorHAnsi" w:cstheme="majorHAnsi"/>
          <w:b/>
        </w:rPr>
        <w:fldChar w:fldCharType="separate"/>
      </w:r>
      <w:r w:rsidR="00E576E6" w:rsidRPr="00770846">
        <w:rPr>
          <w:rFonts w:asciiTheme="majorHAnsi" w:hAnsiTheme="majorHAnsi" w:cstheme="majorHAnsi"/>
          <w:noProof/>
        </w:rPr>
        <w:t>1.</w:t>
      </w:r>
      <w:r w:rsidR="00E576E6" w:rsidRPr="00770846">
        <w:rPr>
          <w:rFonts w:asciiTheme="majorHAnsi" w:hAnsiTheme="majorHAnsi" w:cstheme="majorHAnsi"/>
          <w:noProof/>
        </w:rPr>
        <w:tab/>
        <w:t xml:space="preserve">Louis, D. N. et al. The 2016 World Health Organization </w:t>
      </w:r>
      <w:r w:rsidR="004D251B" w:rsidRPr="00770846">
        <w:rPr>
          <w:rFonts w:asciiTheme="majorHAnsi" w:hAnsiTheme="majorHAnsi" w:cstheme="majorHAnsi"/>
          <w:noProof/>
        </w:rPr>
        <w:t xml:space="preserve">classification </w:t>
      </w:r>
      <w:r w:rsidR="00E576E6" w:rsidRPr="00770846">
        <w:rPr>
          <w:rFonts w:asciiTheme="majorHAnsi" w:hAnsiTheme="majorHAnsi" w:cstheme="majorHAnsi"/>
          <w:noProof/>
        </w:rPr>
        <w:t xml:space="preserve">of </w:t>
      </w:r>
      <w:r w:rsidR="004D251B" w:rsidRPr="00770846">
        <w:rPr>
          <w:rFonts w:asciiTheme="majorHAnsi" w:hAnsiTheme="majorHAnsi" w:cstheme="majorHAnsi"/>
          <w:noProof/>
        </w:rPr>
        <w:t xml:space="preserve">tumors </w:t>
      </w:r>
      <w:r w:rsidR="00E576E6" w:rsidRPr="00770846">
        <w:rPr>
          <w:rFonts w:asciiTheme="majorHAnsi" w:hAnsiTheme="majorHAnsi" w:cstheme="majorHAnsi"/>
          <w:noProof/>
        </w:rPr>
        <w:t xml:space="preserve">of the </w:t>
      </w:r>
      <w:r w:rsidR="004D251B" w:rsidRPr="00770846">
        <w:rPr>
          <w:rFonts w:asciiTheme="majorHAnsi" w:hAnsiTheme="majorHAnsi" w:cstheme="majorHAnsi"/>
          <w:noProof/>
        </w:rPr>
        <w:t>central nervous system</w:t>
      </w:r>
      <w:r w:rsidR="00E576E6" w:rsidRPr="00770846">
        <w:rPr>
          <w:rFonts w:asciiTheme="majorHAnsi" w:hAnsiTheme="majorHAnsi" w:cstheme="majorHAnsi"/>
          <w:noProof/>
        </w:rPr>
        <w:t xml:space="preserve">: a summary. </w:t>
      </w:r>
      <w:r w:rsidR="00D21CFE" w:rsidRPr="00770846">
        <w:rPr>
          <w:rFonts w:asciiTheme="majorHAnsi" w:hAnsiTheme="majorHAnsi" w:cstheme="majorHAnsi"/>
          <w:i/>
          <w:iCs/>
          <w:noProof/>
        </w:rPr>
        <w:t>Acta Neuropathologica</w:t>
      </w:r>
      <w:r w:rsidR="00E576E6" w:rsidRPr="00770846">
        <w:rPr>
          <w:rFonts w:asciiTheme="majorHAnsi" w:hAnsiTheme="majorHAnsi" w:cstheme="majorHAnsi"/>
          <w:i/>
          <w:iCs/>
          <w:noProof/>
        </w:rPr>
        <w:t>.</w:t>
      </w:r>
      <w:r w:rsidR="00E576E6" w:rsidRPr="00770846">
        <w:rPr>
          <w:rFonts w:asciiTheme="majorHAnsi" w:hAnsiTheme="majorHAnsi" w:cstheme="majorHAnsi"/>
          <w:noProof/>
        </w:rPr>
        <w:t xml:space="preserve"> </w:t>
      </w:r>
      <w:r w:rsidR="00E576E6" w:rsidRPr="00770846">
        <w:rPr>
          <w:rFonts w:asciiTheme="majorHAnsi" w:hAnsiTheme="majorHAnsi" w:cstheme="majorHAnsi"/>
          <w:b/>
          <w:bCs/>
          <w:noProof/>
        </w:rPr>
        <w:t>131</w:t>
      </w:r>
      <w:r w:rsidR="004D251B" w:rsidRPr="00770846">
        <w:rPr>
          <w:rFonts w:asciiTheme="majorHAnsi" w:hAnsiTheme="majorHAnsi" w:cstheme="majorHAnsi"/>
          <w:b/>
          <w:bCs/>
          <w:noProof/>
        </w:rPr>
        <w:t xml:space="preserve"> </w:t>
      </w:r>
      <w:r w:rsidR="004D251B" w:rsidRPr="00770846">
        <w:rPr>
          <w:rFonts w:asciiTheme="majorHAnsi" w:hAnsiTheme="majorHAnsi" w:cstheme="majorHAnsi"/>
          <w:noProof/>
        </w:rPr>
        <w:t>(6)</w:t>
      </w:r>
      <w:r w:rsidR="00E576E6" w:rsidRPr="00770846">
        <w:rPr>
          <w:rFonts w:asciiTheme="majorHAnsi" w:hAnsiTheme="majorHAnsi" w:cstheme="majorHAnsi"/>
          <w:noProof/>
        </w:rPr>
        <w:t>, 803–820 (2016).</w:t>
      </w:r>
    </w:p>
    <w:p w14:paraId="635C7EA6" w14:textId="1C91C026"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2.</w:t>
      </w:r>
      <w:r w:rsidRPr="00770846">
        <w:rPr>
          <w:rFonts w:asciiTheme="majorHAnsi" w:hAnsiTheme="majorHAnsi" w:cstheme="majorHAnsi"/>
          <w:noProof/>
        </w:rPr>
        <w:tab/>
        <w:t xml:space="preserve">Wadajkar, A. S. et al. Tumor-targeted nanotherapeutics: Overcoming treatment barriers for glioblastoma. </w:t>
      </w:r>
      <w:r w:rsidR="00D21CFE" w:rsidRPr="00770846">
        <w:rPr>
          <w:rFonts w:asciiTheme="majorHAnsi" w:hAnsiTheme="majorHAnsi" w:cstheme="majorHAnsi"/>
          <w:i/>
          <w:iCs/>
          <w:noProof/>
        </w:rPr>
        <w:t>Wiley Interdisciplinary Reviews</w:t>
      </w:r>
      <w:r w:rsidR="00343B39" w:rsidRPr="00770846">
        <w:rPr>
          <w:rFonts w:asciiTheme="majorHAnsi" w:hAnsiTheme="majorHAnsi" w:cstheme="majorHAnsi"/>
          <w:i/>
          <w:iCs/>
          <w:noProof/>
        </w:rPr>
        <w:t>.</w:t>
      </w:r>
      <w:r w:rsidR="00D21CFE" w:rsidRPr="00770846">
        <w:rPr>
          <w:rFonts w:asciiTheme="majorHAnsi" w:hAnsiTheme="majorHAnsi" w:cstheme="majorHAnsi"/>
          <w:i/>
          <w:iCs/>
          <w:noProof/>
        </w:rPr>
        <w:t xml:space="preserve"> Nanomedicine &amp; Nanobiotechnology</w:t>
      </w:r>
      <w:r w:rsidR="00513872" w:rsidRPr="00770846">
        <w:rPr>
          <w:rFonts w:asciiTheme="majorHAnsi" w:hAnsiTheme="majorHAnsi" w:cstheme="majorHAnsi"/>
          <w:i/>
          <w:iCs/>
          <w:noProof/>
        </w:rPr>
        <w:t xml:space="preserve">. </w:t>
      </w:r>
      <w:r w:rsidR="00551FB8" w:rsidRPr="00770846">
        <w:rPr>
          <w:rFonts w:asciiTheme="majorHAnsi" w:hAnsiTheme="majorHAnsi" w:cstheme="majorHAnsi"/>
          <w:b/>
          <w:bCs/>
          <w:noProof/>
        </w:rPr>
        <w:t>9</w:t>
      </w:r>
      <w:r w:rsidR="00551FB8" w:rsidRPr="00770846">
        <w:rPr>
          <w:rFonts w:asciiTheme="majorHAnsi" w:hAnsiTheme="majorHAnsi" w:cstheme="majorHAnsi"/>
          <w:noProof/>
        </w:rPr>
        <w:t xml:space="preserve"> (4),</w:t>
      </w:r>
      <w:r w:rsidR="00551FB8" w:rsidRPr="00770846">
        <w:rPr>
          <w:rFonts w:asciiTheme="majorHAnsi" w:hAnsiTheme="majorHAnsi" w:cstheme="majorHAnsi"/>
          <w:i/>
          <w:iCs/>
          <w:noProof/>
        </w:rPr>
        <w:t xml:space="preserve"> </w:t>
      </w:r>
      <w:r w:rsidR="00551FB8" w:rsidRPr="00770846">
        <w:rPr>
          <w:rFonts w:asciiTheme="majorHAnsi" w:hAnsiTheme="majorHAnsi" w:cstheme="majorHAnsi"/>
          <w:noProof/>
        </w:rPr>
        <w:t>10.1002/wnan.1439</w:t>
      </w:r>
      <w:r w:rsidRPr="00770846">
        <w:rPr>
          <w:rFonts w:asciiTheme="majorHAnsi" w:hAnsiTheme="majorHAnsi" w:cstheme="majorHAnsi"/>
          <w:noProof/>
        </w:rPr>
        <w:t xml:space="preserve"> (2016).</w:t>
      </w:r>
    </w:p>
    <w:p w14:paraId="6E738AA2" w14:textId="0FC8C24B"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3.</w:t>
      </w:r>
      <w:r w:rsidRPr="00770846">
        <w:rPr>
          <w:rFonts w:asciiTheme="majorHAnsi" w:hAnsiTheme="majorHAnsi" w:cstheme="majorHAnsi"/>
          <w:noProof/>
        </w:rPr>
        <w:tab/>
        <w:t>Lim, M., Xia, Y., Bettegowda, C.</w:t>
      </w:r>
      <w:r w:rsidR="00506D54" w:rsidRPr="00770846">
        <w:rPr>
          <w:rFonts w:asciiTheme="majorHAnsi" w:hAnsiTheme="majorHAnsi" w:cstheme="majorHAnsi"/>
          <w:noProof/>
        </w:rPr>
        <w:t>,</w:t>
      </w:r>
      <w:r w:rsidRPr="00770846">
        <w:rPr>
          <w:rFonts w:asciiTheme="majorHAnsi" w:hAnsiTheme="majorHAnsi" w:cstheme="majorHAnsi"/>
          <w:noProof/>
        </w:rPr>
        <w:t xml:space="preserve"> Weller, M. Current state of immunotherapy for glioblastoma. </w:t>
      </w:r>
      <w:r w:rsidR="00D21CFE" w:rsidRPr="00770846">
        <w:rPr>
          <w:rFonts w:asciiTheme="majorHAnsi" w:hAnsiTheme="majorHAnsi" w:cstheme="majorHAnsi"/>
          <w:i/>
          <w:iCs/>
          <w:noProof/>
        </w:rPr>
        <w:t>Nature Reviews</w:t>
      </w:r>
      <w:r w:rsidR="00343B39" w:rsidRPr="00770846">
        <w:rPr>
          <w:rFonts w:asciiTheme="majorHAnsi" w:hAnsiTheme="majorHAnsi" w:cstheme="majorHAnsi"/>
          <w:i/>
          <w:iCs/>
          <w:noProof/>
        </w:rPr>
        <w:t>.</w:t>
      </w:r>
      <w:r w:rsidR="00D21CFE" w:rsidRPr="00770846">
        <w:rPr>
          <w:rFonts w:asciiTheme="majorHAnsi" w:hAnsiTheme="majorHAnsi" w:cstheme="majorHAnsi"/>
          <w:i/>
          <w:iCs/>
          <w:noProof/>
        </w:rPr>
        <w:t xml:space="preserve"> Clinical Oncology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15</w:t>
      </w:r>
      <w:r w:rsidR="00343B39" w:rsidRPr="00770846">
        <w:rPr>
          <w:rFonts w:asciiTheme="majorHAnsi" w:hAnsiTheme="majorHAnsi" w:cstheme="majorHAnsi"/>
          <w:b/>
          <w:bCs/>
          <w:noProof/>
        </w:rPr>
        <w:t xml:space="preserve"> </w:t>
      </w:r>
      <w:r w:rsidR="00343B39" w:rsidRPr="00770846">
        <w:rPr>
          <w:rFonts w:asciiTheme="majorHAnsi" w:hAnsiTheme="majorHAnsi" w:cstheme="majorHAnsi"/>
          <w:noProof/>
        </w:rPr>
        <w:t>(7)</w:t>
      </w:r>
      <w:r w:rsidRPr="00770846">
        <w:rPr>
          <w:rFonts w:asciiTheme="majorHAnsi" w:hAnsiTheme="majorHAnsi" w:cstheme="majorHAnsi"/>
          <w:noProof/>
        </w:rPr>
        <w:t>, 422–422 (2018).</w:t>
      </w:r>
    </w:p>
    <w:p w14:paraId="619A4B02" w14:textId="75A364F0"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4.</w:t>
      </w:r>
      <w:r w:rsidRPr="00770846">
        <w:rPr>
          <w:rFonts w:asciiTheme="majorHAnsi" w:hAnsiTheme="majorHAnsi" w:cstheme="majorHAnsi"/>
          <w:noProof/>
        </w:rPr>
        <w:tab/>
        <w:t>McGranahan, T., Li, G</w:t>
      </w:r>
      <w:r w:rsidR="00EB0519" w:rsidRPr="00770846">
        <w:rPr>
          <w:rFonts w:asciiTheme="majorHAnsi" w:hAnsiTheme="majorHAnsi" w:cstheme="majorHAnsi"/>
          <w:noProof/>
        </w:rPr>
        <w:t xml:space="preserve">, </w:t>
      </w:r>
      <w:r w:rsidRPr="00770846">
        <w:rPr>
          <w:rFonts w:asciiTheme="majorHAnsi" w:hAnsiTheme="majorHAnsi" w:cstheme="majorHAnsi"/>
          <w:noProof/>
        </w:rPr>
        <w:t xml:space="preserve">Nagpal, S. History and current state of immunotherapy in glioma and brain metastasis. </w:t>
      </w:r>
      <w:r w:rsidR="00D21CFE" w:rsidRPr="00770846">
        <w:rPr>
          <w:rFonts w:asciiTheme="majorHAnsi" w:hAnsiTheme="majorHAnsi" w:cstheme="majorHAnsi"/>
          <w:i/>
          <w:iCs/>
          <w:noProof/>
        </w:rPr>
        <w:t>Therapeutic Advances in Medical Oncology</w:t>
      </w:r>
      <w:r w:rsidRPr="00770846">
        <w:rPr>
          <w:rFonts w:asciiTheme="majorHAnsi" w:hAnsiTheme="majorHAnsi" w:cstheme="majorHAnsi"/>
          <w:i/>
          <w:iCs/>
          <w:noProof/>
        </w:rPr>
        <w:t xml:space="preserve">. </w:t>
      </w:r>
      <w:r w:rsidRPr="00770846">
        <w:rPr>
          <w:rFonts w:asciiTheme="majorHAnsi" w:hAnsiTheme="majorHAnsi" w:cstheme="majorHAnsi"/>
          <w:b/>
          <w:bCs/>
          <w:noProof/>
        </w:rPr>
        <w:t>9</w:t>
      </w:r>
      <w:r w:rsidR="00244D72" w:rsidRPr="00770846">
        <w:rPr>
          <w:rFonts w:asciiTheme="majorHAnsi" w:hAnsiTheme="majorHAnsi" w:cstheme="majorHAnsi"/>
          <w:b/>
          <w:bCs/>
          <w:noProof/>
        </w:rPr>
        <w:t xml:space="preserve"> </w:t>
      </w:r>
      <w:r w:rsidR="00244D72" w:rsidRPr="00770846">
        <w:rPr>
          <w:rFonts w:asciiTheme="majorHAnsi" w:hAnsiTheme="majorHAnsi" w:cstheme="majorHAnsi"/>
          <w:noProof/>
        </w:rPr>
        <w:t>(5)</w:t>
      </w:r>
      <w:r w:rsidRPr="00770846">
        <w:rPr>
          <w:rFonts w:asciiTheme="majorHAnsi" w:hAnsiTheme="majorHAnsi" w:cstheme="majorHAnsi"/>
          <w:noProof/>
        </w:rPr>
        <w:t>, 347–368 (2017).</w:t>
      </w:r>
    </w:p>
    <w:p w14:paraId="773C63C4" w14:textId="21DB1DBD"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5.</w:t>
      </w:r>
      <w:r w:rsidRPr="00770846">
        <w:rPr>
          <w:rFonts w:asciiTheme="majorHAnsi" w:hAnsiTheme="majorHAnsi" w:cstheme="majorHAnsi"/>
          <w:noProof/>
        </w:rPr>
        <w:tab/>
        <w:t xml:space="preserve">Stupp, R. et al. Radiotherapy plus </w:t>
      </w:r>
      <w:r w:rsidR="005E5A07" w:rsidRPr="00770846">
        <w:rPr>
          <w:rFonts w:asciiTheme="majorHAnsi" w:hAnsiTheme="majorHAnsi" w:cstheme="majorHAnsi"/>
          <w:noProof/>
        </w:rPr>
        <w:t xml:space="preserve">concomitant </w:t>
      </w:r>
      <w:r w:rsidRPr="00770846">
        <w:rPr>
          <w:rFonts w:asciiTheme="majorHAnsi" w:hAnsiTheme="majorHAnsi" w:cstheme="majorHAnsi"/>
          <w:noProof/>
        </w:rPr>
        <w:t xml:space="preserve">and </w:t>
      </w:r>
      <w:r w:rsidR="005E5A07" w:rsidRPr="00770846">
        <w:rPr>
          <w:rFonts w:asciiTheme="majorHAnsi" w:hAnsiTheme="majorHAnsi" w:cstheme="majorHAnsi"/>
          <w:noProof/>
        </w:rPr>
        <w:t xml:space="preserve">adjuvant temozolomide </w:t>
      </w:r>
      <w:r w:rsidRPr="00770846">
        <w:rPr>
          <w:rFonts w:asciiTheme="majorHAnsi" w:hAnsiTheme="majorHAnsi" w:cstheme="majorHAnsi"/>
          <w:noProof/>
        </w:rPr>
        <w:t xml:space="preserve">for </w:t>
      </w:r>
      <w:r w:rsidR="008568C3" w:rsidRPr="00770846">
        <w:rPr>
          <w:rFonts w:asciiTheme="majorHAnsi" w:hAnsiTheme="majorHAnsi" w:cstheme="majorHAnsi"/>
          <w:noProof/>
        </w:rPr>
        <w:t>glioblastoma</w:t>
      </w:r>
      <w:r w:rsidRPr="00770846">
        <w:rPr>
          <w:rFonts w:asciiTheme="majorHAnsi" w:hAnsiTheme="majorHAnsi" w:cstheme="majorHAnsi"/>
          <w:noProof/>
        </w:rPr>
        <w:t xml:space="preserve">. </w:t>
      </w:r>
      <w:r w:rsidR="00D21CFE" w:rsidRPr="00770846">
        <w:rPr>
          <w:rFonts w:asciiTheme="majorHAnsi" w:hAnsiTheme="majorHAnsi" w:cstheme="majorHAnsi"/>
          <w:i/>
          <w:iCs/>
          <w:noProof/>
        </w:rPr>
        <w:t>The New England Journal of Medicine</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352</w:t>
      </w:r>
      <w:r w:rsidR="007305ED" w:rsidRPr="00770846">
        <w:rPr>
          <w:rFonts w:asciiTheme="majorHAnsi" w:hAnsiTheme="majorHAnsi" w:cstheme="majorHAnsi"/>
          <w:noProof/>
        </w:rPr>
        <w:t xml:space="preserve"> (10)</w:t>
      </w:r>
      <w:r w:rsidRPr="00770846">
        <w:rPr>
          <w:rFonts w:asciiTheme="majorHAnsi" w:hAnsiTheme="majorHAnsi" w:cstheme="majorHAnsi"/>
          <w:noProof/>
        </w:rPr>
        <w:t>, 987–996 (2005).</w:t>
      </w:r>
    </w:p>
    <w:p w14:paraId="62CC4073" w14:textId="6D910AD5"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6.</w:t>
      </w:r>
      <w:r w:rsidRPr="00770846">
        <w:rPr>
          <w:rFonts w:asciiTheme="majorHAnsi" w:hAnsiTheme="majorHAnsi" w:cstheme="majorHAnsi"/>
          <w:noProof/>
        </w:rPr>
        <w:tab/>
        <w:t>Von Neubeck, C., Seidlitz, A., Kitzler, H. H., Beuthien-Baumann, B.</w:t>
      </w:r>
      <w:r w:rsidR="00506D54" w:rsidRPr="00770846">
        <w:rPr>
          <w:rFonts w:asciiTheme="majorHAnsi" w:hAnsiTheme="majorHAnsi" w:cstheme="majorHAnsi"/>
          <w:noProof/>
        </w:rPr>
        <w:t>,</w:t>
      </w:r>
      <w:r w:rsidRPr="00770846">
        <w:rPr>
          <w:rFonts w:asciiTheme="majorHAnsi" w:hAnsiTheme="majorHAnsi" w:cstheme="majorHAnsi"/>
          <w:noProof/>
        </w:rPr>
        <w:t xml:space="preserve"> Krause, M. Glioblastoma multiforme: Emerging treatments and stratification markers beyond new drugs. </w:t>
      </w:r>
      <w:r w:rsidR="00D21CFE" w:rsidRPr="00770846">
        <w:rPr>
          <w:rFonts w:asciiTheme="majorHAnsi" w:hAnsiTheme="majorHAnsi" w:cstheme="majorHAnsi"/>
          <w:i/>
          <w:iCs/>
          <w:noProof/>
        </w:rPr>
        <w:t>The British Journal of Radiology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88</w:t>
      </w:r>
      <w:r w:rsidR="005A00C6" w:rsidRPr="00770846">
        <w:rPr>
          <w:rFonts w:asciiTheme="majorHAnsi" w:hAnsiTheme="majorHAnsi" w:cstheme="majorHAnsi"/>
          <w:b/>
          <w:bCs/>
          <w:noProof/>
        </w:rPr>
        <w:t xml:space="preserve"> </w:t>
      </w:r>
      <w:r w:rsidR="005A00C6" w:rsidRPr="00770846">
        <w:rPr>
          <w:rFonts w:asciiTheme="majorHAnsi" w:hAnsiTheme="majorHAnsi" w:cstheme="majorHAnsi"/>
          <w:noProof/>
        </w:rPr>
        <w:t>(1053)</w:t>
      </w:r>
      <w:r w:rsidRPr="00770846">
        <w:rPr>
          <w:rFonts w:asciiTheme="majorHAnsi" w:hAnsiTheme="majorHAnsi" w:cstheme="majorHAnsi"/>
          <w:noProof/>
        </w:rPr>
        <w:t xml:space="preserve">, </w:t>
      </w:r>
      <w:r w:rsidR="005A00C6" w:rsidRPr="00770846">
        <w:rPr>
          <w:rFonts w:asciiTheme="majorHAnsi" w:hAnsiTheme="majorHAnsi" w:cstheme="majorHAnsi"/>
          <w:noProof/>
        </w:rPr>
        <w:t xml:space="preserve">20150354 </w:t>
      </w:r>
      <w:r w:rsidRPr="00770846">
        <w:rPr>
          <w:rFonts w:asciiTheme="majorHAnsi" w:hAnsiTheme="majorHAnsi" w:cstheme="majorHAnsi"/>
          <w:noProof/>
        </w:rPr>
        <w:t>(2015).</w:t>
      </w:r>
    </w:p>
    <w:p w14:paraId="50D16B7F" w14:textId="6E10961A"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7.</w:t>
      </w:r>
      <w:r w:rsidRPr="00770846">
        <w:rPr>
          <w:rFonts w:asciiTheme="majorHAnsi" w:hAnsiTheme="majorHAnsi" w:cstheme="majorHAnsi"/>
          <w:noProof/>
        </w:rPr>
        <w:tab/>
        <w:t>Mann, J., Ramakrishna, R., Magge, R.</w:t>
      </w:r>
      <w:r w:rsidR="00506D54" w:rsidRPr="00770846">
        <w:rPr>
          <w:rFonts w:asciiTheme="majorHAnsi" w:hAnsiTheme="majorHAnsi" w:cstheme="majorHAnsi"/>
          <w:noProof/>
        </w:rPr>
        <w:t>,</w:t>
      </w:r>
      <w:r w:rsidRPr="00770846">
        <w:rPr>
          <w:rFonts w:asciiTheme="majorHAnsi" w:hAnsiTheme="majorHAnsi" w:cstheme="majorHAnsi"/>
          <w:noProof/>
        </w:rPr>
        <w:t xml:space="preserve"> Wernicke, A. G. Advances in radiotherapy for glioblastoma. </w:t>
      </w:r>
      <w:r w:rsidR="00D21CFE" w:rsidRPr="00770846">
        <w:rPr>
          <w:rFonts w:asciiTheme="majorHAnsi" w:hAnsiTheme="majorHAnsi" w:cstheme="majorHAnsi"/>
          <w:i/>
          <w:iCs/>
          <w:noProof/>
        </w:rPr>
        <w:t>Frontiers in Neurology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8</w:t>
      </w:r>
      <w:r w:rsidRPr="00770846">
        <w:rPr>
          <w:rFonts w:asciiTheme="majorHAnsi" w:hAnsiTheme="majorHAnsi" w:cstheme="majorHAnsi"/>
          <w:noProof/>
        </w:rPr>
        <w:t xml:space="preserve">, </w:t>
      </w:r>
      <w:r w:rsidR="007A4CB1" w:rsidRPr="00770846">
        <w:rPr>
          <w:rFonts w:asciiTheme="majorHAnsi" w:hAnsiTheme="majorHAnsi" w:cstheme="majorHAnsi"/>
          <w:noProof/>
        </w:rPr>
        <w:t>748</w:t>
      </w:r>
      <w:r w:rsidRPr="00770846">
        <w:rPr>
          <w:rFonts w:asciiTheme="majorHAnsi" w:hAnsiTheme="majorHAnsi" w:cstheme="majorHAnsi"/>
          <w:noProof/>
        </w:rPr>
        <w:t xml:space="preserve"> (2018).</w:t>
      </w:r>
    </w:p>
    <w:p w14:paraId="0D15BA50" w14:textId="2299CFB7"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8.</w:t>
      </w:r>
      <w:r w:rsidRPr="00770846">
        <w:rPr>
          <w:rFonts w:asciiTheme="majorHAnsi" w:hAnsiTheme="majorHAnsi" w:cstheme="majorHAnsi"/>
          <w:noProof/>
        </w:rPr>
        <w:tab/>
        <w:t xml:space="preserve">Ling, C. C. et al. Towards multidimensional radiotherapy (MD-CRT): Biological imaging and biological conformality. </w:t>
      </w:r>
      <w:r w:rsidR="00D21CFE" w:rsidRPr="00770846">
        <w:rPr>
          <w:rFonts w:asciiTheme="majorHAnsi" w:hAnsiTheme="majorHAnsi" w:cstheme="majorHAnsi"/>
          <w:i/>
          <w:iCs/>
          <w:noProof/>
        </w:rPr>
        <w:t>International Journal of Radiation Oncolology</w:t>
      </w:r>
      <w:r w:rsidR="006A661A" w:rsidRPr="00770846">
        <w:rPr>
          <w:rFonts w:asciiTheme="majorHAnsi" w:hAnsiTheme="majorHAnsi" w:cstheme="majorHAnsi"/>
          <w:i/>
          <w:iCs/>
          <w:noProof/>
        </w:rPr>
        <w:t>,</w:t>
      </w:r>
      <w:r w:rsidR="00D21CFE" w:rsidRPr="00770846">
        <w:rPr>
          <w:rFonts w:asciiTheme="majorHAnsi" w:hAnsiTheme="majorHAnsi" w:cstheme="majorHAnsi"/>
          <w:i/>
          <w:iCs/>
          <w:noProof/>
        </w:rPr>
        <w:t xml:space="preserve"> Biology</w:t>
      </w:r>
      <w:r w:rsidR="006A661A" w:rsidRPr="00770846">
        <w:rPr>
          <w:rFonts w:asciiTheme="majorHAnsi" w:hAnsiTheme="majorHAnsi" w:cstheme="majorHAnsi"/>
          <w:i/>
          <w:iCs/>
          <w:noProof/>
        </w:rPr>
        <w:t>,</w:t>
      </w:r>
      <w:r w:rsidR="00D21CFE" w:rsidRPr="00770846">
        <w:rPr>
          <w:rFonts w:asciiTheme="majorHAnsi" w:hAnsiTheme="majorHAnsi" w:cstheme="majorHAnsi"/>
          <w:i/>
          <w:iCs/>
          <w:noProof/>
        </w:rPr>
        <w:t xml:space="preserve"> Physics</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47</w:t>
      </w:r>
      <w:r w:rsidR="00EB18F3" w:rsidRPr="00770846">
        <w:rPr>
          <w:rFonts w:asciiTheme="majorHAnsi" w:hAnsiTheme="majorHAnsi" w:cstheme="majorHAnsi"/>
          <w:b/>
          <w:bCs/>
          <w:noProof/>
        </w:rPr>
        <w:t xml:space="preserve"> </w:t>
      </w:r>
      <w:r w:rsidR="00EB18F3" w:rsidRPr="00770846">
        <w:rPr>
          <w:rFonts w:asciiTheme="majorHAnsi" w:hAnsiTheme="majorHAnsi" w:cstheme="majorHAnsi"/>
          <w:noProof/>
        </w:rPr>
        <w:t>(3)</w:t>
      </w:r>
      <w:r w:rsidRPr="00770846">
        <w:rPr>
          <w:rFonts w:asciiTheme="majorHAnsi" w:hAnsiTheme="majorHAnsi" w:cstheme="majorHAnsi"/>
          <w:noProof/>
        </w:rPr>
        <w:t>, 551–560 (2000).</w:t>
      </w:r>
    </w:p>
    <w:p w14:paraId="15993401" w14:textId="11187490"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9.</w:t>
      </w:r>
      <w:r w:rsidRPr="00770846">
        <w:rPr>
          <w:rFonts w:asciiTheme="majorHAnsi" w:hAnsiTheme="majorHAnsi" w:cstheme="majorHAnsi"/>
          <w:noProof/>
        </w:rPr>
        <w:tab/>
        <w:t>Bentzen, S. M.</w:t>
      </w:r>
      <w:r w:rsidR="00122A8B" w:rsidRPr="00770846">
        <w:rPr>
          <w:rFonts w:asciiTheme="majorHAnsi" w:hAnsiTheme="majorHAnsi" w:cstheme="majorHAnsi"/>
          <w:noProof/>
        </w:rPr>
        <w:t>,</w:t>
      </w:r>
      <w:r w:rsidRPr="00770846">
        <w:rPr>
          <w:rFonts w:asciiTheme="majorHAnsi" w:hAnsiTheme="majorHAnsi" w:cstheme="majorHAnsi"/>
          <w:noProof/>
        </w:rPr>
        <w:t xml:space="preserve"> Gregoire, V. Molecular </w:t>
      </w:r>
      <w:r w:rsidR="006766F7" w:rsidRPr="00770846">
        <w:rPr>
          <w:rFonts w:asciiTheme="majorHAnsi" w:hAnsiTheme="majorHAnsi" w:cstheme="majorHAnsi"/>
          <w:noProof/>
        </w:rPr>
        <w:t>imaging</w:t>
      </w:r>
      <w:r w:rsidRPr="00770846">
        <w:rPr>
          <w:rFonts w:asciiTheme="majorHAnsi" w:hAnsiTheme="majorHAnsi" w:cstheme="majorHAnsi"/>
          <w:noProof/>
        </w:rPr>
        <w:t>-</w:t>
      </w:r>
      <w:r w:rsidR="006766F7" w:rsidRPr="00770846">
        <w:rPr>
          <w:rFonts w:asciiTheme="majorHAnsi" w:hAnsiTheme="majorHAnsi" w:cstheme="majorHAnsi"/>
          <w:noProof/>
        </w:rPr>
        <w:t>based dose painting</w:t>
      </w:r>
      <w:r w:rsidRPr="00770846">
        <w:rPr>
          <w:rFonts w:asciiTheme="majorHAnsi" w:hAnsiTheme="majorHAnsi" w:cstheme="majorHAnsi"/>
          <w:noProof/>
        </w:rPr>
        <w:t xml:space="preserve">: </w:t>
      </w:r>
      <w:r w:rsidR="006766F7" w:rsidRPr="00770846">
        <w:rPr>
          <w:rFonts w:asciiTheme="majorHAnsi" w:hAnsiTheme="majorHAnsi" w:cstheme="majorHAnsi"/>
          <w:noProof/>
        </w:rPr>
        <w:t xml:space="preserve">a novel paradigm </w:t>
      </w:r>
      <w:r w:rsidRPr="00770846">
        <w:rPr>
          <w:rFonts w:asciiTheme="majorHAnsi" w:hAnsiTheme="majorHAnsi" w:cstheme="majorHAnsi"/>
          <w:noProof/>
        </w:rPr>
        <w:t xml:space="preserve">for </w:t>
      </w:r>
      <w:r w:rsidR="006766F7" w:rsidRPr="00770846">
        <w:rPr>
          <w:rFonts w:asciiTheme="majorHAnsi" w:hAnsiTheme="majorHAnsi" w:cstheme="majorHAnsi"/>
          <w:noProof/>
        </w:rPr>
        <w:t>radiation therapy prescription</w:t>
      </w:r>
      <w:r w:rsidRPr="00770846">
        <w:rPr>
          <w:rFonts w:asciiTheme="majorHAnsi" w:hAnsiTheme="majorHAnsi" w:cstheme="majorHAnsi"/>
          <w:noProof/>
        </w:rPr>
        <w:t xml:space="preserve">. </w:t>
      </w:r>
      <w:r w:rsidR="00D21CFE" w:rsidRPr="00770846">
        <w:rPr>
          <w:rFonts w:asciiTheme="majorHAnsi" w:hAnsiTheme="majorHAnsi" w:cstheme="majorHAnsi"/>
          <w:i/>
          <w:iCs/>
          <w:noProof/>
        </w:rPr>
        <w:t>Seminars in Radiation Oncology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21</w:t>
      </w:r>
      <w:r w:rsidR="00992710" w:rsidRPr="00770846">
        <w:rPr>
          <w:rFonts w:asciiTheme="majorHAnsi" w:hAnsiTheme="majorHAnsi" w:cstheme="majorHAnsi"/>
          <w:b/>
          <w:bCs/>
          <w:noProof/>
        </w:rPr>
        <w:t xml:space="preserve"> </w:t>
      </w:r>
      <w:r w:rsidR="00992710" w:rsidRPr="00770846">
        <w:rPr>
          <w:rFonts w:asciiTheme="majorHAnsi" w:hAnsiTheme="majorHAnsi" w:cstheme="majorHAnsi"/>
          <w:noProof/>
        </w:rPr>
        <w:t>(2)</w:t>
      </w:r>
      <w:r w:rsidRPr="00770846">
        <w:rPr>
          <w:rFonts w:asciiTheme="majorHAnsi" w:hAnsiTheme="majorHAnsi" w:cstheme="majorHAnsi"/>
          <w:noProof/>
        </w:rPr>
        <w:t>, 101–110 (2011).</w:t>
      </w:r>
    </w:p>
    <w:p w14:paraId="316CD2E5" w14:textId="0C7A0332"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10.</w:t>
      </w:r>
      <w:r w:rsidRPr="00770846">
        <w:rPr>
          <w:rFonts w:asciiTheme="majorHAnsi" w:hAnsiTheme="majorHAnsi" w:cstheme="majorHAnsi"/>
          <w:noProof/>
        </w:rPr>
        <w:tab/>
        <w:t xml:space="preserve">Bentzen, S. M. Theragnostic imaging for radiation oncology: Dose-painting by numbers. </w:t>
      </w:r>
      <w:r w:rsidR="00D21CFE" w:rsidRPr="00770846">
        <w:rPr>
          <w:rFonts w:asciiTheme="majorHAnsi" w:hAnsiTheme="majorHAnsi" w:cstheme="majorHAnsi"/>
          <w:i/>
          <w:iCs/>
          <w:noProof/>
        </w:rPr>
        <w:t>The Lancet</w:t>
      </w:r>
      <w:r w:rsidR="00655642" w:rsidRPr="00770846">
        <w:rPr>
          <w:rFonts w:asciiTheme="majorHAnsi" w:hAnsiTheme="majorHAnsi" w:cstheme="majorHAnsi"/>
          <w:i/>
          <w:iCs/>
          <w:noProof/>
        </w:rPr>
        <w:t>.</w:t>
      </w:r>
      <w:r w:rsidR="00D21CFE" w:rsidRPr="00770846">
        <w:rPr>
          <w:rFonts w:asciiTheme="majorHAnsi" w:hAnsiTheme="majorHAnsi" w:cstheme="majorHAnsi"/>
          <w:i/>
          <w:iCs/>
          <w:noProof/>
        </w:rPr>
        <w:t xml:space="preserve"> Oncology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6</w:t>
      </w:r>
      <w:r w:rsidR="00655642" w:rsidRPr="00770846">
        <w:rPr>
          <w:rFonts w:asciiTheme="majorHAnsi" w:hAnsiTheme="majorHAnsi" w:cstheme="majorHAnsi"/>
          <w:b/>
          <w:bCs/>
          <w:noProof/>
        </w:rPr>
        <w:t xml:space="preserve"> </w:t>
      </w:r>
      <w:r w:rsidR="00655642" w:rsidRPr="00770846">
        <w:rPr>
          <w:rFonts w:asciiTheme="majorHAnsi" w:hAnsiTheme="majorHAnsi" w:cstheme="majorHAnsi"/>
          <w:noProof/>
        </w:rPr>
        <w:t>(2)</w:t>
      </w:r>
      <w:r w:rsidRPr="00770846">
        <w:rPr>
          <w:rFonts w:asciiTheme="majorHAnsi" w:hAnsiTheme="majorHAnsi" w:cstheme="majorHAnsi"/>
          <w:noProof/>
        </w:rPr>
        <w:t>, 112–117 (2005).</w:t>
      </w:r>
    </w:p>
    <w:p w14:paraId="36E36E70" w14:textId="4C37A96C"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11.</w:t>
      </w:r>
      <w:r w:rsidRPr="00770846">
        <w:rPr>
          <w:rFonts w:asciiTheme="majorHAnsi" w:hAnsiTheme="majorHAnsi" w:cstheme="majorHAnsi"/>
          <w:noProof/>
        </w:rPr>
        <w:tab/>
        <w:t>Wong, J. et al. High-</w:t>
      </w:r>
      <w:r w:rsidR="00F7551D" w:rsidRPr="00770846">
        <w:rPr>
          <w:rFonts w:asciiTheme="majorHAnsi" w:hAnsiTheme="majorHAnsi" w:cstheme="majorHAnsi"/>
          <w:noProof/>
        </w:rPr>
        <w:t>resolution</w:t>
      </w:r>
      <w:r w:rsidRPr="00770846">
        <w:rPr>
          <w:rFonts w:asciiTheme="majorHAnsi" w:hAnsiTheme="majorHAnsi" w:cstheme="majorHAnsi"/>
          <w:noProof/>
        </w:rPr>
        <w:t xml:space="preserve">, </w:t>
      </w:r>
      <w:r w:rsidR="00F7551D" w:rsidRPr="00770846">
        <w:rPr>
          <w:rFonts w:asciiTheme="majorHAnsi" w:hAnsiTheme="majorHAnsi" w:cstheme="majorHAnsi"/>
          <w:noProof/>
        </w:rPr>
        <w:t xml:space="preserve">small animal radiation research platform with </w:t>
      </w:r>
      <w:r w:rsidRPr="00770846">
        <w:rPr>
          <w:rFonts w:asciiTheme="majorHAnsi" w:hAnsiTheme="majorHAnsi" w:cstheme="majorHAnsi"/>
          <w:noProof/>
        </w:rPr>
        <w:t>X-</w:t>
      </w:r>
      <w:r w:rsidR="00F7551D" w:rsidRPr="00770846">
        <w:rPr>
          <w:rFonts w:asciiTheme="majorHAnsi" w:hAnsiTheme="majorHAnsi" w:cstheme="majorHAnsi"/>
          <w:noProof/>
        </w:rPr>
        <w:t>ray tomographic guidance capabilities</w:t>
      </w:r>
      <w:r w:rsidRPr="00770846">
        <w:rPr>
          <w:rFonts w:asciiTheme="majorHAnsi" w:hAnsiTheme="majorHAnsi" w:cstheme="majorHAnsi"/>
          <w:noProof/>
        </w:rPr>
        <w:t xml:space="preserve">. </w:t>
      </w:r>
      <w:r w:rsidR="00D21CFE" w:rsidRPr="00770846">
        <w:rPr>
          <w:rFonts w:asciiTheme="majorHAnsi" w:hAnsiTheme="majorHAnsi" w:cstheme="majorHAnsi"/>
          <w:i/>
          <w:iCs/>
          <w:noProof/>
        </w:rPr>
        <w:t>International Journal of Radiation Oncolology</w:t>
      </w:r>
      <w:r w:rsidR="00F7551D" w:rsidRPr="00770846">
        <w:rPr>
          <w:rFonts w:asciiTheme="majorHAnsi" w:hAnsiTheme="majorHAnsi" w:cstheme="majorHAnsi"/>
          <w:i/>
          <w:iCs/>
          <w:noProof/>
        </w:rPr>
        <w:t>,</w:t>
      </w:r>
      <w:r w:rsidR="00D21CFE" w:rsidRPr="00770846">
        <w:rPr>
          <w:rFonts w:asciiTheme="majorHAnsi" w:hAnsiTheme="majorHAnsi" w:cstheme="majorHAnsi"/>
          <w:i/>
          <w:iCs/>
          <w:noProof/>
        </w:rPr>
        <w:t xml:space="preserve"> Biology</w:t>
      </w:r>
      <w:r w:rsidR="00F7551D" w:rsidRPr="00770846">
        <w:rPr>
          <w:rFonts w:asciiTheme="majorHAnsi" w:hAnsiTheme="majorHAnsi" w:cstheme="majorHAnsi"/>
          <w:i/>
          <w:iCs/>
          <w:noProof/>
        </w:rPr>
        <w:t>,</w:t>
      </w:r>
      <w:r w:rsidR="00D21CFE" w:rsidRPr="00770846">
        <w:rPr>
          <w:rFonts w:asciiTheme="majorHAnsi" w:hAnsiTheme="majorHAnsi" w:cstheme="majorHAnsi"/>
          <w:i/>
          <w:iCs/>
          <w:noProof/>
        </w:rPr>
        <w:t xml:space="preserve"> Physics</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71</w:t>
      </w:r>
      <w:r w:rsidR="00F7551D" w:rsidRPr="00770846">
        <w:rPr>
          <w:rFonts w:asciiTheme="majorHAnsi" w:hAnsiTheme="majorHAnsi" w:cstheme="majorHAnsi"/>
          <w:b/>
          <w:bCs/>
          <w:noProof/>
        </w:rPr>
        <w:t xml:space="preserve"> </w:t>
      </w:r>
      <w:r w:rsidR="00F7551D" w:rsidRPr="00770846">
        <w:rPr>
          <w:rFonts w:asciiTheme="majorHAnsi" w:hAnsiTheme="majorHAnsi" w:cstheme="majorHAnsi"/>
          <w:noProof/>
        </w:rPr>
        <w:t>(5)</w:t>
      </w:r>
      <w:r w:rsidRPr="00770846">
        <w:rPr>
          <w:rFonts w:asciiTheme="majorHAnsi" w:hAnsiTheme="majorHAnsi" w:cstheme="majorHAnsi"/>
          <w:noProof/>
        </w:rPr>
        <w:t>, 1591–1599 (2008).</w:t>
      </w:r>
    </w:p>
    <w:p w14:paraId="4E1090F5" w14:textId="535E53E9"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12.</w:t>
      </w:r>
      <w:r w:rsidRPr="00770846">
        <w:rPr>
          <w:rFonts w:asciiTheme="majorHAnsi" w:hAnsiTheme="majorHAnsi" w:cstheme="majorHAnsi"/>
          <w:noProof/>
        </w:rPr>
        <w:tab/>
        <w:t>Van Hoof, S. J., Granton, P. V.</w:t>
      </w:r>
      <w:r w:rsidR="004E7CE6" w:rsidRPr="00770846">
        <w:rPr>
          <w:rFonts w:asciiTheme="majorHAnsi" w:hAnsiTheme="majorHAnsi" w:cstheme="majorHAnsi"/>
          <w:noProof/>
        </w:rPr>
        <w:t xml:space="preserve">, </w:t>
      </w:r>
      <w:r w:rsidRPr="00770846">
        <w:rPr>
          <w:rFonts w:asciiTheme="majorHAnsi" w:hAnsiTheme="majorHAnsi" w:cstheme="majorHAnsi"/>
          <w:noProof/>
        </w:rPr>
        <w:t xml:space="preserve">Verhaegen, F. Development and validation of a treatment planning system for small animal radiotherapy: SmART-Plan. </w:t>
      </w:r>
      <w:r w:rsidR="00D21CFE" w:rsidRPr="00770846">
        <w:rPr>
          <w:rFonts w:asciiTheme="majorHAnsi" w:hAnsiTheme="majorHAnsi" w:cstheme="majorHAnsi"/>
          <w:i/>
          <w:iCs/>
          <w:noProof/>
        </w:rPr>
        <w:t>Radiotherapy and Oncology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109</w:t>
      </w:r>
      <w:r w:rsidR="008E33BA" w:rsidRPr="00770846">
        <w:rPr>
          <w:rFonts w:asciiTheme="majorHAnsi" w:hAnsiTheme="majorHAnsi" w:cstheme="majorHAnsi"/>
          <w:b/>
          <w:bCs/>
          <w:noProof/>
        </w:rPr>
        <w:t xml:space="preserve"> </w:t>
      </w:r>
      <w:r w:rsidR="008E33BA" w:rsidRPr="00770846">
        <w:rPr>
          <w:rFonts w:asciiTheme="majorHAnsi" w:hAnsiTheme="majorHAnsi" w:cstheme="majorHAnsi"/>
          <w:noProof/>
        </w:rPr>
        <w:t>(3)</w:t>
      </w:r>
      <w:r w:rsidRPr="00770846">
        <w:rPr>
          <w:rFonts w:asciiTheme="majorHAnsi" w:hAnsiTheme="majorHAnsi" w:cstheme="majorHAnsi"/>
          <w:noProof/>
        </w:rPr>
        <w:t>, 361–366 (2013).</w:t>
      </w:r>
    </w:p>
    <w:p w14:paraId="6C95F1C6" w14:textId="120DEB51"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13.</w:t>
      </w:r>
      <w:r w:rsidRPr="00770846">
        <w:rPr>
          <w:rFonts w:asciiTheme="majorHAnsi" w:hAnsiTheme="majorHAnsi" w:cstheme="majorHAnsi"/>
          <w:noProof/>
        </w:rPr>
        <w:tab/>
        <w:t>Verhaegen, F., Granton, P.</w:t>
      </w:r>
      <w:r w:rsidR="002F3382" w:rsidRPr="00770846">
        <w:rPr>
          <w:rFonts w:asciiTheme="majorHAnsi" w:hAnsiTheme="majorHAnsi" w:cstheme="majorHAnsi"/>
          <w:noProof/>
        </w:rPr>
        <w:t>,</w:t>
      </w:r>
      <w:r w:rsidRPr="00770846">
        <w:rPr>
          <w:rFonts w:asciiTheme="majorHAnsi" w:hAnsiTheme="majorHAnsi" w:cstheme="majorHAnsi"/>
          <w:noProof/>
        </w:rPr>
        <w:t xml:space="preserve"> Tryggestad, E. Small animal radiotherapy research platforms. </w:t>
      </w:r>
      <w:r w:rsidR="00E40EC8" w:rsidRPr="00770846">
        <w:rPr>
          <w:rFonts w:asciiTheme="majorHAnsi" w:hAnsiTheme="majorHAnsi" w:cstheme="majorHAnsi"/>
          <w:i/>
          <w:iCs/>
          <w:noProof/>
        </w:rPr>
        <w:t>Physics in Medicine &amp; Biology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56</w:t>
      </w:r>
      <w:r w:rsidR="00BE3B4B" w:rsidRPr="00770846">
        <w:rPr>
          <w:rFonts w:asciiTheme="majorHAnsi" w:hAnsiTheme="majorHAnsi" w:cstheme="majorHAnsi"/>
          <w:b/>
          <w:bCs/>
          <w:noProof/>
        </w:rPr>
        <w:t xml:space="preserve"> </w:t>
      </w:r>
      <w:r w:rsidR="00BE3B4B" w:rsidRPr="00770846">
        <w:rPr>
          <w:rFonts w:asciiTheme="majorHAnsi" w:hAnsiTheme="majorHAnsi" w:cstheme="majorHAnsi"/>
          <w:noProof/>
        </w:rPr>
        <w:t>(12)</w:t>
      </w:r>
      <w:r w:rsidRPr="00770846">
        <w:rPr>
          <w:rFonts w:asciiTheme="majorHAnsi" w:hAnsiTheme="majorHAnsi" w:cstheme="majorHAnsi"/>
          <w:noProof/>
        </w:rPr>
        <w:t>, R55–R83 (2011).</w:t>
      </w:r>
    </w:p>
    <w:p w14:paraId="4F6932EA" w14:textId="0E6B60F7"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14.</w:t>
      </w:r>
      <w:r w:rsidRPr="00770846">
        <w:rPr>
          <w:rFonts w:asciiTheme="majorHAnsi" w:hAnsiTheme="majorHAnsi" w:cstheme="majorHAnsi"/>
          <w:noProof/>
        </w:rPr>
        <w:tab/>
        <w:t>Butterworth, K. T., Prise, K. M.</w:t>
      </w:r>
      <w:r w:rsidR="002F3382" w:rsidRPr="00770846">
        <w:rPr>
          <w:rFonts w:asciiTheme="majorHAnsi" w:hAnsiTheme="majorHAnsi" w:cstheme="majorHAnsi"/>
          <w:noProof/>
        </w:rPr>
        <w:t>,</w:t>
      </w:r>
      <w:r w:rsidRPr="00770846">
        <w:rPr>
          <w:rFonts w:asciiTheme="majorHAnsi" w:hAnsiTheme="majorHAnsi" w:cstheme="majorHAnsi"/>
          <w:noProof/>
        </w:rPr>
        <w:t xml:space="preserve"> Verhaegen, F. Small animal image-guided radiotherapy: Status, considerations and potential for translational impact. </w:t>
      </w:r>
      <w:r w:rsidR="00E40EC8" w:rsidRPr="00770846">
        <w:rPr>
          <w:rFonts w:asciiTheme="majorHAnsi" w:hAnsiTheme="majorHAnsi" w:cstheme="majorHAnsi"/>
          <w:i/>
          <w:iCs/>
          <w:noProof/>
        </w:rPr>
        <w:t>The British Journal of Radiology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88</w:t>
      </w:r>
      <w:r w:rsidR="0056165A" w:rsidRPr="00770846">
        <w:rPr>
          <w:rFonts w:asciiTheme="majorHAnsi" w:hAnsiTheme="majorHAnsi" w:cstheme="majorHAnsi"/>
          <w:b/>
          <w:bCs/>
          <w:noProof/>
        </w:rPr>
        <w:t xml:space="preserve"> </w:t>
      </w:r>
      <w:r w:rsidR="0056165A" w:rsidRPr="00770846">
        <w:rPr>
          <w:rFonts w:asciiTheme="majorHAnsi" w:hAnsiTheme="majorHAnsi" w:cstheme="majorHAnsi"/>
          <w:noProof/>
        </w:rPr>
        <w:t>(1045)</w:t>
      </w:r>
      <w:r w:rsidRPr="00770846">
        <w:rPr>
          <w:rFonts w:asciiTheme="majorHAnsi" w:hAnsiTheme="majorHAnsi" w:cstheme="majorHAnsi"/>
          <w:noProof/>
        </w:rPr>
        <w:t xml:space="preserve">, </w:t>
      </w:r>
      <w:r w:rsidR="0056165A" w:rsidRPr="00770846">
        <w:rPr>
          <w:rFonts w:asciiTheme="majorHAnsi" w:hAnsiTheme="majorHAnsi" w:cstheme="majorHAnsi"/>
          <w:noProof/>
        </w:rPr>
        <w:t>20140634</w:t>
      </w:r>
      <w:r w:rsidRPr="00770846">
        <w:rPr>
          <w:rFonts w:asciiTheme="majorHAnsi" w:hAnsiTheme="majorHAnsi" w:cstheme="majorHAnsi"/>
          <w:noProof/>
        </w:rPr>
        <w:t xml:space="preserve"> (2015).</w:t>
      </w:r>
    </w:p>
    <w:p w14:paraId="11D309C3" w14:textId="77978126"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lastRenderedPageBreak/>
        <w:t>15.</w:t>
      </w:r>
      <w:r w:rsidRPr="00770846">
        <w:rPr>
          <w:rFonts w:asciiTheme="majorHAnsi" w:hAnsiTheme="majorHAnsi" w:cstheme="majorHAnsi"/>
          <w:noProof/>
        </w:rPr>
        <w:tab/>
        <w:t>Nasr, A.</w:t>
      </w:r>
      <w:r w:rsidR="00122A8B" w:rsidRPr="00770846">
        <w:rPr>
          <w:rFonts w:asciiTheme="majorHAnsi" w:hAnsiTheme="majorHAnsi" w:cstheme="majorHAnsi"/>
          <w:noProof/>
        </w:rPr>
        <w:t>,</w:t>
      </w:r>
      <w:r w:rsidRPr="00770846">
        <w:rPr>
          <w:rFonts w:asciiTheme="majorHAnsi" w:hAnsiTheme="majorHAnsi" w:cstheme="majorHAnsi"/>
          <w:noProof/>
        </w:rPr>
        <w:t xml:space="preserve"> Habash, A. Dosimetric analytic comparison of inverse and forward planned IMRT techniques in the treatment of head and neck cancer. </w:t>
      </w:r>
      <w:r w:rsidR="00E40EC8" w:rsidRPr="00770846">
        <w:rPr>
          <w:rFonts w:asciiTheme="majorHAnsi" w:hAnsiTheme="majorHAnsi" w:cstheme="majorHAnsi"/>
          <w:i/>
          <w:iCs/>
          <w:noProof/>
        </w:rPr>
        <w:t>Journal of the Egyptian National Cancer Institute</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26</w:t>
      </w:r>
      <w:r w:rsidR="00643D0E" w:rsidRPr="00770846">
        <w:rPr>
          <w:rFonts w:asciiTheme="majorHAnsi" w:hAnsiTheme="majorHAnsi" w:cstheme="majorHAnsi"/>
          <w:b/>
          <w:bCs/>
          <w:noProof/>
        </w:rPr>
        <w:t xml:space="preserve"> </w:t>
      </w:r>
      <w:r w:rsidR="00643D0E" w:rsidRPr="00770846">
        <w:rPr>
          <w:rFonts w:asciiTheme="majorHAnsi" w:hAnsiTheme="majorHAnsi" w:cstheme="majorHAnsi"/>
          <w:noProof/>
        </w:rPr>
        <w:t>(3)</w:t>
      </w:r>
      <w:r w:rsidRPr="00770846">
        <w:rPr>
          <w:rFonts w:asciiTheme="majorHAnsi" w:hAnsiTheme="majorHAnsi" w:cstheme="majorHAnsi"/>
          <w:noProof/>
        </w:rPr>
        <w:t>, 119–125 (2014).</w:t>
      </w:r>
    </w:p>
    <w:p w14:paraId="682A2DA4" w14:textId="68C3667C"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16.</w:t>
      </w:r>
      <w:r w:rsidRPr="00770846">
        <w:rPr>
          <w:rFonts w:asciiTheme="majorHAnsi" w:hAnsiTheme="majorHAnsi" w:cstheme="majorHAnsi"/>
          <w:noProof/>
        </w:rPr>
        <w:tab/>
        <w:t>Matinfar, M., Iyer, S., Ford, E., Wong, J.</w:t>
      </w:r>
      <w:r w:rsidR="00122A8B" w:rsidRPr="00770846">
        <w:rPr>
          <w:rFonts w:asciiTheme="majorHAnsi" w:hAnsiTheme="majorHAnsi" w:cstheme="majorHAnsi"/>
          <w:noProof/>
        </w:rPr>
        <w:t>,</w:t>
      </w:r>
      <w:r w:rsidRPr="00770846">
        <w:rPr>
          <w:rFonts w:asciiTheme="majorHAnsi" w:hAnsiTheme="majorHAnsi" w:cstheme="majorHAnsi"/>
          <w:noProof/>
        </w:rPr>
        <w:t xml:space="preserve"> Kazanzides, P. Image guided complex dose delivery for small animal radiotherapy. </w:t>
      </w:r>
      <w:r w:rsidR="00E40EC8" w:rsidRPr="00770846">
        <w:rPr>
          <w:rFonts w:asciiTheme="majorHAnsi" w:hAnsiTheme="majorHAnsi" w:cstheme="majorHAnsi"/>
          <w:i/>
          <w:iCs/>
          <w:noProof/>
        </w:rPr>
        <w:t>IEEE International Symposium on Biomedical Imaging: From Nano to Macro</w:t>
      </w:r>
      <w:r w:rsidRPr="00770846">
        <w:rPr>
          <w:rFonts w:asciiTheme="majorHAnsi" w:hAnsiTheme="majorHAnsi" w:cstheme="majorHAnsi"/>
          <w:i/>
          <w:iCs/>
          <w:noProof/>
        </w:rPr>
        <w:t>,</w:t>
      </w:r>
      <w:r w:rsidR="00443C59" w:rsidRPr="00770846">
        <w:rPr>
          <w:rFonts w:asciiTheme="majorHAnsi" w:hAnsiTheme="majorHAnsi" w:cstheme="majorHAnsi"/>
          <w:noProof/>
        </w:rPr>
        <w:t xml:space="preserve"> </w:t>
      </w:r>
      <w:r w:rsidRPr="00770846">
        <w:rPr>
          <w:rFonts w:asciiTheme="majorHAnsi" w:hAnsiTheme="majorHAnsi" w:cstheme="majorHAnsi"/>
          <w:noProof/>
        </w:rPr>
        <w:t>1243–1246 (2009).</w:t>
      </w:r>
    </w:p>
    <w:p w14:paraId="3525E870" w14:textId="2B3F97A3"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17.</w:t>
      </w:r>
      <w:r w:rsidRPr="00770846">
        <w:rPr>
          <w:rFonts w:asciiTheme="majorHAnsi" w:hAnsiTheme="majorHAnsi" w:cstheme="majorHAnsi"/>
          <w:noProof/>
        </w:rPr>
        <w:tab/>
        <w:t>Matinfar, M., Iordachita, I., Wong, J.</w:t>
      </w:r>
      <w:r w:rsidR="00122A8B" w:rsidRPr="00770846">
        <w:rPr>
          <w:rFonts w:asciiTheme="majorHAnsi" w:hAnsiTheme="majorHAnsi" w:cstheme="majorHAnsi"/>
          <w:noProof/>
        </w:rPr>
        <w:t>,</w:t>
      </w:r>
      <w:r w:rsidRPr="00770846">
        <w:rPr>
          <w:rFonts w:asciiTheme="majorHAnsi" w:hAnsiTheme="majorHAnsi" w:cstheme="majorHAnsi"/>
          <w:noProof/>
        </w:rPr>
        <w:t xml:space="preserve"> Kazanzides, P. Robotic delivery of complex radiation volumes for small animal research. </w:t>
      </w:r>
      <w:r w:rsidR="00E40EC8" w:rsidRPr="00770846">
        <w:rPr>
          <w:rFonts w:asciiTheme="majorHAnsi" w:hAnsiTheme="majorHAnsi" w:cstheme="majorHAnsi"/>
          <w:i/>
          <w:iCs/>
          <w:noProof/>
        </w:rPr>
        <w:t>IEEE International Conference on Robotics and Automation</w:t>
      </w:r>
      <w:r w:rsidRPr="00770846">
        <w:rPr>
          <w:rFonts w:asciiTheme="majorHAnsi" w:hAnsiTheme="majorHAnsi" w:cstheme="majorHAnsi"/>
          <w:i/>
          <w:iCs/>
          <w:noProof/>
        </w:rPr>
        <w:t>.</w:t>
      </w:r>
      <w:r w:rsidRPr="00770846">
        <w:rPr>
          <w:rFonts w:asciiTheme="majorHAnsi" w:hAnsiTheme="majorHAnsi" w:cstheme="majorHAnsi"/>
          <w:noProof/>
        </w:rPr>
        <w:t xml:space="preserve"> 2056–2061 (2010).</w:t>
      </w:r>
    </w:p>
    <w:p w14:paraId="0A52CDD5" w14:textId="4835D5A5"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18.</w:t>
      </w:r>
      <w:r w:rsidRPr="00770846">
        <w:rPr>
          <w:rFonts w:asciiTheme="majorHAnsi" w:hAnsiTheme="majorHAnsi" w:cstheme="majorHAnsi"/>
          <w:noProof/>
        </w:rPr>
        <w:tab/>
        <w:t>Balvert, M. et al</w:t>
      </w:r>
      <w:r w:rsidRPr="00770846">
        <w:rPr>
          <w:rFonts w:asciiTheme="majorHAnsi" w:hAnsiTheme="majorHAnsi" w:cstheme="majorHAnsi"/>
          <w:i/>
          <w:iCs/>
          <w:noProof/>
        </w:rPr>
        <w:t>.</w:t>
      </w:r>
      <w:r w:rsidRPr="00770846">
        <w:rPr>
          <w:rFonts w:asciiTheme="majorHAnsi" w:hAnsiTheme="majorHAnsi" w:cstheme="majorHAnsi"/>
          <w:noProof/>
        </w:rPr>
        <w:t xml:space="preserve"> A framework for inverse planning of beam-on times for 3D small animal radiotherapy using interactive multi-objective optimisation. </w:t>
      </w:r>
      <w:r w:rsidR="00E40EC8" w:rsidRPr="00770846">
        <w:rPr>
          <w:rFonts w:asciiTheme="majorHAnsi" w:hAnsiTheme="majorHAnsi" w:cstheme="majorHAnsi"/>
          <w:i/>
          <w:iCs/>
          <w:noProof/>
        </w:rPr>
        <w:t>Physics in Medicine &amp; Biology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60</w:t>
      </w:r>
      <w:r w:rsidR="00FA5B8C" w:rsidRPr="00770846">
        <w:rPr>
          <w:rFonts w:asciiTheme="majorHAnsi" w:hAnsiTheme="majorHAnsi" w:cstheme="majorHAnsi"/>
          <w:b/>
          <w:bCs/>
          <w:noProof/>
        </w:rPr>
        <w:t xml:space="preserve"> </w:t>
      </w:r>
      <w:r w:rsidR="00FA5B8C" w:rsidRPr="00770846">
        <w:rPr>
          <w:rFonts w:asciiTheme="majorHAnsi" w:hAnsiTheme="majorHAnsi" w:cstheme="majorHAnsi"/>
          <w:noProof/>
        </w:rPr>
        <w:t>(14)</w:t>
      </w:r>
      <w:r w:rsidRPr="00770846">
        <w:rPr>
          <w:rFonts w:asciiTheme="majorHAnsi" w:hAnsiTheme="majorHAnsi" w:cstheme="majorHAnsi"/>
          <w:noProof/>
        </w:rPr>
        <w:t>, 5681–5698 (2015).</w:t>
      </w:r>
    </w:p>
    <w:p w14:paraId="25AF2040" w14:textId="54EEE0E3"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19.</w:t>
      </w:r>
      <w:r w:rsidRPr="00770846">
        <w:rPr>
          <w:rFonts w:asciiTheme="majorHAnsi" w:hAnsiTheme="majorHAnsi" w:cstheme="majorHAnsi"/>
          <w:noProof/>
        </w:rPr>
        <w:tab/>
        <w:t>Cho, N. B., Wong, J.</w:t>
      </w:r>
      <w:r w:rsidR="00122A8B" w:rsidRPr="00770846">
        <w:rPr>
          <w:rFonts w:asciiTheme="majorHAnsi" w:hAnsiTheme="majorHAnsi" w:cstheme="majorHAnsi"/>
          <w:noProof/>
        </w:rPr>
        <w:t>,</w:t>
      </w:r>
      <w:r w:rsidRPr="00770846">
        <w:rPr>
          <w:rFonts w:asciiTheme="majorHAnsi" w:hAnsiTheme="majorHAnsi" w:cstheme="majorHAnsi"/>
          <w:noProof/>
        </w:rPr>
        <w:t xml:space="preserve"> Kazanzides, P. Dose Painting with a Variable Collimator for the Small Animal Radiation Research Platform (SARRP). </w:t>
      </w:r>
      <w:r w:rsidR="00C145F6" w:rsidRPr="00770846">
        <w:rPr>
          <w:rFonts w:asciiTheme="majorHAnsi" w:hAnsiTheme="majorHAnsi" w:cstheme="majorHAnsi"/>
          <w:i/>
          <w:iCs/>
          <w:noProof/>
        </w:rPr>
        <w:t xml:space="preserve">The </w:t>
      </w:r>
      <w:r w:rsidRPr="00770846">
        <w:rPr>
          <w:rFonts w:asciiTheme="majorHAnsi" w:hAnsiTheme="majorHAnsi" w:cstheme="majorHAnsi"/>
          <w:i/>
          <w:iCs/>
          <w:noProof/>
        </w:rPr>
        <w:t>Midas</w:t>
      </w:r>
      <w:r w:rsidR="00C145F6" w:rsidRPr="00770846">
        <w:rPr>
          <w:rFonts w:asciiTheme="majorHAnsi" w:hAnsiTheme="majorHAnsi" w:cstheme="majorHAnsi"/>
          <w:i/>
          <w:iCs/>
          <w:noProof/>
        </w:rPr>
        <w:t xml:space="preserve"> Journal.</w:t>
      </w:r>
      <w:r w:rsidRPr="00770846">
        <w:rPr>
          <w:rFonts w:asciiTheme="majorHAnsi" w:hAnsiTheme="majorHAnsi" w:cstheme="majorHAnsi"/>
          <w:noProof/>
        </w:rPr>
        <w:t xml:space="preserve"> 1–8 (2014).</w:t>
      </w:r>
    </w:p>
    <w:p w14:paraId="4A74EFBF" w14:textId="41A913F8"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20.</w:t>
      </w:r>
      <w:r w:rsidRPr="00770846">
        <w:rPr>
          <w:rFonts w:asciiTheme="majorHAnsi" w:hAnsiTheme="majorHAnsi" w:cstheme="majorHAnsi"/>
          <w:noProof/>
        </w:rPr>
        <w:tab/>
        <w:t xml:space="preserve">Bolcaen, J. et al. MRI-guided 3D conformal arc micro-irradiation of a F98 glioblastoma rat model using the Small Animal Radiation Research Platform (SARRP). </w:t>
      </w:r>
      <w:r w:rsidR="00E40EC8" w:rsidRPr="00770846">
        <w:rPr>
          <w:rFonts w:asciiTheme="majorHAnsi" w:hAnsiTheme="majorHAnsi" w:cstheme="majorHAnsi"/>
          <w:i/>
          <w:iCs/>
          <w:noProof/>
        </w:rPr>
        <w:t>Journal of Neuro-</w:t>
      </w:r>
      <w:r w:rsidR="005129E1" w:rsidRPr="00770846">
        <w:rPr>
          <w:rFonts w:asciiTheme="majorHAnsi" w:hAnsiTheme="majorHAnsi" w:cstheme="majorHAnsi"/>
          <w:i/>
          <w:iCs/>
          <w:noProof/>
        </w:rPr>
        <w:t>o</w:t>
      </w:r>
      <w:r w:rsidR="00E40EC8" w:rsidRPr="00770846">
        <w:rPr>
          <w:rFonts w:asciiTheme="majorHAnsi" w:hAnsiTheme="majorHAnsi" w:cstheme="majorHAnsi"/>
          <w:i/>
          <w:iCs/>
          <w:noProof/>
        </w:rPr>
        <w:t>ncology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120</w:t>
      </w:r>
      <w:r w:rsidR="005129E1" w:rsidRPr="00770846">
        <w:rPr>
          <w:rFonts w:asciiTheme="majorHAnsi" w:hAnsiTheme="majorHAnsi" w:cstheme="majorHAnsi"/>
          <w:b/>
          <w:bCs/>
          <w:noProof/>
        </w:rPr>
        <w:t xml:space="preserve"> </w:t>
      </w:r>
      <w:r w:rsidR="005129E1" w:rsidRPr="00770846">
        <w:rPr>
          <w:rFonts w:asciiTheme="majorHAnsi" w:hAnsiTheme="majorHAnsi" w:cstheme="majorHAnsi"/>
          <w:noProof/>
        </w:rPr>
        <w:t>(2)</w:t>
      </w:r>
      <w:r w:rsidRPr="00770846">
        <w:rPr>
          <w:rFonts w:asciiTheme="majorHAnsi" w:hAnsiTheme="majorHAnsi" w:cstheme="majorHAnsi"/>
          <w:noProof/>
        </w:rPr>
        <w:t>, 257–</w:t>
      </w:r>
      <w:r w:rsidR="005129E1" w:rsidRPr="00770846">
        <w:rPr>
          <w:rFonts w:asciiTheme="majorHAnsi" w:hAnsiTheme="majorHAnsi" w:cstheme="majorHAnsi"/>
          <w:noProof/>
        </w:rPr>
        <w:t>2</w:t>
      </w:r>
      <w:r w:rsidRPr="00770846">
        <w:rPr>
          <w:rFonts w:asciiTheme="majorHAnsi" w:hAnsiTheme="majorHAnsi" w:cstheme="majorHAnsi"/>
          <w:noProof/>
        </w:rPr>
        <w:t>66 (2014).</w:t>
      </w:r>
    </w:p>
    <w:p w14:paraId="031E4A95" w14:textId="320FF871"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21.</w:t>
      </w:r>
      <w:r w:rsidRPr="00770846">
        <w:rPr>
          <w:rFonts w:asciiTheme="majorHAnsi" w:hAnsiTheme="majorHAnsi" w:cstheme="majorHAnsi"/>
          <w:noProof/>
        </w:rPr>
        <w:tab/>
        <w:t>Bolcaen, J., Descamps, B., Boterberg, T., Vanhove, C.</w:t>
      </w:r>
      <w:r w:rsidR="00122A8B" w:rsidRPr="00770846">
        <w:rPr>
          <w:rFonts w:asciiTheme="majorHAnsi" w:hAnsiTheme="majorHAnsi" w:cstheme="majorHAnsi"/>
          <w:noProof/>
        </w:rPr>
        <w:t>,</w:t>
      </w:r>
      <w:r w:rsidRPr="00770846">
        <w:rPr>
          <w:rFonts w:asciiTheme="majorHAnsi" w:hAnsiTheme="majorHAnsi" w:cstheme="majorHAnsi"/>
          <w:noProof/>
        </w:rPr>
        <w:t xml:space="preserve"> Goethals, I. PET and MRI </w:t>
      </w:r>
      <w:r w:rsidR="006169B7" w:rsidRPr="00770846">
        <w:rPr>
          <w:rFonts w:asciiTheme="majorHAnsi" w:hAnsiTheme="majorHAnsi" w:cstheme="majorHAnsi"/>
          <w:noProof/>
        </w:rPr>
        <w:t xml:space="preserve">guided irradiation </w:t>
      </w:r>
      <w:r w:rsidRPr="00770846">
        <w:rPr>
          <w:rFonts w:asciiTheme="majorHAnsi" w:hAnsiTheme="majorHAnsi" w:cstheme="majorHAnsi"/>
          <w:noProof/>
        </w:rPr>
        <w:t xml:space="preserve">of a </w:t>
      </w:r>
      <w:r w:rsidR="006169B7" w:rsidRPr="00770846">
        <w:rPr>
          <w:rFonts w:asciiTheme="majorHAnsi" w:hAnsiTheme="majorHAnsi" w:cstheme="majorHAnsi"/>
          <w:noProof/>
        </w:rPr>
        <w:t xml:space="preserve">glioblastoma rat model using </w:t>
      </w:r>
      <w:r w:rsidRPr="00770846">
        <w:rPr>
          <w:rFonts w:asciiTheme="majorHAnsi" w:hAnsiTheme="majorHAnsi" w:cstheme="majorHAnsi"/>
          <w:noProof/>
        </w:rPr>
        <w:t xml:space="preserve">a </w:t>
      </w:r>
      <w:r w:rsidR="006169B7" w:rsidRPr="00770846">
        <w:rPr>
          <w:rFonts w:asciiTheme="majorHAnsi" w:hAnsiTheme="majorHAnsi" w:cstheme="majorHAnsi"/>
          <w:noProof/>
        </w:rPr>
        <w:t>micro</w:t>
      </w:r>
      <w:r w:rsidRPr="00770846">
        <w:rPr>
          <w:rFonts w:asciiTheme="majorHAnsi" w:hAnsiTheme="majorHAnsi" w:cstheme="majorHAnsi"/>
          <w:noProof/>
        </w:rPr>
        <w:t xml:space="preserve">-irradiator. </w:t>
      </w:r>
      <w:r w:rsidR="00E40EC8" w:rsidRPr="00770846">
        <w:rPr>
          <w:rFonts w:asciiTheme="majorHAnsi" w:hAnsiTheme="majorHAnsi" w:cstheme="majorHAnsi"/>
          <w:i/>
          <w:iCs/>
          <w:noProof/>
        </w:rPr>
        <w:t>Journal of Visualized Experiments</w:t>
      </w:r>
      <w:r w:rsidR="006169B7" w:rsidRPr="00770846">
        <w:rPr>
          <w:rFonts w:asciiTheme="majorHAnsi" w:hAnsiTheme="majorHAnsi" w:cstheme="majorHAnsi"/>
          <w:i/>
          <w:iCs/>
          <w:noProof/>
        </w:rPr>
        <w:t>: JoVE</w:t>
      </w:r>
      <w:r w:rsidRPr="00770846">
        <w:rPr>
          <w:rFonts w:asciiTheme="majorHAnsi" w:hAnsiTheme="majorHAnsi" w:cstheme="majorHAnsi"/>
          <w:i/>
          <w:iCs/>
          <w:noProof/>
        </w:rPr>
        <w:t>.</w:t>
      </w:r>
      <w:r w:rsidRPr="00770846">
        <w:rPr>
          <w:rFonts w:asciiTheme="majorHAnsi" w:hAnsiTheme="majorHAnsi" w:cstheme="majorHAnsi"/>
          <w:noProof/>
        </w:rPr>
        <w:t xml:space="preserve"> </w:t>
      </w:r>
      <w:r w:rsidR="00A927A6" w:rsidRPr="00770846">
        <w:rPr>
          <w:rFonts w:asciiTheme="majorHAnsi" w:hAnsiTheme="majorHAnsi" w:cstheme="majorHAnsi"/>
          <w:noProof/>
        </w:rPr>
        <w:t>(130), 56601</w:t>
      </w:r>
      <w:r w:rsidRPr="00770846">
        <w:rPr>
          <w:rFonts w:asciiTheme="majorHAnsi" w:hAnsiTheme="majorHAnsi" w:cstheme="majorHAnsi"/>
          <w:noProof/>
        </w:rPr>
        <w:t xml:space="preserve"> (2017).</w:t>
      </w:r>
    </w:p>
    <w:p w14:paraId="3C1FE196" w14:textId="7104A610"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22.</w:t>
      </w:r>
      <w:r w:rsidRPr="00770846">
        <w:rPr>
          <w:rFonts w:asciiTheme="majorHAnsi" w:hAnsiTheme="majorHAnsi" w:cstheme="majorHAnsi"/>
          <w:noProof/>
        </w:rPr>
        <w:tab/>
        <w:t>Verhoeven, J. et al. Technical feasibility of [</w:t>
      </w:r>
      <w:r w:rsidRPr="00770846">
        <w:rPr>
          <w:rFonts w:asciiTheme="majorHAnsi" w:hAnsiTheme="majorHAnsi" w:cstheme="majorHAnsi"/>
          <w:noProof/>
          <w:vertAlign w:val="superscript"/>
        </w:rPr>
        <w:t>18</w:t>
      </w:r>
      <w:r w:rsidRPr="00770846">
        <w:rPr>
          <w:rFonts w:asciiTheme="majorHAnsi" w:hAnsiTheme="majorHAnsi" w:cstheme="majorHAnsi"/>
          <w:noProof/>
        </w:rPr>
        <w:t>F]FET and [</w:t>
      </w:r>
      <w:r w:rsidRPr="00770846">
        <w:rPr>
          <w:rFonts w:asciiTheme="majorHAnsi" w:hAnsiTheme="majorHAnsi" w:cstheme="majorHAnsi"/>
          <w:noProof/>
          <w:vertAlign w:val="superscript"/>
        </w:rPr>
        <w:t>18</w:t>
      </w:r>
      <w:r w:rsidRPr="00770846">
        <w:rPr>
          <w:rFonts w:asciiTheme="majorHAnsi" w:hAnsiTheme="majorHAnsi" w:cstheme="majorHAnsi"/>
          <w:noProof/>
        </w:rPr>
        <w:t xml:space="preserve">F]FAZA PET guided radiotherapy in a F98 glioblastoma rat model. </w:t>
      </w:r>
      <w:r w:rsidR="00E40EC8" w:rsidRPr="00770846">
        <w:rPr>
          <w:rFonts w:asciiTheme="majorHAnsi" w:hAnsiTheme="majorHAnsi" w:cstheme="majorHAnsi"/>
          <w:i/>
          <w:iCs/>
          <w:noProof/>
        </w:rPr>
        <w:t>Radiation Oncology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14</w:t>
      </w:r>
      <w:r w:rsidR="00A26D8E" w:rsidRPr="00770846">
        <w:rPr>
          <w:rFonts w:asciiTheme="majorHAnsi" w:hAnsiTheme="majorHAnsi" w:cstheme="majorHAnsi"/>
          <w:b/>
          <w:bCs/>
          <w:noProof/>
        </w:rPr>
        <w:t xml:space="preserve"> </w:t>
      </w:r>
      <w:r w:rsidR="00A26D8E" w:rsidRPr="00770846">
        <w:rPr>
          <w:rFonts w:asciiTheme="majorHAnsi" w:hAnsiTheme="majorHAnsi" w:cstheme="majorHAnsi"/>
          <w:noProof/>
        </w:rPr>
        <w:t>(1)</w:t>
      </w:r>
      <w:r w:rsidRPr="00770846">
        <w:rPr>
          <w:rFonts w:asciiTheme="majorHAnsi" w:hAnsiTheme="majorHAnsi" w:cstheme="majorHAnsi"/>
          <w:noProof/>
        </w:rPr>
        <w:t>,</w:t>
      </w:r>
      <w:r w:rsidR="00A26D8E" w:rsidRPr="00770846">
        <w:rPr>
          <w:rFonts w:asciiTheme="majorHAnsi" w:hAnsiTheme="majorHAnsi" w:cstheme="majorHAnsi"/>
          <w:noProof/>
        </w:rPr>
        <w:t xml:space="preserve"> 89</w:t>
      </w:r>
      <w:r w:rsidRPr="00770846">
        <w:rPr>
          <w:rFonts w:asciiTheme="majorHAnsi" w:hAnsiTheme="majorHAnsi" w:cstheme="majorHAnsi"/>
          <w:noProof/>
        </w:rPr>
        <w:t xml:space="preserve"> (2019).</w:t>
      </w:r>
    </w:p>
    <w:p w14:paraId="2E1E1ED2" w14:textId="29BAC791"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23.</w:t>
      </w:r>
      <w:r w:rsidRPr="00770846">
        <w:rPr>
          <w:rFonts w:asciiTheme="majorHAnsi" w:hAnsiTheme="majorHAnsi" w:cstheme="majorHAnsi"/>
          <w:noProof/>
        </w:rPr>
        <w:tab/>
        <w:t>Hutterer, M. et al</w:t>
      </w:r>
      <w:r w:rsidRPr="00770846">
        <w:rPr>
          <w:rFonts w:asciiTheme="majorHAnsi" w:hAnsiTheme="majorHAnsi" w:cstheme="majorHAnsi"/>
          <w:i/>
          <w:iCs/>
          <w:noProof/>
        </w:rPr>
        <w:t>.</w:t>
      </w:r>
      <w:r w:rsidRPr="00770846">
        <w:rPr>
          <w:rFonts w:asciiTheme="majorHAnsi" w:hAnsiTheme="majorHAnsi" w:cstheme="majorHAnsi"/>
          <w:noProof/>
        </w:rPr>
        <w:t xml:space="preserve"> FET PET: a valuable diagnostic tool in neuro-oncology, but not all that glitters is glioma. </w:t>
      </w:r>
      <w:r w:rsidR="00E40EC8" w:rsidRPr="00770846">
        <w:rPr>
          <w:rFonts w:asciiTheme="majorHAnsi" w:hAnsiTheme="majorHAnsi" w:cstheme="majorHAnsi"/>
          <w:i/>
          <w:iCs/>
          <w:noProof/>
        </w:rPr>
        <w:t>Neuro-</w:t>
      </w:r>
      <w:r w:rsidR="00421511" w:rsidRPr="00770846">
        <w:rPr>
          <w:rFonts w:asciiTheme="majorHAnsi" w:hAnsiTheme="majorHAnsi" w:cstheme="majorHAnsi"/>
          <w:i/>
          <w:iCs/>
          <w:noProof/>
        </w:rPr>
        <w:t>o</w:t>
      </w:r>
      <w:r w:rsidR="00E40EC8" w:rsidRPr="00770846">
        <w:rPr>
          <w:rFonts w:asciiTheme="majorHAnsi" w:hAnsiTheme="majorHAnsi" w:cstheme="majorHAnsi"/>
          <w:i/>
          <w:iCs/>
          <w:noProof/>
        </w:rPr>
        <w:t>ncology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15</w:t>
      </w:r>
      <w:r w:rsidR="00421511" w:rsidRPr="00770846">
        <w:rPr>
          <w:rFonts w:asciiTheme="majorHAnsi" w:hAnsiTheme="majorHAnsi" w:cstheme="majorHAnsi"/>
          <w:b/>
          <w:bCs/>
          <w:noProof/>
        </w:rPr>
        <w:t xml:space="preserve"> </w:t>
      </w:r>
      <w:r w:rsidR="00421511" w:rsidRPr="00770846">
        <w:rPr>
          <w:rFonts w:asciiTheme="majorHAnsi" w:hAnsiTheme="majorHAnsi" w:cstheme="majorHAnsi"/>
          <w:noProof/>
        </w:rPr>
        <w:t>(3)</w:t>
      </w:r>
      <w:r w:rsidRPr="00770846">
        <w:rPr>
          <w:rFonts w:asciiTheme="majorHAnsi" w:hAnsiTheme="majorHAnsi" w:cstheme="majorHAnsi"/>
          <w:noProof/>
        </w:rPr>
        <w:t>, 341–351 (2013).</w:t>
      </w:r>
    </w:p>
    <w:p w14:paraId="54913B46" w14:textId="7D86C835"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24.</w:t>
      </w:r>
      <w:r w:rsidRPr="00770846">
        <w:rPr>
          <w:rFonts w:asciiTheme="majorHAnsi" w:hAnsiTheme="majorHAnsi" w:cstheme="majorHAnsi"/>
          <w:noProof/>
        </w:rPr>
        <w:tab/>
        <w:t>Stockhammer, F., Plotkin, M., Amthauer, H., Landeghem, F. K. H.</w:t>
      </w:r>
      <w:r w:rsidR="00122A8B" w:rsidRPr="00770846">
        <w:rPr>
          <w:rFonts w:asciiTheme="majorHAnsi" w:hAnsiTheme="majorHAnsi" w:cstheme="majorHAnsi"/>
          <w:noProof/>
        </w:rPr>
        <w:t xml:space="preserve">, </w:t>
      </w:r>
      <w:r w:rsidRPr="00770846">
        <w:rPr>
          <w:rFonts w:asciiTheme="majorHAnsi" w:hAnsiTheme="majorHAnsi" w:cstheme="majorHAnsi"/>
          <w:noProof/>
        </w:rPr>
        <w:t xml:space="preserve">Woiciechowsky, C. Correlation of F-18-fluoro-ethyl-tyrosin uptake with vascular and cell density in non-contrast-enhancing gliomas. </w:t>
      </w:r>
      <w:r w:rsidR="00E40EC8" w:rsidRPr="00770846">
        <w:rPr>
          <w:rFonts w:asciiTheme="majorHAnsi" w:hAnsiTheme="majorHAnsi" w:cstheme="majorHAnsi"/>
          <w:i/>
          <w:iCs/>
          <w:noProof/>
        </w:rPr>
        <w:t>Journal of Neuro-</w:t>
      </w:r>
      <w:r w:rsidR="00546664" w:rsidRPr="00770846">
        <w:rPr>
          <w:rFonts w:asciiTheme="majorHAnsi" w:hAnsiTheme="majorHAnsi" w:cstheme="majorHAnsi"/>
          <w:i/>
          <w:iCs/>
          <w:noProof/>
        </w:rPr>
        <w:t>o</w:t>
      </w:r>
      <w:r w:rsidR="00E40EC8" w:rsidRPr="00770846">
        <w:rPr>
          <w:rFonts w:asciiTheme="majorHAnsi" w:hAnsiTheme="majorHAnsi" w:cstheme="majorHAnsi"/>
          <w:i/>
          <w:iCs/>
          <w:noProof/>
        </w:rPr>
        <w:t>ncology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88</w:t>
      </w:r>
      <w:r w:rsidR="00546664" w:rsidRPr="00770846">
        <w:rPr>
          <w:rFonts w:asciiTheme="majorHAnsi" w:hAnsiTheme="majorHAnsi" w:cstheme="majorHAnsi"/>
          <w:b/>
          <w:bCs/>
          <w:noProof/>
        </w:rPr>
        <w:t xml:space="preserve"> </w:t>
      </w:r>
      <w:r w:rsidR="00546664" w:rsidRPr="00770846">
        <w:rPr>
          <w:rFonts w:asciiTheme="majorHAnsi" w:hAnsiTheme="majorHAnsi" w:cstheme="majorHAnsi"/>
          <w:noProof/>
        </w:rPr>
        <w:t>(2)</w:t>
      </w:r>
      <w:r w:rsidRPr="00770846">
        <w:rPr>
          <w:rFonts w:asciiTheme="majorHAnsi" w:hAnsiTheme="majorHAnsi" w:cstheme="majorHAnsi"/>
          <w:noProof/>
        </w:rPr>
        <w:t>, 205–210 (2008).</w:t>
      </w:r>
    </w:p>
    <w:p w14:paraId="629BD63A" w14:textId="4475E71B"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25.</w:t>
      </w:r>
      <w:r w:rsidRPr="00770846">
        <w:rPr>
          <w:rFonts w:asciiTheme="majorHAnsi" w:hAnsiTheme="majorHAnsi" w:cstheme="majorHAnsi"/>
          <w:noProof/>
        </w:rPr>
        <w:tab/>
        <w:t>Rorden, C., Karnath, H. O.</w:t>
      </w:r>
      <w:r w:rsidR="00122A8B" w:rsidRPr="00770846">
        <w:rPr>
          <w:rFonts w:asciiTheme="majorHAnsi" w:hAnsiTheme="majorHAnsi" w:cstheme="majorHAnsi"/>
          <w:noProof/>
        </w:rPr>
        <w:t>,</w:t>
      </w:r>
      <w:r w:rsidRPr="00770846">
        <w:rPr>
          <w:rFonts w:asciiTheme="majorHAnsi" w:hAnsiTheme="majorHAnsi" w:cstheme="majorHAnsi"/>
          <w:noProof/>
        </w:rPr>
        <w:t xml:space="preserve"> Bonhilha, L. Mricron dicom to nifti converter. neuroimaging informatics tools and resources clearinghouse (nitrc).</w:t>
      </w:r>
      <w:r w:rsidR="00B40B22" w:rsidRPr="00770846">
        <w:rPr>
          <w:rFonts w:asciiTheme="majorHAnsi" w:hAnsiTheme="majorHAnsi" w:cstheme="majorHAnsi"/>
          <w:noProof/>
        </w:rPr>
        <w:t xml:space="preserve"> https://www.nitrc.org/projects/mricron</w:t>
      </w:r>
      <w:r w:rsidRPr="00770846">
        <w:rPr>
          <w:rFonts w:asciiTheme="majorHAnsi" w:hAnsiTheme="majorHAnsi" w:cstheme="majorHAnsi"/>
          <w:noProof/>
        </w:rPr>
        <w:t xml:space="preserve"> (2015).</w:t>
      </w:r>
    </w:p>
    <w:p w14:paraId="07AFB234" w14:textId="43CA2D5C" w:rsidR="00A3254E"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26.</w:t>
      </w:r>
      <w:r w:rsidRPr="00770846">
        <w:rPr>
          <w:rFonts w:asciiTheme="majorHAnsi" w:hAnsiTheme="majorHAnsi" w:cstheme="majorHAnsi"/>
          <w:noProof/>
        </w:rPr>
        <w:tab/>
        <w:t xml:space="preserve">Ashburner, J. et al. </w:t>
      </w:r>
      <w:r w:rsidRPr="00770846">
        <w:rPr>
          <w:rFonts w:asciiTheme="majorHAnsi" w:hAnsiTheme="majorHAnsi" w:cstheme="majorHAnsi"/>
          <w:i/>
          <w:iCs/>
          <w:noProof/>
        </w:rPr>
        <w:t>SPM12 Manual</w:t>
      </w:r>
      <w:r w:rsidRPr="00770846">
        <w:rPr>
          <w:rFonts w:asciiTheme="majorHAnsi" w:hAnsiTheme="majorHAnsi" w:cstheme="majorHAnsi"/>
          <w:noProof/>
        </w:rPr>
        <w:t xml:space="preserve">. </w:t>
      </w:r>
      <w:r w:rsidR="00875306" w:rsidRPr="00770846">
        <w:rPr>
          <w:rFonts w:asciiTheme="majorHAnsi" w:hAnsiTheme="majorHAnsi" w:cstheme="majorHAnsi"/>
          <w:noProof/>
        </w:rPr>
        <w:t xml:space="preserve">https://www.fil.ion.ucl.ac.uk/spm/doc/spm12_manual.pdf </w:t>
      </w:r>
      <w:r w:rsidRPr="00770846">
        <w:rPr>
          <w:rFonts w:asciiTheme="majorHAnsi" w:hAnsiTheme="majorHAnsi" w:cstheme="majorHAnsi"/>
          <w:noProof/>
        </w:rPr>
        <w:t>(2014).</w:t>
      </w:r>
    </w:p>
    <w:p w14:paraId="4A9544C3" w14:textId="59F13E57"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27.</w:t>
      </w:r>
      <w:r w:rsidRPr="00770846">
        <w:rPr>
          <w:rFonts w:asciiTheme="majorHAnsi" w:hAnsiTheme="majorHAnsi" w:cstheme="majorHAnsi"/>
          <w:noProof/>
        </w:rPr>
        <w:tab/>
        <w:t>España, S., Marcinkowski, R., Keereman, V., Vandenberghe, S.</w:t>
      </w:r>
      <w:r w:rsidR="00122A8B" w:rsidRPr="00770846">
        <w:rPr>
          <w:rFonts w:asciiTheme="majorHAnsi" w:hAnsiTheme="majorHAnsi" w:cstheme="majorHAnsi"/>
          <w:noProof/>
        </w:rPr>
        <w:t xml:space="preserve">, </w:t>
      </w:r>
      <w:r w:rsidRPr="00770846">
        <w:rPr>
          <w:rFonts w:asciiTheme="majorHAnsi" w:hAnsiTheme="majorHAnsi" w:cstheme="majorHAnsi"/>
          <w:noProof/>
        </w:rPr>
        <w:t xml:space="preserve">Van Holen, R. DigiPET: Sub-millimeter spatial resolution small-animal PET imaging using thin monolithic scintillators. </w:t>
      </w:r>
      <w:r w:rsidR="00E40EC8" w:rsidRPr="00770846">
        <w:rPr>
          <w:rFonts w:asciiTheme="majorHAnsi" w:hAnsiTheme="majorHAnsi" w:cstheme="majorHAnsi"/>
          <w:i/>
          <w:iCs/>
          <w:noProof/>
        </w:rPr>
        <w:t>Physics in Medicine &amp; Biology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59</w:t>
      </w:r>
      <w:r w:rsidR="00E87A92" w:rsidRPr="00770846">
        <w:rPr>
          <w:rFonts w:asciiTheme="majorHAnsi" w:hAnsiTheme="majorHAnsi" w:cstheme="majorHAnsi"/>
          <w:b/>
          <w:bCs/>
          <w:noProof/>
        </w:rPr>
        <w:t xml:space="preserve"> </w:t>
      </w:r>
      <w:r w:rsidR="00E87A92" w:rsidRPr="00770846">
        <w:rPr>
          <w:rFonts w:asciiTheme="majorHAnsi" w:hAnsiTheme="majorHAnsi" w:cstheme="majorHAnsi"/>
          <w:noProof/>
        </w:rPr>
        <w:t>(13)</w:t>
      </w:r>
      <w:r w:rsidRPr="00770846">
        <w:rPr>
          <w:rFonts w:asciiTheme="majorHAnsi" w:hAnsiTheme="majorHAnsi" w:cstheme="majorHAnsi"/>
          <w:noProof/>
        </w:rPr>
        <w:t>, 3405–3420 (2014).</w:t>
      </w:r>
    </w:p>
    <w:p w14:paraId="050AD0F0" w14:textId="50ABA954" w:rsidR="00191C87" w:rsidRPr="00770846" w:rsidRDefault="009812DA" w:rsidP="00770846">
      <w:pPr>
        <w:rPr>
          <w:rFonts w:asciiTheme="majorHAnsi" w:hAnsiTheme="majorHAnsi" w:cstheme="majorHAnsi"/>
          <w:b/>
        </w:rPr>
      </w:pPr>
      <w:r w:rsidRPr="00770846">
        <w:rPr>
          <w:rFonts w:asciiTheme="majorHAnsi" w:hAnsiTheme="majorHAnsi" w:cstheme="majorHAnsi"/>
          <w:b/>
        </w:rPr>
        <w:fldChar w:fldCharType="end"/>
      </w:r>
    </w:p>
    <w:sectPr w:rsidR="00191C87" w:rsidRPr="00770846" w:rsidSect="00DB78E2">
      <w:headerReference w:type="even" r:id="rId8"/>
      <w:footerReference w:type="even" r:id="rId9"/>
      <w:headerReference w:type="first"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815E6" w14:textId="77777777" w:rsidR="00427763" w:rsidRDefault="00427763">
      <w:r>
        <w:separator/>
      </w:r>
    </w:p>
  </w:endnote>
  <w:endnote w:type="continuationSeparator" w:id="0">
    <w:p w14:paraId="216656BC" w14:textId="77777777" w:rsidR="00427763" w:rsidRDefault="00427763">
      <w:r>
        <w:continuationSeparator/>
      </w:r>
    </w:p>
  </w:endnote>
  <w:endnote w:type="continuationNotice" w:id="1">
    <w:p w14:paraId="7DA407B0" w14:textId="77777777" w:rsidR="00427763" w:rsidRDefault="00427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Georgia">
    <w:altName w:val="﷽﷽﷽﷽﷽﷽﷽﷽鷀Ϫ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E56D1A" w:rsidRDefault="00E56D1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B4A8D" w14:textId="77777777" w:rsidR="00427763" w:rsidRDefault="00427763">
      <w:r>
        <w:separator/>
      </w:r>
    </w:p>
  </w:footnote>
  <w:footnote w:type="continuationSeparator" w:id="0">
    <w:p w14:paraId="5A844AAF" w14:textId="77777777" w:rsidR="00427763" w:rsidRDefault="00427763">
      <w:r>
        <w:continuationSeparator/>
      </w:r>
    </w:p>
  </w:footnote>
  <w:footnote w:type="continuationNotice" w:id="1">
    <w:p w14:paraId="395B6144" w14:textId="77777777" w:rsidR="00427763" w:rsidRDefault="004277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E56D1A" w:rsidRDefault="00E56D1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207F7C09" w:rsidR="00E56D1A" w:rsidRDefault="00E56D1A" w:rsidP="004300FE">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463"/>
    <w:multiLevelType w:val="hybridMultilevel"/>
    <w:tmpl w:val="B3E00C96"/>
    <w:lvl w:ilvl="0" w:tplc="7FB01F6C">
      <w:start w:val="260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765"/>
    <w:multiLevelType w:val="multilevel"/>
    <w:tmpl w:val="281E78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588" w:hanging="86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147DF6"/>
    <w:multiLevelType w:val="hybridMultilevel"/>
    <w:tmpl w:val="0756B108"/>
    <w:lvl w:ilvl="0" w:tplc="E3224A40">
      <w:start w:val="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D9D6DEC"/>
    <w:multiLevelType w:val="multilevel"/>
    <w:tmpl w:val="82766A0E"/>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E06239"/>
    <w:multiLevelType w:val="multilevel"/>
    <w:tmpl w:val="13203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50"/>
      <w:numFmt w:val="bullet"/>
      <w:lvlText w:val="-"/>
      <w:lvlJc w:val="left"/>
      <w:pPr>
        <w:ind w:left="1588" w:hanging="868"/>
      </w:pPr>
      <w:rPr>
        <w:rFonts w:ascii="Calibri" w:eastAsia="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ED6C82"/>
    <w:multiLevelType w:val="multilevel"/>
    <w:tmpl w:val="13203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50"/>
      <w:numFmt w:val="bullet"/>
      <w:lvlText w:val="-"/>
      <w:lvlJc w:val="left"/>
      <w:pPr>
        <w:ind w:left="1588" w:hanging="868"/>
      </w:pPr>
      <w:rPr>
        <w:rFonts w:ascii="Calibri" w:eastAsia="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6242DD"/>
    <w:multiLevelType w:val="hybridMultilevel"/>
    <w:tmpl w:val="AB36A2A6"/>
    <w:lvl w:ilvl="0" w:tplc="E572D254">
      <w:start w:val="1"/>
      <w:numFmt w:val="lowerLetter"/>
      <w:suff w:val="space"/>
      <w:lvlText w:val="%1."/>
      <w:lvlJc w:val="left"/>
      <w:pPr>
        <w:ind w:left="510" w:hanging="22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470031"/>
    <w:multiLevelType w:val="multilevel"/>
    <w:tmpl w:val="F86496C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5211786"/>
    <w:multiLevelType w:val="multilevel"/>
    <w:tmpl w:val="13203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50"/>
      <w:numFmt w:val="bullet"/>
      <w:lvlText w:val="-"/>
      <w:lvlJc w:val="left"/>
      <w:pPr>
        <w:ind w:left="1588" w:hanging="868"/>
      </w:pPr>
      <w:rPr>
        <w:rFonts w:ascii="Calibri" w:eastAsia="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D343DA"/>
    <w:multiLevelType w:val="hybridMultilevel"/>
    <w:tmpl w:val="B02052F6"/>
    <w:lvl w:ilvl="0" w:tplc="142AD71A">
      <w:start w:val="15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A446C"/>
    <w:multiLevelType w:val="multilevel"/>
    <w:tmpl w:val="4A2CECC4"/>
    <w:lvl w:ilvl="0">
      <w:start w:val="1"/>
      <w:numFmt w:val="decimal"/>
      <w:lvlText w:val="%1"/>
      <w:lvlJc w:val="left"/>
      <w:pPr>
        <w:ind w:left="480" w:hanging="480"/>
      </w:pPr>
      <w:rPr>
        <w:rFonts w:hint="default"/>
      </w:rPr>
    </w:lvl>
    <w:lvl w:ilvl="1">
      <w:start w:val="2"/>
      <w:numFmt w:val="decimal"/>
      <w:lvlText w:val="%1.%2"/>
      <w:lvlJc w:val="left"/>
      <w:pPr>
        <w:ind w:left="1274" w:hanging="48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1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AE55B84"/>
    <w:multiLevelType w:val="multilevel"/>
    <w:tmpl w:val="27184228"/>
    <w:lvl w:ilvl="0">
      <w:start w:val="1"/>
      <w:numFmt w:val="decimal"/>
      <w:lvlText w:val="%1."/>
      <w:lvlJc w:val="left"/>
      <w:pPr>
        <w:ind w:left="540" w:hanging="540"/>
      </w:pPr>
      <w:rPr>
        <w:rFonts w:hint="default"/>
      </w:rPr>
    </w:lvl>
    <w:lvl w:ilvl="1">
      <w:start w:val="2"/>
      <w:numFmt w:val="decimal"/>
      <w:lvlText w:val="%1.%2."/>
      <w:lvlJc w:val="left"/>
      <w:pPr>
        <w:ind w:left="1694" w:hanging="540"/>
      </w:pPr>
      <w:rPr>
        <w:rFonts w:hint="default"/>
      </w:rPr>
    </w:lvl>
    <w:lvl w:ilvl="2">
      <w:start w:val="1"/>
      <w:numFmt w:val="decimal"/>
      <w:lvlText w:val="%1.%2.%3."/>
      <w:lvlJc w:val="left"/>
      <w:pPr>
        <w:ind w:left="3028" w:hanging="720"/>
      </w:pPr>
      <w:rPr>
        <w:rFonts w:hint="default"/>
      </w:rPr>
    </w:lvl>
    <w:lvl w:ilvl="3">
      <w:start w:val="1"/>
      <w:numFmt w:val="decimal"/>
      <w:lvlText w:val="%1.%2.%3.%4."/>
      <w:lvlJc w:val="left"/>
      <w:pPr>
        <w:ind w:left="4182" w:hanging="720"/>
      </w:pPr>
      <w:rPr>
        <w:rFonts w:hint="default"/>
      </w:rPr>
    </w:lvl>
    <w:lvl w:ilvl="4">
      <w:start w:val="1"/>
      <w:numFmt w:val="decimal"/>
      <w:lvlText w:val="%1.%2.%3.%4.%5."/>
      <w:lvlJc w:val="left"/>
      <w:pPr>
        <w:ind w:left="5696" w:hanging="1080"/>
      </w:pPr>
      <w:rPr>
        <w:rFonts w:hint="default"/>
      </w:rPr>
    </w:lvl>
    <w:lvl w:ilvl="5">
      <w:start w:val="1"/>
      <w:numFmt w:val="decimal"/>
      <w:lvlText w:val="%1.%2.%3.%4.%5.%6."/>
      <w:lvlJc w:val="left"/>
      <w:pPr>
        <w:ind w:left="6850" w:hanging="1080"/>
      </w:pPr>
      <w:rPr>
        <w:rFonts w:hint="default"/>
      </w:rPr>
    </w:lvl>
    <w:lvl w:ilvl="6">
      <w:start w:val="1"/>
      <w:numFmt w:val="decimal"/>
      <w:lvlText w:val="%1.%2.%3.%4.%5.%6.%7."/>
      <w:lvlJc w:val="left"/>
      <w:pPr>
        <w:ind w:left="8364" w:hanging="1440"/>
      </w:pPr>
      <w:rPr>
        <w:rFonts w:hint="default"/>
      </w:rPr>
    </w:lvl>
    <w:lvl w:ilvl="7">
      <w:start w:val="1"/>
      <w:numFmt w:val="decimal"/>
      <w:lvlText w:val="%1.%2.%3.%4.%5.%6.%7.%8."/>
      <w:lvlJc w:val="left"/>
      <w:pPr>
        <w:ind w:left="9518" w:hanging="1440"/>
      </w:pPr>
      <w:rPr>
        <w:rFonts w:hint="default"/>
      </w:rPr>
    </w:lvl>
    <w:lvl w:ilvl="8">
      <w:start w:val="1"/>
      <w:numFmt w:val="decimal"/>
      <w:lvlText w:val="%1.%2.%3.%4.%5.%6.%7.%8.%9."/>
      <w:lvlJc w:val="left"/>
      <w:pPr>
        <w:ind w:left="11032" w:hanging="1800"/>
      </w:pPr>
      <w:rPr>
        <w:rFonts w:hint="default"/>
      </w:rPr>
    </w:lvl>
  </w:abstractNum>
  <w:abstractNum w:abstractNumId="14"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9C08F5"/>
    <w:multiLevelType w:val="hybridMultilevel"/>
    <w:tmpl w:val="6FACB8A8"/>
    <w:lvl w:ilvl="0" w:tplc="1F6E30E6">
      <w:start w:val="260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D373356"/>
    <w:multiLevelType w:val="hybridMultilevel"/>
    <w:tmpl w:val="55622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BAF3886"/>
    <w:multiLevelType w:val="multilevel"/>
    <w:tmpl w:val="79BCB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3E1D79"/>
    <w:multiLevelType w:val="hybridMultilevel"/>
    <w:tmpl w:val="926E0B62"/>
    <w:lvl w:ilvl="0" w:tplc="142AD71A">
      <w:start w:val="274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3F86563"/>
    <w:multiLevelType w:val="multilevel"/>
    <w:tmpl w:val="ACA241E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D26FFB"/>
    <w:multiLevelType w:val="multilevel"/>
    <w:tmpl w:val="1A3A87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588" w:hanging="86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57B32CC"/>
    <w:multiLevelType w:val="multilevel"/>
    <w:tmpl w:val="E62CB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F00FC2"/>
    <w:multiLevelType w:val="hybridMultilevel"/>
    <w:tmpl w:val="9662CF28"/>
    <w:lvl w:ilvl="0" w:tplc="6416FF10">
      <w:start w:val="260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F443A3"/>
    <w:multiLevelType w:val="multilevel"/>
    <w:tmpl w:val="F036099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22"/>
  </w:num>
  <w:num w:numId="3">
    <w:abstractNumId w:val="29"/>
  </w:num>
  <w:num w:numId="4">
    <w:abstractNumId w:val="8"/>
  </w:num>
  <w:num w:numId="5">
    <w:abstractNumId w:val="26"/>
  </w:num>
  <w:num w:numId="6">
    <w:abstractNumId w:val="28"/>
  </w:num>
  <w:num w:numId="7">
    <w:abstractNumId w:val="18"/>
  </w:num>
  <w:num w:numId="8">
    <w:abstractNumId w:val="21"/>
  </w:num>
  <w:num w:numId="9">
    <w:abstractNumId w:val="12"/>
  </w:num>
  <w:num w:numId="10">
    <w:abstractNumId w:val="19"/>
  </w:num>
  <w:num w:numId="11">
    <w:abstractNumId w:val="23"/>
  </w:num>
  <w:num w:numId="12">
    <w:abstractNumId w:val="16"/>
  </w:num>
  <w:num w:numId="13">
    <w:abstractNumId w:val="9"/>
  </w:num>
  <w:num w:numId="14">
    <w:abstractNumId w:val="6"/>
  </w:num>
  <w:num w:numId="15">
    <w:abstractNumId w:val="1"/>
  </w:num>
  <w:num w:numId="16">
    <w:abstractNumId w:val="10"/>
  </w:num>
  <w:num w:numId="17">
    <w:abstractNumId w:val="20"/>
  </w:num>
  <w:num w:numId="18">
    <w:abstractNumId w:val="4"/>
  </w:num>
  <w:num w:numId="19">
    <w:abstractNumId w:val="5"/>
  </w:num>
  <w:num w:numId="20">
    <w:abstractNumId w:val="0"/>
  </w:num>
  <w:num w:numId="21">
    <w:abstractNumId w:val="15"/>
  </w:num>
  <w:num w:numId="22">
    <w:abstractNumId w:val="32"/>
  </w:num>
  <w:num w:numId="23">
    <w:abstractNumId w:val="25"/>
  </w:num>
  <w:num w:numId="24">
    <w:abstractNumId w:val="24"/>
  </w:num>
  <w:num w:numId="25">
    <w:abstractNumId w:val="31"/>
  </w:num>
  <w:num w:numId="26">
    <w:abstractNumId w:val="30"/>
  </w:num>
  <w:num w:numId="27">
    <w:abstractNumId w:val="11"/>
  </w:num>
  <w:num w:numId="28">
    <w:abstractNumId w:val="13"/>
  </w:num>
  <w:num w:numId="29">
    <w:abstractNumId w:val="2"/>
  </w:num>
  <w:num w:numId="30">
    <w:abstractNumId w:val="14"/>
  </w:num>
  <w:num w:numId="31">
    <w:abstractNumId w:val="7"/>
  </w:num>
  <w:num w:numId="32">
    <w:abstractNumId w:val="3"/>
  </w:num>
  <w:num w:numId="33">
    <w:abstractNumId w:val="3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removePersonalInformation/>
  <w:removeDateAndTime/>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0NDU0NzYxNDQxNTNW0lEKTi0uzszPAymwrAUA9l4g9ywAAAA="/>
  </w:docVars>
  <w:rsids>
    <w:rsidRoot w:val="006E4797"/>
    <w:rsid w:val="000004F9"/>
    <w:rsid w:val="000035D6"/>
    <w:rsid w:val="00003A26"/>
    <w:rsid w:val="00004932"/>
    <w:rsid w:val="0001165D"/>
    <w:rsid w:val="00011C8C"/>
    <w:rsid w:val="00012467"/>
    <w:rsid w:val="00014513"/>
    <w:rsid w:val="0001634E"/>
    <w:rsid w:val="0001708C"/>
    <w:rsid w:val="00017137"/>
    <w:rsid w:val="00023EE1"/>
    <w:rsid w:val="00024B9D"/>
    <w:rsid w:val="00024CDA"/>
    <w:rsid w:val="00024F27"/>
    <w:rsid w:val="00027BEF"/>
    <w:rsid w:val="00030969"/>
    <w:rsid w:val="000312D9"/>
    <w:rsid w:val="000319FE"/>
    <w:rsid w:val="00031DC6"/>
    <w:rsid w:val="000328A1"/>
    <w:rsid w:val="00033522"/>
    <w:rsid w:val="00033987"/>
    <w:rsid w:val="00033E1E"/>
    <w:rsid w:val="000375D5"/>
    <w:rsid w:val="000377B1"/>
    <w:rsid w:val="00037CEC"/>
    <w:rsid w:val="00040E06"/>
    <w:rsid w:val="00043453"/>
    <w:rsid w:val="00043A23"/>
    <w:rsid w:val="000440CD"/>
    <w:rsid w:val="000469CB"/>
    <w:rsid w:val="000474E4"/>
    <w:rsid w:val="000506C0"/>
    <w:rsid w:val="0005132E"/>
    <w:rsid w:val="000513F5"/>
    <w:rsid w:val="00052006"/>
    <w:rsid w:val="00053EF9"/>
    <w:rsid w:val="0005408F"/>
    <w:rsid w:val="000552C8"/>
    <w:rsid w:val="00056566"/>
    <w:rsid w:val="0005734D"/>
    <w:rsid w:val="0005786F"/>
    <w:rsid w:val="00057C29"/>
    <w:rsid w:val="00060ED7"/>
    <w:rsid w:val="00061C70"/>
    <w:rsid w:val="00062A93"/>
    <w:rsid w:val="0006302D"/>
    <w:rsid w:val="00063294"/>
    <w:rsid w:val="00065C3F"/>
    <w:rsid w:val="000662D3"/>
    <w:rsid w:val="000706CA"/>
    <w:rsid w:val="000709BF"/>
    <w:rsid w:val="00070CF4"/>
    <w:rsid w:val="00070F5C"/>
    <w:rsid w:val="0007357F"/>
    <w:rsid w:val="00073820"/>
    <w:rsid w:val="0007406B"/>
    <w:rsid w:val="00075168"/>
    <w:rsid w:val="000751E3"/>
    <w:rsid w:val="00075201"/>
    <w:rsid w:val="00075277"/>
    <w:rsid w:val="00075AD4"/>
    <w:rsid w:val="00075E92"/>
    <w:rsid w:val="000807B1"/>
    <w:rsid w:val="00081CF9"/>
    <w:rsid w:val="00081D69"/>
    <w:rsid w:val="000823DB"/>
    <w:rsid w:val="0008464E"/>
    <w:rsid w:val="00084FFE"/>
    <w:rsid w:val="00086586"/>
    <w:rsid w:val="00086846"/>
    <w:rsid w:val="00087A2E"/>
    <w:rsid w:val="0009089D"/>
    <w:rsid w:val="00090E16"/>
    <w:rsid w:val="00091B2C"/>
    <w:rsid w:val="0009203E"/>
    <w:rsid w:val="00092F9D"/>
    <w:rsid w:val="00093382"/>
    <w:rsid w:val="0009418B"/>
    <w:rsid w:val="000957A2"/>
    <w:rsid w:val="00096F8E"/>
    <w:rsid w:val="000A2BCC"/>
    <w:rsid w:val="000A3392"/>
    <w:rsid w:val="000A3974"/>
    <w:rsid w:val="000A47CB"/>
    <w:rsid w:val="000A5CDE"/>
    <w:rsid w:val="000A5DDC"/>
    <w:rsid w:val="000A7ED6"/>
    <w:rsid w:val="000B10C7"/>
    <w:rsid w:val="000B28C6"/>
    <w:rsid w:val="000B2D73"/>
    <w:rsid w:val="000B329A"/>
    <w:rsid w:val="000B4E6C"/>
    <w:rsid w:val="000C0C44"/>
    <w:rsid w:val="000C0DBA"/>
    <w:rsid w:val="000C3144"/>
    <w:rsid w:val="000C3843"/>
    <w:rsid w:val="000C4147"/>
    <w:rsid w:val="000C4A4D"/>
    <w:rsid w:val="000C5170"/>
    <w:rsid w:val="000C59D6"/>
    <w:rsid w:val="000C5E02"/>
    <w:rsid w:val="000C617D"/>
    <w:rsid w:val="000C6982"/>
    <w:rsid w:val="000C7F07"/>
    <w:rsid w:val="000D0584"/>
    <w:rsid w:val="000D061C"/>
    <w:rsid w:val="000D0E6B"/>
    <w:rsid w:val="000D2871"/>
    <w:rsid w:val="000D2AA1"/>
    <w:rsid w:val="000D2EA6"/>
    <w:rsid w:val="000D30BB"/>
    <w:rsid w:val="000D3146"/>
    <w:rsid w:val="000D3BE3"/>
    <w:rsid w:val="000D6B50"/>
    <w:rsid w:val="000D6DCD"/>
    <w:rsid w:val="000E0723"/>
    <w:rsid w:val="000E1D18"/>
    <w:rsid w:val="000E3142"/>
    <w:rsid w:val="000E364E"/>
    <w:rsid w:val="000E43C4"/>
    <w:rsid w:val="000F38FC"/>
    <w:rsid w:val="000F3B31"/>
    <w:rsid w:val="000F4410"/>
    <w:rsid w:val="000F4B0F"/>
    <w:rsid w:val="000F4F14"/>
    <w:rsid w:val="000F6712"/>
    <w:rsid w:val="000F6962"/>
    <w:rsid w:val="000F6BD6"/>
    <w:rsid w:val="000F7F15"/>
    <w:rsid w:val="0010066F"/>
    <w:rsid w:val="0010220C"/>
    <w:rsid w:val="00102A20"/>
    <w:rsid w:val="00105960"/>
    <w:rsid w:val="00106A97"/>
    <w:rsid w:val="001116EF"/>
    <w:rsid w:val="0011270E"/>
    <w:rsid w:val="00113313"/>
    <w:rsid w:val="0011386D"/>
    <w:rsid w:val="001151D4"/>
    <w:rsid w:val="001212BB"/>
    <w:rsid w:val="00122A8B"/>
    <w:rsid w:val="001246CE"/>
    <w:rsid w:val="00124EAD"/>
    <w:rsid w:val="00124F1B"/>
    <w:rsid w:val="00125F64"/>
    <w:rsid w:val="0012619E"/>
    <w:rsid w:val="001267C0"/>
    <w:rsid w:val="00130007"/>
    <w:rsid w:val="001305F9"/>
    <w:rsid w:val="00134380"/>
    <w:rsid w:val="001366CD"/>
    <w:rsid w:val="00136AA7"/>
    <w:rsid w:val="00137B37"/>
    <w:rsid w:val="00142588"/>
    <w:rsid w:val="0014260A"/>
    <w:rsid w:val="00143415"/>
    <w:rsid w:val="0014656C"/>
    <w:rsid w:val="001473E5"/>
    <w:rsid w:val="00147CA0"/>
    <w:rsid w:val="00150C01"/>
    <w:rsid w:val="00151F92"/>
    <w:rsid w:val="00152DAC"/>
    <w:rsid w:val="00155541"/>
    <w:rsid w:val="001564EE"/>
    <w:rsid w:val="001579F7"/>
    <w:rsid w:val="001602B2"/>
    <w:rsid w:val="0016146D"/>
    <w:rsid w:val="001632E4"/>
    <w:rsid w:val="001635AF"/>
    <w:rsid w:val="00163A5F"/>
    <w:rsid w:val="0016410E"/>
    <w:rsid w:val="001646D3"/>
    <w:rsid w:val="00165067"/>
    <w:rsid w:val="00165105"/>
    <w:rsid w:val="00165552"/>
    <w:rsid w:val="00166AF8"/>
    <w:rsid w:val="00167A7B"/>
    <w:rsid w:val="001703EF"/>
    <w:rsid w:val="00172F03"/>
    <w:rsid w:val="00173036"/>
    <w:rsid w:val="001752E4"/>
    <w:rsid w:val="001760B5"/>
    <w:rsid w:val="0017676B"/>
    <w:rsid w:val="00180292"/>
    <w:rsid w:val="00180C2C"/>
    <w:rsid w:val="00180E6A"/>
    <w:rsid w:val="0018175D"/>
    <w:rsid w:val="00182A03"/>
    <w:rsid w:val="00183424"/>
    <w:rsid w:val="0018475A"/>
    <w:rsid w:val="0018657E"/>
    <w:rsid w:val="0018676E"/>
    <w:rsid w:val="00190543"/>
    <w:rsid w:val="00191AB3"/>
    <w:rsid w:val="00191C87"/>
    <w:rsid w:val="001922A8"/>
    <w:rsid w:val="00194D82"/>
    <w:rsid w:val="00196B67"/>
    <w:rsid w:val="0019738D"/>
    <w:rsid w:val="001A064A"/>
    <w:rsid w:val="001A1061"/>
    <w:rsid w:val="001A2C93"/>
    <w:rsid w:val="001A514E"/>
    <w:rsid w:val="001A5E34"/>
    <w:rsid w:val="001A7A8F"/>
    <w:rsid w:val="001B2440"/>
    <w:rsid w:val="001B2ACA"/>
    <w:rsid w:val="001B37BD"/>
    <w:rsid w:val="001B3A48"/>
    <w:rsid w:val="001B44A1"/>
    <w:rsid w:val="001B54DB"/>
    <w:rsid w:val="001B5EF3"/>
    <w:rsid w:val="001B76FF"/>
    <w:rsid w:val="001C0848"/>
    <w:rsid w:val="001C181D"/>
    <w:rsid w:val="001C27DC"/>
    <w:rsid w:val="001C36F5"/>
    <w:rsid w:val="001C437C"/>
    <w:rsid w:val="001C4E71"/>
    <w:rsid w:val="001C62D4"/>
    <w:rsid w:val="001C75A1"/>
    <w:rsid w:val="001D18AA"/>
    <w:rsid w:val="001D3135"/>
    <w:rsid w:val="001D34BB"/>
    <w:rsid w:val="001D43C5"/>
    <w:rsid w:val="001D6CA7"/>
    <w:rsid w:val="001D6CF2"/>
    <w:rsid w:val="001E0835"/>
    <w:rsid w:val="001E0D95"/>
    <w:rsid w:val="001E124B"/>
    <w:rsid w:val="001E1740"/>
    <w:rsid w:val="001E40B5"/>
    <w:rsid w:val="001E57FA"/>
    <w:rsid w:val="001E5E3D"/>
    <w:rsid w:val="001E75EA"/>
    <w:rsid w:val="001E7651"/>
    <w:rsid w:val="001E7BCC"/>
    <w:rsid w:val="001F046E"/>
    <w:rsid w:val="001F2832"/>
    <w:rsid w:val="001F32BA"/>
    <w:rsid w:val="001F3300"/>
    <w:rsid w:val="001F397D"/>
    <w:rsid w:val="001F4B6D"/>
    <w:rsid w:val="001F5702"/>
    <w:rsid w:val="001F5FA0"/>
    <w:rsid w:val="001F7087"/>
    <w:rsid w:val="002007EA"/>
    <w:rsid w:val="00200B72"/>
    <w:rsid w:val="00201084"/>
    <w:rsid w:val="0020202E"/>
    <w:rsid w:val="002037E3"/>
    <w:rsid w:val="00204E4D"/>
    <w:rsid w:val="00205462"/>
    <w:rsid w:val="002068F9"/>
    <w:rsid w:val="00206CB0"/>
    <w:rsid w:val="00206FD5"/>
    <w:rsid w:val="0020776C"/>
    <w:rsid w:val="00207EF7"/>
    <w:rsid w:val="00211197"/>
    <w:rsid w:val="002164DE"/>
    <w:rsid w:val="00217C21"/>
    <w:rsid w:val="00222D46"/>
    <w:rsid w:val="00223C07"/>
    <w:rsid w:val="0022407D"/>
    <w:rsid w:val="002268C7"/>
    <w:rsid w:val="00227CB8"/>
    <w:rsid w:val="00230E3F"/>
    <w:rsid w:val="00230F2D"/>
    <w:rsid w:val="002314EA"/>
    <w:rsid w:val="002316EF"/>
    <w:rsid w:val="00233F0C"/>
    <w:rsid w:val="00235192"/>
    <w:rsid w:val="00236AC9"/>
    <w:rsid w:val="00236EDC"/>
    <w:rsid w:val="00237018"/>
    <w:rsid w:val="0024083B"/>
    <w:rsid w:val="00241024"/>
    <w:rsid w:val="002411ED"/>
    <w:rsid w:val="00241BAC"/>
    <w:rsid w:val="0024253C"/>
    <w:rsid w:val="00243317"/>
    <w:rsid w:val="00244294"/>
    <w:rsid w:val="00244D72"/>
    <w:rsid w:val="0024534D"/>
    <w:rsid w:val="002467FB"/>
    <w:rsid w:val="00247CD6"/>
    <w:rsid w:val="002504A0"/>
    <w:rsid w:val="002506B1"/>
    <w:rsid w:val="00252BD7"/>
    <w:rsid w:val="00253238"/>
    <w:rsid w:val="00254697"/>
    <w:rsid w:val="002546FE"/>
    <w:rsid w:val="00254CA2"/>
    <w:rsid w:val="002550BF"/>
    <w:rsid w:val="0025600A"/>
    <w:rsid w:val="00256AB4"/>
    <w:rsid w:val="002573EE"/>
    <w:rsid w:val="0025780A"/>
    <w:rsid w:val="00257EF9"/>
    <w:rsid w:val="0026162D"/>
    <w:rsid w:val="00262249"/>
    <w:rsid w:val="00262BFA"/>
    <w:rsid w:val="00263355"/>
    <w:rsid w:val="00264DBB"/>
    <w:rsid w:val="00271D72"/>
    <w:rsid w:val="002723C4"/>
    <w:rsid w:val="00273267"/>
    <w:rsid w:val="0027338E"/>
    <w:rsid w:val="00273571"/>
    <w:rsid w:val="00273BD9"/>
    <w:rsid w:val="0027531F"/>
    <w:rsid w:val="00275E0F"/>
    <w:rsid w:val="00275F75"/>
    <w:rsid w:val="002763F9"/>
    <w:rsid w:val="002776C8"/>
    <w:rsid w:val="00277D5A"/>
    <w:rsid w:val="00282F92"/>
    <w:rsid w:val="00283000"/>
    <w:rsid w:val="002838ED"/>
    <w:rsid w:val="00284298"/>
    <w:rsid w:val="00284CE2"/>
    <w:rsid w:val="002860EB"/>
    <w:rsid w:val="00286F53"/>
    <w:rsid w:val="00287B22"/>
    <w:rsid w:val="00287F66"/>
    <w:rsid w:val="002916DC"/>
    <w:rsid w:val="00294249"/>
    <w:rsid w:val="002951D3"/>
    <w:rsid w:val="00296A7E"/>
    <w:rsid w:val="002970C3"/>
    <w:rsid w:val="00297E15"/>
    <w:rsid w:val="002A089A"/>
    <w:rsid w:val="002A168C"/>
    <w:rsid w:val="002A19F8"/>
    <w:rsid w:val="002A1ECC"/>
    <w:rsid w:val="002A264F"/>
    <w:rsid w:val="002A29CD"/>
    <w:rsid w:val="002A2D77"/>
    <w:rsid w:val="002A332F"/>
    <w:rsid w:val="002A3394"/>
    <w:rsid w:val="002A339D"/>
    <w:rsid w:val="002B11A7"/>
    <w:rsid w:val="002B1B48"/>
    <w:rsid w:val="002B2CCD"/>
    <w:rsid w:val="002B2E2D"/>
    <w:rsid w:val="002B47E7"/>
    <w:rsid w:val="002B50C3"/>
    <w:rsid w:val="002B60AF"/>
    <w:rsid w:val="002B73D1"/>
    <w:rsid w:val="002B784E"/>
    <w:rsid w:val="002B7DA0"/>
    <w:rsid w:val="002C0F63"/>
    <w:rsid w:val="002C1014"/>
    <w:rsid w:val="002C28D2"/>
    <w:rsid w:val="002C292E"/>
    <w:rsid w:val="002C4FEE"/>
    <w:rsid w:val="002C5AFB"/>
    <w:rsid w:val="002C61EE"/>
    <w:rsid w:val="002C6681"/>
    <w:rsid w:val="002C7A1F"/>
    <w:rsid w:val="002D1321"/>
    <w:rsid w:val="002D3954"/>
    <w:rsid w:val="002D427E"/>
    <w:rsid w:val="002D4678"/>
    <w:rsid w:val="002D4BF1"/>
    <w:rsid w:val="002D500C"/>
    <w:rsid w:val="002D5542"/>
    <w:rsid w:val="002D6785"/>
    <w:rsid w:val="002D7A9F"/>
    <w:rsid w:val="002E01D5"/>
    <w:rsid w:val="002E04C8"/>
    <w:rsid w:val="002E124A"/>
    <w:rsid w:val="002E21E0"/>
    <w:rsid w:val="002E23BE"/>
    <w:rsid w:val="002E6FF3"/>
    <w:rsid w:val="002F0634"/>
    <w:rsid w:val="002F266B"/>
    <w:rsid w:val="002F2CB9"/>
    <w:rsid w:val="002F3382"/>
    <w:rsid w:val="002F3844"/>
    <w:rsid w:val="002F4D01"/>
    <w:rsid w:val="002F5114"/>
    <w:rsid w:val="002F5EE3"/>
    <w:rsid w:val="002F70EA"/>
    <w:rsid w:val="00300136"/>
    <w:rsid w:val="00300634"/>
    <w:rsid w:val="00300638"/>
    <w:rsid w:val="00301CC9"/>
    <w:rsid w:val="0030286F"/>
    <w:rsid w:val="00306979"/>
    <w:rsid w:val="00307FED"/>
    <w:rsid w:val="0031054B"/>
    <w:rsid w:val="00311544"/>
    <w:rsid w:val="0031221F"/>
    <w:rsid w:val="003147B7"/>
    <w:rsid w:val="00315135"/>
    <w:rsid w:val="003152EF"/>
    <w:rsid w:val="00315B4E"/>
    <w:rsid w:val="00316E0B"/>
    <w:rsid w:val="003220A4"/>
    <w:rsid w:val="003228DB"/>
    <w:rsid w:val="00322A0D"/>
    <w:rsid w:val="00325250"/>
    <w:rsid w:val="003254DB"/>
    <w:rsid w:val="00327B1E"/>
    <w:rsid w:val="00330C92"/>
    <w:rsid w:val="003316B0"/>
    <w:rsid w:val="00331877"/>
    <w:rsid w:val="00331EBA"/>
    <w:rsid w:val="0033229A"/>
    <w:rsid w:val="0033422A"/>
    <w:rsid w:val="00334670"/>
    <w:rsid w:val="00334683"/>
    <w:rsid w:val="003356EE"/>
    <w:rsid w:val="00335FD2"/>
    <w:rsid w:val="0033760B"/>
    <w:rsid w:val="003432F8"/>
    <w:rsid w:val="003433BC"/>
    <w:rsid w:val="0034389D"/>
    <w:rsid w:val="003439A4"/>
    <w:rsid w:val="00343B39"/>
    <w:rsid w:val="0034420F"/>
    <w:rsid w:val="0034467E"/>
    <w:rsid w:val="00346892"/>
    <w:rsid w:val="0034703F"/>
    <w:rsid w:val="00347F2C"/>
    <w:rsid w:val="00350081"/>
    <w:rsid w:val="00350C21"/>
    <w:rsid w:val="00351087"/>
    <w:rsid w:val="00353F31"/>
    <w:rsid w:val="00354437"/>
    <w:rsid w:val="003547A5"/>
    <w:rsid w:val="0035490C"/>
    <w:rsid w:val="00354AEC"/>
    <w:rsid w:val="00354E50"/>
    <w:rsid w:val="00355366"/>
    <w:rsid w:val="003574AE"/>
    <w:rsid w:val="0035761A"/>
    <w:rsid w:val="00357715"/>
    <w:rsid w:val="0036012E"/>
    <w:rsid w:val="003601B1"/>
    <w:rsid w:val="003601EB"/>
    <w:rsid w:val="00360688"/>
    <w:rsid w:val="00360969"/>
    <w:rsid w:val="00360F36"/>
    <w:rsid w:val="003617DA"/>
    <w:rsid w:val="003624D4"/>
    <w:rsid w:val="00363DAB"/>
    <w:rsid w:val="00363EE9"/>
    <w:rsid w:val="00364AB9"/>
    <w:rsid w:val="003664E0"/>
    <w:rsid w:val="00366BEF"/>
    <w:rsid w:val="00366D74"/>
    <w:rsid w:val="00367048"/>
    <w:rsid w:val="00367053"/>
    <w:rsid w:val="00367141"/>
    <w:rsid w:val="0036745F"/>
    <w:rsid w:val="00370E3D"/>
    <w:rsid w:val="00371145"/>
    <w:rsid w:val="003741A6"/>
    <w:rsid w:val="0038078D"/>
    <w:rsid w:val="00381459"/>
    <w:rsid w:val="003820E6"/>
    <w:rsid w:val="00383636"/>
    <w:rsid w:val="0038571E"/>
    <w:rsid w:val="003865C6"/>
    <w:rsid w:val="003869E9"/>
    <w:rsid w:val="003874C5"/>
    <w:rsid w:val="00390262"/>
    <w:rsid w:val="003906A4"/>
    <w:rsid w:val="00391A94"/>
    <w:rsid w:val="00392E3D"/>
    <w:rsid w:val="003930B5"/>
    <w:rsid w:val="003932E8"/>
    <w:rsid w:val="00393477"/>
    <w:rsid w:val="003938DB"/>
    <w:rsid w:val="0039481B"/>
    <w:rsid w:val="003952C0"/>
    <w:rsid w:val="00396E09"/>
    <w:rsid w:val="00397F70"/>
    <w:rsid w:val="003A0540"/>
    <w:rsid w:val="003A0AA9"/>
    <w:rsid w:val="003A0AD4"/>
    <w:rsid w:val="003A0AD7"/>
    <w:rsid w:val="003A2287"/>
    <w:rsid w:val="003A2C36"/>
    <w:rsid w:val="003A43AA"/>
    <w:rsid w:val="003A52B9"/>
    <w:rsid w:val="003B0B01"/>
    <w:rsid w:val="003B0E32"/>
    <w:rsid w:val="003B13FC"/>
    <w:rsid w:val="003B2C63"/>
    <w:rsid w:val="003B423F"/>
    <w:rsid w:val="003B690F"/>
    <w:rsid w:val="003B7FE3"/>
    <w:rsid w:val="003C1A04"/>
    <w:rsid w:val="003C2BA3"/>
    <w:rsid w:val="003C505F"/>
    <w:rsid w:val="003C77C1"/>
    <w:rsid w:val="003C782F"/>
    <w:rsid w:val="003D044E"/>
    <w:rsid w:val="003D0864"/>
    <w:rsid w:val="003D16A2"/>
    <w:rsid w:val="003D17B1"/>
    <w:rsid w:val="003D2196"/>
    <w:rsid w:val="003D4F43"/>
    <w:rsid w:val="003D6F1B"/>
    <w:rsid w:val="003E190A"/>
    <w:rsid w:val="003E30E0"/>
    <w:rsid w:val="003E4E42"/>
    <w:rsid w:val="003F3234"/>
    <w:rsid w:val="003F3B80"/>
    <w:rsid w:val="003F5312"/>
    <w:rsid w:val="003F627A"/>
    <w:rsid w:val="004008ED"/>
    <w:rsid w:val="004026AC"/>
    <w:rsid w:val="00402C3E"/>
    <w:rsid w:val="00402EB3"/>
    <w:rsid w:val="00403829"/>
    <w:rsid w:val="00403BB8"/>
    <w:rsid w:val="0040404C"/>
    <w:rsid w:val="0040656A"/>
    <w:rsid w:val="004067E6"/>
    <w:rsid w:val="004075C8"/>
    <w:rsid w:val="00407869"/>
    <w:rsid w:val="00411FCD"/>
    <w:rsid w:val="004138BA"/>
    <w:rsid w:val="004148FF"/>
    <w:rsid w:val="004168EF"/>
    <w:rsid w:val="00416BA6"/>
    <w:rsid w:val="0041735D"/>
    <w:rsid w:val="00417C5D"/>
    <w:rsid w:val="00421511"/>
    <w:rsid w:val="00421A48"/>
    <w:rsid w:val="00422593"/>
    <w:rsid w:val="00424186"/>
    <w:rsid w:val="00425596"/>
    <w:rsid w:val="00426CE8"/>
    <w:rsid w:val="00427114"/>
    <w:rsid w:val="00427763"/>
    <w:rsid w:val="004300FE"/>
    <w:rsid w:val="0043216D"/>
    <w:rsid w:val="00432AF8"/>
    <w:rsid w:val="00432D33"/>
    <w:rsid w:val="00434881"/>
    <w:rsid w:val="00436788"/>
    <w:rsid w:val="00437AB8"/>
    <w:rsid w:val="0044048F"/>
    <w:rsid w:val="004404D0"/>
    <w:rsid w:val="00441D8E"/>
    <w:rsid w:val="00443C59"/>
    <w:rsid w:val="00443D71"/>
    <w:rsid w:val="00444487"/>
    <w:rsid w:val="0044493D"/>
    <w:rsid w:val="00446694"/>
    <w:rsid w:val="004468F8"/>
    <w:rsid w:val="004471A2"/>
    <w:rsid w:val="00447210"/>
    <w:rsid w:val="0044746B"/>
    <w:rsid w:val="004509DF"/>
    <w:rsid w:val="00451D4B"/>
    <w:rsid w:val="00452008"/>
    <w:rsid w:val="0045319D"/>
    <w:rsid w:val="0045377D"/>
    <w:rsid w:val="00453D62"/>
    <w:rsid w:val="00454BD1"/>
    <w:rsid w:val="0045707C"/>
    <w:rsid w:val="004572A2"/>
    <w:rsid w:val="00457825"/>
    <w:rsid w:val="0046074D"/>
    <w:rsid w:val="00465828"/>
    <w:rsid w:val="00467B47"/>
    <w:rsid w:val="00470B19"/>
    <w:rsid w:val="00471063"/>
    <w:rsid w:val="0047231F"/>
    <w:rsid w:val="00472B4B"/>
    <w:rsid w:val="00474A90"/>
    <w:rsid w:val="004751C9"/>
    <w:rsid w:val="004751F2"/>
    <w:rsid w:val="00476191"/>
    <w:rsid w:val="00480D49"/>
    <w:rsid w:val="004830B3"/>
    <w:rsid w:val="00483FEE"/>
    <w:rsid w:val="004841DC"/>
    <w:rsid w:val="004863A2"/>
    <w:rsid w:val="00492BCB"/>
    <w:rsid w:val="004A18B7"/>
    <w:rsid w:val="004A2840"/>
    <w:rsid w:val="004A3FAB"/>
    <w:rsid w:val="004A44F8"/>
    <w:rsid w:val="004A4BE1"/>
    <w:rsid w:val="004A5DB8"/>
    <w:rsid w:val="004A6ACA"/>
    <w:rsid w:val="004A709F"/>
    <w:rsid w:val="004A7A83"/>
    <w:rsid w:val="004B0BB1"/>
    <w:rsid w:val="004B1F9C"/>
    <w:rsid w:val="004B2436"/>
    <w:rsid w:val="004B267B"/>
    <w:rsid w:val="004B289E"/>
    <w:rsid w:val="004B45C3"/>
    <w:rsid w:val="004B5249"/>
    <w:rsid w:val="004B63BF"/>
    <w:rsid w:val="004B7C96"/>
    <w:rsid w:val="004C0126"/>
    <w:rsid w:val="004C033B"/>
    <w:rsid w:val="004C0E05"/>
    <w:rsid w:val="004C27EA"/>
    <w:rsid w:val="004C3C2B"/>
    <w:rsid w:val="004C4CDB"/>
    <w:rsid w:val="004C5B3E"/>
    <w:rsid w:val="004C6E67"/>
    <w:rsid w:val="004C6E8A"/>
    <w:rsid w:val="004D0AD1"/>
    <w:rsid w:val="004D129C"/>
    <w:rsid w:val="004D251B"/>
    <w:rsid w:val="004D252A"/>
    <w:rsid w:val="004D40E1"/>
    <w:rsid w:val="004D4430"/>
    <w:rsid w:val="004D4FFD"/>
    <w:rsid w:val="004D5A3F"/>
    <w:rsid w:val="004D7125"/>
    <w:rsid w:val="004E0684"/>
    <w:rsid w:val="004E18CE"/>
    <w:rsid w:val="004E28AC"/>
    <w:rsid w:val="004E2AEF"/>
    <w:rsid w:val="004E3162"/>
    <w:rsid w:val="004E4A37"/>
    <w:rsid w:val="004E4B31"/>
    <w:rsid w:val="004E4ED3"/>
    <w:rsid w:val="004E52FB"/>
    <w:rsid w:val="004E67E9"/>
    <w:rsid w:val="004E7CE6"/>
    <w:rsid w:val="004F0EC0"/>
    <w:rsid w:val="004F3BEA"/>
    <w:rsid w:val="004F4684"/>
    <w:rsid w:val="004F4B70"/>
    <w:rsid w:val="004F734E"/>
    <w:rsid w:val="004F750C"/>
    <w:rsid w:val="00500C32"/>
    <w:rsid w:val="005024A0"/>
    <w:rsid w:val="00504702"/>
    <w:rsid w:val="0050606D"/>
    <w:rsid w:val="00506D54"/>
    <w:rsid w:val="00507DE6"/>
    <w:rsid w:val="0051026A"/>
    <w:rsid w:val="00510649"/>
    <w:rsid w:val="00511400"/>
    <w:rsid w:val="005129E1"/>
    <w:rsid w:val="005130B6"/>
    <w:rsid w:val="0051350B"/>
    <w:rsid w:val="00513872"/>
    <w:rsid w:val="00514057"/>
    <w:rsid w:val="00514393"/>
    <w:rsid w:val="00515CFA"/>
    <w:rsid w:val="0051689E"/>
    <w:rsid w:val="00516909"/>
    <w:rsid w:val="005170F1"/>
    <w:rsid w:val="0051753B"/>
    <w:rsid w:val="00520A9D"/>
    <w:rsid w:val="00522B3E"/>
    <w:rsid w:val="00522E0F"/>
    <w:rsid w:val="00523536"/>
    <w:rsid w:val="005264A3"/>
    <w:rsid w:val="00526591"/>
    <w:rsid w:val="00526A72"/>
    <w:rsid w:val="00526AE9"/>
    <w:rsid w:val="0053207C"/>
    <w:rsid w:val="005330D7"/>
    <w:rsid w:val="00535E09"/>
    <w:rsid w:val="005375F5"/>
    <w:rsid w:val="0053776F"/>
    <w:rsid w:val="00537C1C"/>
    <w:rsid w:val="00540C04"/>
    <w:rsid w:val="005411A0"/>
    <w:rsid w:val="005420D5"/>
    <w:rsid w:val="00542BF2"/>
    <w:rsid w:val="00543C24"/>
    <w:rsid w:val="00544F07"/>
    <w:rsid w:val="00546664"/>
    <w:rsid w:val="005468FF"/>
    <w:rsid w:val="00546C9D"/>
    <w:rsid w:val="00547B1B"/>
    <w:rsid w:val="00551D82"/>
    <w:rsid w:val="00551E27"/>
    <w:rsid w:val="00551EA8"/>
    <w:rsid w:val="00551FB8"/>
    <w:rsid w:val="005522EF"/>
    <w:rsid w:val="00553029"/>
    <w:rsid w:val="005558B8"/>
    <w:rsid w:val="00556A71"/>
    <w:rsid w:val="00557C8B"/>
    <w:rsid w:val="00560B63"/>
    <w:rsid w:val="00561073"/>
    <w:rsid w:val="0056165A"/>
    <w:rsid w:val="00563F40"/>
    <w:rsid w:val="00564346"/>
    <w:rsid w:val="0056456E"/>
    <w:rsid w:val="00564F5A"/>
    <w:rsid w:val="005652D3"/>
    <w:rsid w:val="0056531D"/>
    <w:rsid w:val="0056798B"/>
    <w:rsid w:val="00567BE5"/>
    <w:rsid w:val="00567CDB"/>
    <w:rsid w:val="00567E9E"/>
    <w:rsid w:val="00571539"/>
    <w:rsid w:val="00571BBA"/>
    <w:rsid w:val="005728FF"/>
    <w:rsid w:val="00573CCE"/>
    <w:rsid w:val="00573D77"/>
    <w:rsid w:val="005742C0"/>
    <w:rsid w:val="005744F6"/>
    <w:rsid w:val="00574B88"/>
    <w:rsid w:val="005758AD"/>
    <w:rsid w:val="00575C3B"/>
    <w:rsid w:val="00576281"/>
    <w:rsid w:val="00576A0D"/>
    <w:rsid w:val="00576AB7"/>
    <w:rsid w:val="00576CE2"/>
    <w:rsid w:val="0057754F"/>
    <w:rsid w:val="005811A0"/>
    <w:rsid w:val="005840B9"/>
    <w:rsid w:val="00584C0B"/>
    <w:rsid w:val="005852DC"/>
    <w:rsid w:val="00586359"/>
    <w:rsid w:val="00586372"/>
    <w:rsid w:val="00587082"/>
    <w:rsid w:val="005872A1"/>
    <w:rsid w:val="00587519"/>
    <w:rsid w:val="00590FB7"/>
    <w:rsid w:val="00591B64"/>
    <w:rsid w:val="00591F28"/>
    <w:rsid w:val="005930F5"/>
    <w:rsid w:val="00593749"/>
    <w:rsid w:val="00595DAB"/>
    <w:rsid w:val="00595EF2"/>
    <w:rsid w:val="005965D5"/>
    <w:rsid w:val="00596CD5"/>
    <w:rsid w:val="00596D1A"/>
    <w:rsid w:val="00596D3A"/>
    <w:rsid w:val="005972E5"/>
    <w:rsid w:val="005A00C6"/>
    <w:rsid w:val="005A07EA"/>
    <w:rsid w:val="005A1013"/>
    <w:rsid w:val="005A16DB"/>
    <w:rsid w:val="005A185D"/>
    <w:rsid w:val="005A3020"/>
    <w:rsid w:val="005A3ACB"/>
    <w:rsid w:val="005A4BB8"/>
    <w:rsid w:val="005A4C48"/>
    <w:rsid w:val="005A5044"/>
    <w:rsid w:val="005A53BA"/>
    <w:rsid w:val="005A6E8F"/>
    <w:rsid w:val="005B0C6F"/>
    <w:rsid w:val="005B1390"/>
    <w:rsid w:val="005B201D"/>
    <w:rsid w:val="005B373B"/>
    <w:rsid w:val="005B3782"/>
    <w:rsid w:val="005B3EDA"/>
    <w:rsid w:val="005B58A3"/>
    <w:rsid w:val="005B64D9"/>
    <w:rsid w:val="005B680A"/>
    <w:rsid w:val="005B6F96"/>
    <w:rsid w:val="005C0356"/>
    <w:rsid w:val="005C085F"/>
    <w:rsid w:val="005C121C"/>
    <w:rsid w:val="005C21E5"/>
    <w:rsid w:val="005C35DB"/>
    <w:rsid w:val="005C3ADB"/>
    <w:rsid w:val="005C3B77"/>
    <w:rsid w:val="005C3D38"/>
    <w:rsid w:val="005C5485"/>
    <w:rsid w:val="005C6399"/>
    <w:rsid w:val="005C6501"/>
    <w:rsid w:val="005C680F"/>
    <w:rsid w:val="005D1751"/>
    <w:rsid w:val="005D3A28"/>
    <w:rsid w:val="005D4BEA"/>
    <w:rsid w:val="005D4E6D"/>
    <w:rsid w:val="005D4E90"/>
    <w:rsid w:val="005D5BA7"/>
    <w:rsid w:val="005D64EF"/>
    <w:rsid w:val="005E028A"/>
    <w:rsid w:val="005E2432"/>
    <w:rsid w:val="005E4827"/>
    <w:rsid w:val="005E5A07"/>
    <w:rsid w:val="005E5C49"/>
    <w:rsid w:val="005E6AA0"/>
    <w:rsid w:val="005E7EF8"/>
    <w:rsid w:val="005F0A3F"/>
    <w:rsid w:val="005F1B17"/>
    <w:rsid w:val="005F21E8"/>
    <w:rsid w:val="005F2E3C"/>
    <w:rsid w:val="005F332A"/>
    <w:rsid w:val="005F3412"/>
    <w:rsid w:val="005F3F64"/>
    <w:rsid w:val="005F4A73"/>
    <w:rsid w:val="005F5753"/>
    <w:rsid w:val="005F5EE8"/>
    <w:rsid w:val="005F6E35"/>
    <w:rsid w:val="006004D4"/>
    <w:rsid w:val="00602A37"/>
    <w:rsid w:val="0060515C"/>
    <w:rsid w:val="006051F7"/>
    <w:rsid w:val="00605528"/>
    <w:rsid w:val="006059DC"/>
    <w:rsid w:val="00605D79"/>
    <w:rsid w:val="00606FBE"/>
    <w:rsid w:val="00607B73"/>
    <w:rsid w:val="00610FD7"/>
    <w:rsid w:val="006118E8"/>
    <w:rsid w:val="00611F1B"/>
    <w:rsid w:val="0061215E"/>
    <w:rsid w:val="00613921"/>
    <w:rsid w:val="00613F69"/>
    <w:rsid w:val="00614DBF"/>
    <w:rsid w:val="006167BA"/>
    <w:rsid w:val="006169B7"/>
    <w:rsid w:val="00622002"/>
    <w:rsid w:val="0062251D"/>
    <w:rsid w:val="00622578"/>
    <w:rsid w:val="00622C5D"/>
    <w:rsid w:val="00623F24"/>
    <w:rsid w:val="006249D2"/>
    <w:rsid w:val="0062583A"/>
    <w:rsid w:val="00627446"/>
    <w:rsid w:val="00627B8E"/>
    <w:rsid w:val="006316C4"/>
    <w:rsid w:val="006318C4"/>
    <w:rsid w:val="00631F06"/>
    <w:rsid w:val="00635A65"/>
    <w:rsid w:val="00635CC8"/>
    <w:rsid w:val="00637900"/>
    <w:rsid w:val="00637B54"/>
    <w:rsid w:val="0064009A"/>
    <w:rsid w:val="006405EC"/>
    <w:rsid w:val="0064257F"/>
    <w:rsid w:val="00643D0E"/>
    <w:rsid w:val="00643EDF"/>
    <w:rsid w:val="006449D7"/>
    <w:rsid w:val="006504DD"/>
    <w:rsid w:val="00652AF2"/>
    <w:rsid w:val="006539E8"/>
    <w:rsid w:val="00653E62"/>
    <w:rsid w:val="00654751"/>
    <w:rsid w:val="00654CF5"/>
    <w:rsid w:val="00655642"/>
    <w:rsid w:val="00655E0F"/>
    <w:rsid w:val="00657307"/>
    <w:rsid w:val="00660E39"/>
    <w:rsid w:val="0066182A"/>
    <w:rsid w:val="00662BCB"/>
    <w:rsid w:val="00664507"/>
    <w:rsid w:val="00665A57"/>
    <w:rsid w:val="00665AF6"/>
    <w:rsid w:val="006661EA"/>
    <w:rsid w:val="006668AA"/>
    <w:rsid w:val="00666E24"/>
    <w:rsid w:val="0067052C"/>
    <w:rsid w:val="006706A5"/>
    <w:rsid w:val="00670A31"/>
    <w:rsid w:val="00672377"/>
    <w:rsid w:val="00672A76"/>
    <w:rsid w:val="006741B6"/>
    <w:rsid w:val="006742A4"/>
    <w:rsid w:val="006760A0"/>
    <w:rsid w:val="006766F7"/>
    <w:rsid w:val="00677B95"/>
    <w:rsid w:val="006811C2"/>
    <w:rsid w:val="00682754"/>
    <w:rsid w:val="00683BEC"/>
    <w:rsid w:val="0068474C"/>
    <w:rsid w:val="00684AC1"/>
    <w:rsid w:val="00684DEC"/>
    <w:rsid w:val="006865F0"/>
    <w:rsid w:val="00686974"/>
    <w:rsid w:val="006870F1"/>
    <w:rsid w:val="006911EF"/>
    <w:rsid w:val="00692E66"/>
    <w:rsid w:val="00693CDA"/>
    <w:rsid w:val="006943EB"/>
    <w:rsid w:val="00694888"/>
    <w:rsid w:val="00695E4A"/>
    <w:rsid w:val="006A0F39"/>
    <w:rsid w:val="006A191E"/>
    <w:rsid w:val="006A23D3"/>
    <w:rsid w:val="006A2482"/>
    <w:rsid w:val="006A3D56"/>
    <w:rsid w:val="006A5BBE"/>
    <w:rsid w:val="006A661A"/>
    <w:rsid w:val="006A6884"/>
    <w:rsid w:val="006A7BAB"/>
    <w:rsid w:val="006B289C"/>
    <w:rsid w:val="006B29DB"/>
    <w:rsid w:val="006B437A"/>
    <w:rsid w:val="006B52AD"/>
    <w:rsid w:val="006B7C82"/>
    <w:rsid w:val="006C000B"/>
    <w:rsid w:val="006C156E"/>
    <w:rsid w:val="006C2CC1"/>
    <w:rsid w:val="006C46A3"/>
    <w:rsid w:val="006C6EAD"/>
    <w:rsid w:val="006D1348"/>
    <w:rsid w:val="006D26E5"/>
    <w:rsid w:val="006D3075"/>
    <w:rsid w:val="006D3B54"/>
    <w:rsid w:val="006D4061"/>
    <w:rsid w:val="006D49BB"/>
    <w:rsid w:val="006D4A1D"/>
    <w:rsid w:val="006D4CD9"/>
    <w:rsid w:val="006D4DE2"/>
    <w:rsid w:val="006D5C03"/>
    <w:rsid w:val="006D6674"/>
    <w:rsid w:val="006D6854"/>
    <w:rsid w:val="006D6978"/>
    <w:rsid w:val="006D6AB3"/>
    <w:rsid w:val="006D744B"/>
    <w:rsid w:val="006D77B3"/>
    <w:rsid w:val="006E21FD"/>
    <w:rsid w:val="006E3775"/>
    <w:rsid w:val="006E3B70"/>
    <w:rsid w:val="006E4797"/>
    <w:rsid w:val="006E48E8"/>
    <w:rsid w:val="006E545B"/>
    <w:rsid w:val="006E61B4"/>
    <w:rsid w:val="006E6D4E"/>
    <w:rsid w:val="006E70F5"/>
    <w:rsid w:val="006E7D5A"/>
    <w:rsid w:val="006F3937"/>
    <w:rsid w:val="006F503F"/>
    <w:rsid w:val="006F51AC"/>
    <w:rsid w:val="006F571A"/>
    <w:rsid w:val="006F58E7"/>
    <w:rsid w:val="006F5F0D"/>
    <w:rsid w:val="006F7079"/>
    <w:rsid w:val="006F72BE"/>
    <w:rsid w:val="006F7C7D"/>
    <w:rsid w:val="007026A6"/>
    <w:rsid w:val="00704238"/>
    <w:rsid w:val="0070444F"/>
    <w:rsid w:val="00705D0B"/>
    <w:rsid w:val="00705EB0"/>
    <w:rsid w:val="00712DA5"/>
    <w:rsid w:val="00713DBD"/>
    <w:rsid w:val="007151FF"/>
    <w:rsid w:val="00715907"/>
    <w:rsid w:val="00716E26"/>
    <w:rsid w:val="00720714"/>
    <w:rsid w:val="007217E5"/>
    <w:rsid w:val="00723B8E"/>
    <w:rsid w:val="00724023"/>
    <w:rsid w:val="0072486A"/>
    <w:rsid w:val="00724F4B"/>
    <w:rsid w:val="007250A3"/>
    <w:rsid w:val="00725648"/>
    <w:rsid w:val="00725A09"/>
    <w:rsid w:val="007305ED"/>
    <w:rsid w:val="00734900"/>
    <w:rsid w:val="00735D1A"/>
    <w:rsid w:val="00736303"/>
    <w:rsid w:val="0073671B"/>
    <w:rsid w:val="00736DF8"/>
    <w:rsid w:val="00737887"/>
    <w:rsid w:val="007378D0"/>
    <w:rsid w:val="007425D6"/>
    <w:rsid w:val="00742B4D"/>
    <w:rsid w:val="007434B2"/>
    <w:rsid w:val="00744E1C"/>
    <w:rsid w:val="0074578F"/>
    <w:rsid w:val="00746B94"/>
    <w:rsid w:val="00752DFC"/>
    <w:rsid w:val="0075701D"/>
    <w:rsid w:val="00757CAF"/>
    <w:rsid w:val="007602D5"/>
    <w:rsid w:val="00760659"/>
    <w:rsid w:val="00761567"/>
    <w:rsid w:val="007620B9"/>
    <w:rsid w:val="00762E07"/>
    <w:rsid w:val="00763983"/>
    <w:rsid w:val="00770846"/>
    <w:rsid w:val="0077099B"/>
    <w:rsid w:val="00772C2E"/>
    <w:rsid w:val="00772EA1"/>
    <w:rsid w:val="007737CC"/>
    <w:rsid w:val="007749E5"/>
    <w:rsid w:val="00775C33"/>
    <w:rsid w:val="00777EE7"/>
    <w:rsid w:val="00781517"/>
    <w:rsid w:val="00784AB7"/>
    <w:rsid w:val="007877CD"/>
    <w:rsid w:val="00790E68"/>
    <w:rsid w:val="00791911"/>
    <w:rsid w:val="00792647"/>
    <w:rsid w:val="00794335"/>
    <w:rsid w:val="00794C73"/>
    <w:rsid w:val="0079697C"/>
    <w:rsid w:val="00796B99"/>
    <w:rsid w:val="00797A91"/>
    <w:rsid w:val="007A07C5"/>
    <w:rsid w:val="007A1AC3"/>
    <w:rsid w:val="007A2365"/>
    <w:rsid w:val="007A3289"/>
    <w:rsid w:val="007A34ED"/>
    <w:rsid w:val="007A4CB1"/>
    <w:rsid w:val="007A4E7B"/>
    <w:rsid w:val="007A50B4"/>
    <w:rsid w:val="007A56FA"/>
    <w:rsid w:val="007A5AB1"/>
    <w:rsid w:val="007A6140"/>
    <w:rsid w:val="007A656A"/>
    <w:rsid w:val="007A6582"/>
    <w:rsid w:val="007A6BE7"/>
    <w:rsid w:val="007A75D6"/>
    <w:rsid w:val="007A780D"/>
    <w:rsid w:val="007A7F92"/>
    <w:rsid w:val="007B1518"/>
    <w:rsid w:val="007B156A"/>
    <w:rsid w:val="007B165C"/>
    <w:rsid w:val="007B1F01"/>
    <w:rsid w:val="007B25F5"/>
    <w:rsid w:val="007B391C"/>
    <w:rsid w:val="007B4CA7"/>
    <w:rsid w:val="007B56C5"/>
    <w:rsid w:val="007B7C5D"/>
    <w:rsid w:val="007C0072"/>
    <w:rsid w:val="007C016B"/>
    <w:rsid w:val="007C0A8D"/>
    <w:rsid w:val="007C0FBD"/>
    <w:rsid w:val="007C1B69"/>
    <w:rsid w:val="007C26F2"/>
    <w:rsid w:val="007C492E"/>
    <w:rsid w:val="007C4C3F"/>
    <w:rsid w:val="007C4EB2"/>
    <w:rsid w:val="007C57C2"/>
    <w:rsid w:val="007C65AE"/>
    <w:rsid w:val="007D03DF"/>
    <w:rsid w:val="007D0CF9"/>
    <w:rsid w:val="007D16FC"/>
    <w:rsid w:val="007D4644"/>
    <w:rsid w:val="007D46EE"/>
    <w:rsid w:val="007D74DF"/>
    <w:rsid w:val="007D74F5"/>
    <w:rsid w:val="007E0319"/>
    <w:rsid w:val="007E32C1"/>
    <w:rsid w:val="007E33C2"/>
    <w:rsid w:val="007E4F8C"/>
    <w:rsid w:val="007E4FA1"/>
    <w:rsid w:val="007F1C12"/>
    <w:rsid w:val="007F2379"/>
    <w:rsid w:val="007F3132"/>
    <w:rsid w:val="007F4225"/>
    <w:rsid w:val="007F42D7"/>
    <w:rsid w:val="007F4C08"/>
    <w:rsid w:val="007F4C69"/>
    <w:rsid w:val="007F6F2E"/>
    <w:rsid w:val="007F7E78"/>
    <w:rsid w:val="00800440"/>
    <w:rsid w:val="00800CB5"/>
    <w:rsid w:val="00802124"/>
    <w:rsid w:val="00802DA0"/>
    <w:rsid w:val="008036C6"/>
    <w:rsid w:val="00805511"/>
    <w:rsid w:val="00805D8A"/>
    <w:rsid w:val="00807084"/>
    <w:rsid w:val="00807141"/>
    <w:rsid w:val="00810437"/>
    <w:rsid w:val="00811508"/>
    <w:rsid w:val="008126C9"/>
    <w:rsid w:val="008126CF"/>
    <w:rsid w:val="00813783"/>
    <w:rsid w:val="008176B3"/>
    <w:rsid w:val="008179D7"/>
    <w:rsid w:val="00817CBB"/>
    <w:rsid w:val="00820373"/>
    <w:rsid w:val="00820977"/>
    <w:rsid w:val="008210B8"/>
    <w:rsid w:val="00822324"/>
    <w:rsid w:val="0082290C"/>
    <w:rsid w:val="00822DF9"/>
    <w:rsid w:val="00824C8D"/>
    <w:rsid w:val="008251BE"/>
    <w:rsid w:val="008252F1"/>
    <w:rsid w:val="00825E59"/>
    <w:rsid w:val="00826B39"/>
    <w:rsid w:val="00830CBE"/>
    <w:rsid w:val="00831BE0"/>
    <w:rsid w:val="00833BC8"/>
    <w:rsid w:val="0083432D"/>
    <w:rsid w:val="00834772"/>
    <w:rsid w:val="00835557"/>
    <w:rsid w:val="00837285"/>
    <w:rsid w:val="00837457"/>
    <w:rsid w:val="008412F3"/>
    <w:rsid w:val="0084187F"/>
    <w:rsid w:val="00842600"/>
    <w:rsid w:val="00844A8A"/>
    <w:rsid w:val="0084658A"/>
    <w:rsid w:val="008475A3"/>
    <w:rsid w:val="00847B34"/>
    <w:rsid w:val="00850B85"/>
    <w:rsid w:val="008516BA"/>
    <w:rsid w:val="00851E0C"/>
    <w:rsid w:val="00852BAD"/>
    <w:rsid w:val="00853BFA"/>
    <w:rsid w:val="00853E10"/>
    <w:rsid w:val="00855717"/>
    <w:rsid w:val="008568C3"/>
    <w:rsid w:val="0086359C"/>
    <w:rsid w:val="00863952"/>
    <w:rsid w:val="0086739F"/>
    <w:rsid w:val="00870107"/>
    <w:rsid w:val="00870267"/>
    <w:rsid w:val="008719FE"/>
    <w:rsid w:val="00871D7A"/>
    <w:rsid w:val="00874346"/>
    <w:rsid w:val="00874BE5"/>
    <w:rsid w:val="00875306"/>
    <w:rsid w:val="00876C4A"/>
    <w:rsid w:val="0087709C"/>
    <w:rsid w:val="00880902"/>
    <w:rsid w:val="008811C6"/>
    <w:rsid w:val="008817F4"/>
    <w:rsid w:val="00881BEA"/>
    <w:rsid w:val="00881D4F"/>
    <w:rsid w:val="008840E3"/>
    <w:rsid w:val="0088436F"/>
    <w:rsid w:val="008849AD"/>
    <w:rsid w:val="00886C3B"/>
    <w:rsid w:val="00886F0B"/>
    <w:rsid w:val="00887081"/>
    <w:rsid w:val="00887F23"/>
    <w:rsid w:val="00893B30"/>
    <w:rsid w:val="00894DD5"/>
    <w:rsid w:val="00897ACA"/>
    <w:rsid w:val="008A01E9"/>
    <w:rsid w:val="008A05C3"/>
    <w:rsid w:val="008A37CE"/>
    <w:rsid w:val="008A4D49"/>
    <w:rsid w:val="008A605C"/>
    <w:rsid w:val="008A74F3"/>
    <w:rsid w:val="008B0CBC"/>
    <w:rsid w:val="008B2425"/>
    <w:rsid w:val="008B40B2"/>
    <w:rsid w:val="008B4A0F"/>
    <w:rsid w:val="008B7C8A"/>
    <w:rsid w:val="008B7CD9"/>
    <w:rsid w:val="008C005A"/>
    <w:rsid w:val="008C030B"/>
    <w:rsid w:val="008C0E5E"/>
    <w:rsid w:val="008C17F0"/>
    <w:rsid w:val="008C22EC"/>
    <w:rsid w:val="008C2C40"/>
    <w:rsid w:val="008C4B64"/>
    <w:rsid w:val="008C5828"/>
    <w:rsid w:val="008C592B"/>
    <w:rsid w:val="008C5AAD"/>
    <w:rsid w:val="008C6589"/>
    <w:rsid w:val="008C6A7C"/>
    <w:rsid w:val="008D0BBA"/>
    <w:rsid w:val="008D0F98"/>
    <w:rsid w:val="008D101D"/>
    <w:rsid w:val="008D5E0B"/>
    <w:rsid w:val="008D63B6"/>
    <w:rsid w:val="008D69E7"/>
    <w:rsid w:val="008E1025"/>
    <w:rsid w:val="008E33BA"/>
    <w:rsid w:val="008E3C42"/>
    <w:rsid w:val="008E4811"/>
    <w:rsid w:val="008E48E1"/>
    <w:rsid w:val="008E5124"/>
    <w:rsid w:val="008E54C3"/>
    <w:rsid w:val="008E642D"/>
    <w:rsid w:val="008E670C"/>
    <w:rsid w:val="008E6DC5"/>
    <w:rsid w:val="008E6FEF"/>
    <w:rsid w:val="008E7F78"/>
    <w:rsid w:val="008F04A5"/>
    <w:rsid w:val="008F13B2"/>
    <w:rsid w:val="008F32F2"/>
    <w:rsid w:val="008F3BDE"/>
    <w:rsid w:val="008F4F38"/>
    <w:rsid w:val="008F602C"/>
    <w:rsid w:val="008F7830"/>
    <w:rsid w:val="00901805"/>
    <w:rsid w:val="009023B4"/>
    <w:rsid w:val="00904176"/>
    <w:rsid w:val="00904F9F"/>
    <w:rsid w:val="00904FD4"/>
    <w:rsid w:val="0090623D"/>
    <w:rsid w:val="00907092"/>
    <w:rsid w:val="00907282"/>
    <w:rsid w:val="009074B8"/>
    <w:rsid w:val="00907968"/>
    <w:rsid w:val="00907FCE"/>
    <w:rsid w:val="00911E0A"/>
    <w:rsid w:val="00912F71"/>
    <w:rsid w:val="009149AA"/>
    <w:rsid w:val="0091567A"/>
    <w:rsid w:val="009157DF"/>
    <w:rsid w:val="0091605D"/>
    <w:rsid w:val="0091609A"/>
    <w:rsid w:val="0092097D"/>
    <w:rsid w:val="00920BA9"/>
    <w:rsid w:val="009215EC"/>
    <w:rsid w:val="00921CB7"/>
    <w:rsid w:val="009228F8"/>
    <w:rsid w:val="00922DBD"/>
    <w:rsid w:val="0092392C"/>
    <w:rsid w:val="0092436E"/>
    <w:rsid w:val="00924C37"/>
    <w:rsid w:val="009254CF"/>
    <w:rsid w:val="00925B7D"/>
    <w:rsid w:val="0092636E"/>
    <w:rsid w:val="00926BB1"/>
    <w:rsid w:val="00926C66"/>
    <w:rsid w:val="009301E3"/>
    <w:rsid w:val="00930CAB"/>
    <w:rsid w:val="0093104D"/>
    <w:rsid w:val="00931330"/>
    <w:rsid w:val="009328F1"/>
    <w:rsid w:val="00934ECB"/>
    <w:rsid w:val="00934F29"/>
    <w:rsid w:val="00935061"/>
    <w:rsid w:val="00936CB1"/>
    <w:rsid w:val="0093707C"/>
    <w:rsid w:val="00937332"/>
    <w:rsid w:val="00937823"/>
    <w:rsid w:val="00942072"/>
    <w:rsid w:val="00942259"/>
    <w:rsid w:val="00942699"/>
    <w:rsid w:val="00942928"/>
    <w:rsid w:val="00943DB5"/>
    <w:rsid w:val="00944CDD"/>
    <w:rsid w:val="00944E7B"/>
    <w:rsid w:val="00945E3E"/>
    <w:rsid w:val="009462AF"/>
    <w:rsid w:val="009462DB"/>
    <w:rsid w:val="00946BD4"/>
    <w:rsid w:val="00950022"/>
    <w:rsid w:val="00950485"/>
    <w:rsid w:val="00950791"/>
    <w:rsid w:val="00951D6E"/>
    <w:rsid w:val="00952A63"/>
    <w:rsid w:val="009530C6"/>
    <w:rsid w:val="009547EB"/>
    <w:rsid w:val="009609C9"/>
    <w:rsid w:val="009621AD"/>
    <w:rsid w:val="00962C14"/>
    <w:rsid w:val="0096377F"/>
    <w:rsid w:val="009640FD"/>
    <w:rsid w:val="00965192"/>
    <w:rsid w:val="009654A0"/>
    <w:rsid w:val="00966CCE"/>
    <w:rsid w:val="00966D2A"/>
    <w:rsid w:val="009713D7"/>
    <w:rsid w:val="00971A25"/>
    <w:rsid w:val="0097298A"/>
    <w:rsid w:val="009729EE"/>
    <w:rsid w:val="00972E14"/>
    <w:rsid w:val="009737A3"/>
    <w:rsid w:val="00973F04"/>
    <w:rsid w:val="009747D6"/>
    <w:rsid w:val="00974A55"/>
    <w:rsid w:val="00974BD0"/>
    <w:rsid w:val="00974D5C"/>
    <w:rsid w:val="0097558D"/>
    <w:rsid w:val="00976143"/>
    <w:rsid w:val="009765AA"/>
    <w:rsid w:val="009769D7"/>
    <w:rsid w:val="00977B90"/>
    <w:rsid w:val="00980ED2"/>
    <w:rsid w:val="009811CD"/>
    <w:rsid w:val="009812DA"/>
    <w:rsid w:val="009812FF"/>
    <w:rsid w:val="0098191B"/>
    <w:rsid w:val="009829D6"/>
    <w:rsid w:val="00982A25"/>
    <w:rsid w:val="00983BE1"/>
    <w:rsid w:val="009844D6"/>
    <w:rsid w:val="009861D9"/>
    <w:rsid w:val="00992710"/>
    <w:rsid w:val="00992C9D"/>
    <w:rsid w:val="00993D23"/>
    <w:rsid w:val="00993FBE"/>
    <w:rsid w:val="00996D2A"/>
    <w:rsid w:val="00997F65"/>
    <w:rsid w:val="009A10AA"/>
    <w:rsid w:val="009A169A"/>
    <w:rsid w:val="009A1FE2"/>
    <w:rsid w:val="009A2397"/>
    <w:rsid w:val="009B05BA"/>
    <w:rsid w:val="009B098D"/>
    <w:rsid w:val="009B2379"/>
    <w:rsid w:val="009B27BB"/>
    <w:rsid w:val="009B28A5"/>
    <w:rsid w:val="009B35C3"/>
    <w:rsid w:val="009B4C88"/>
    <w:rsid w:val="009B52CB"/>
    <w:rsid w:val="009C047D"/>
    <w:rsid w:val="009C17C7"/>
    <w:rsid w:val="009C1B23"/>
    <w:rsid w:val="009C1C7E"/>
    <w:rsid w:val="009C2314"/>
    <w:rsid w:val="009C2D21"/>
    <w:rsid w:val="009C6705"/>
    <w:rsid w:val="009C6797"/>
    <w:rsid w:val="009D19E9"/>
    <w:rsid w:val="009D1B1E"/>
    <w:rsid w:val="009D20CD"/>
    <w:rsid w:val="009D2F47"/>
    <w:rsid w:val="009D35BA"/>
    <w:rsid w:val="009D3B52"/>
    <w:rsid w:val="009D462D"/>
    <w:rsid w:val="009D62F6"/>
    <w:rsid w:val="009D6A4C"/>
    <w:rsid w:val="009D764C"/>
    <w:rsid w:val="009E080E"/>
    <w:rsid w:val="009E0907"/>
    <w:rsid w:val="009E43BC"/>
    <w:rsid w:val="009E5103"/>
    <w:rsid w:val="009E6267"/>
    <w:rsid w:val="009E67F8"/>
    <w:rsid w:val="009F1A5B"/>
    <w:rsid w:val="009F206E"/>
    <w:rsid w:val="009F2337"/>
    <w:rsid w:val="009F3F8A"/>
    <w:rsid w:val="009F5CCA"/>
    <w:rsid w:val="009F74F6"/>
    <w:rsid w:val="00A01C08"/>
    <w:rsid w:val="00A01D09"/>
    <w:rsid w:val="00A02C66"/>
    <w:rsid w:val="00A0315F"/>
    <w:rsid w:val="00A03BF9"/>
    <w:rsid w:val="00A04FBF"/>
    <w:rsid w:val="00A06294"/>
    <w:rsid w:val="00A07356"/>
    <w:rsid w:val="00A0754B"/>
    <w:rsid w:val="00A10864"/>
    <w:rsid w:val="00A11B4C"/>
    <w:rsid w:val="00A13516"/>
    <w:rsid w:val="00A1395C"/>
    <w:rsid w:val="00A14E8E"/>
    <w:rsid w:val="00A16379"/>
    <w:rsid w:val="00A1683C"/>
    <w:rsid w:val="00A17DE5"/>
    <w:rsid w:val="00A20111"/>
    <w:rsid w:val="00A2059C"/>
    <w:rsid w:val="00A207C0"/>
    <w:rsid w:val="00A21094"/>
    <w:rsid w:val="00A218A7"/>
    <w:rsid w:val="00A219B0"/>
    <w:rsid w:val="00A21D4A"/>
    <w:rsid w:val="00A2361E"/>
    <w:rsid w:val="00A23697"/>
    <w:rsid w:val="00A26D8E"/>
    <w:rsid w:val="00A310C8"/>
    <w:rsid w:val="00A3155D"/>
    <w:rsid w:val="00A3254E"/>
    <w:rsid w:val="00A37598"/>
    <w:rsid w:val="00A40565"/>
    <w:rsid w:val="00A41F3A"/>
    <w:rsid w:val="00A4236B"/>
    <w:rsid w:val="00A429B2"/>
    <w:rsid w:val="00A45003"/>
    <w:rsid w:val="00A45CFE"/>
    <w:rsid w:val="00A462DF"/>
    <w:rsid w:val="00A50255"/>
    <w:rsid w:val="00A5060E"/>
    <w:rsid w:val="00A54BF8"/>
    <w:rsid w:val="00A55926"/>
    <w:rsid w:val="00A566DB"/>
    <w:rsid w:val="00A57BAB"/>
    <w:rsid w:val="00A6019E"/>
    <w:rsid w:val="00A61CF6"/>
    <w:rsid w:val="00A62065"/>
    <w:rsid w:val="00A62368"/>
    <w:rsid w:val="00A62C69"/>
    <w:rsid w:val="00A63036"/>
    <w:rsid w:val="00A63C86"/>
    <w:rsid w:val="00A6636F"/>
    <w:rsid w:val="00A66841"/>
    <w:rsid w:val="00A669D1"/>
    <w:rsid w:val="00A66A5C"/>
    <w:rsid w:val="00A66FD3"/>
    <w:rsid w:val="00A71C77"/>
    <w:rsid w:val="00A746A4"/>
    <w:rsid w:val="00A75292"/>
    <w:rsid w:val="00A75351"/>
    <w:rsid w:val="00A77759"/>
    <w:rsid w:val="00A77809"/>
    <w:rsid w:val="00A83268"/>
    <w:rsid w:val="00A83C63"/>
    <w:rsid w:val="00A841E6"/>
    <w:rsid w:val="00A85039"/>
    <w:rsid w:val="00A86D4B"/>
    <w:rsid w:val="00A879FD"/>
    <w:rsid w:val="00A87E48"/>
    <w:rsid w:val="00A9025A"/>
    <w:rsid w:val="00A9056C"/>
    <w:rsid w:val="00A91CDA"/>
    <w:rsid w:val="00A927A6"/>
    <w:rsid w:val="00A9442E"/>
    <w:rsid w:val="00A94770"/>
    <w:rsid w:val="00A94915"/>
    <w:rsid w:val="00A94B6A"/>
    <w:rsid w:val="00A94CA0"/>
    <w:rsid w:val="00A95701"/>
    <w:rsid w:val="00A9576E"/>
    <w:rsid w:val="00A96820"/>
    <w:rsid w:val="00A971E9"/>
    <w:rsid w:val="00A97D94"/>
    <w:rsid w:val="00AA1261"/>
    <w:rsid w:val="00AA28F4"/>
    <w:rsid w:val="00AA3983"/>
    <w:rsid w:val="00AA421B"/>
    <w:rsid w:val="00AA5268"/>
    <w:rsid w:val="00AA7952"/>
    <w:rsid w:val="00AB2A66"/>
    <w:rsid w:val="00AB3FBA"/>
    <w:rsid w:val="00AB499D"/>
    <w:rsid w:val="00AB5195"/>
    <w:rsid w:val="00AB52F8"/>
    <w:rsid w:val="00AB704E"/>
    <w:rsid w:val="00AC0394"/>
    <w:rsid w:val="00AC57F9"/>
    <w:rsid w:val="00AC5EF2"/>
    <w:rsid w:val="00AC70B8"/>
    <w:rsid w:val="00AD0394"/>
    <w:rsid w:val="00AD2654"/>
    <w:rsid w:val="00AD281B"/>
    <w:rsid w:val="00AD3338"/>
    <w:rsid w:val="00AD3CCB"/>
    <w:rsid w:val="00AD635D"/>
    <w:rsid w:val="00AD63E9"/>
    <w:rsid w:val="00AD665E"/>
    <w:rsid w:val="00AD77D6"/>
    <w:rsid w:val="00AD79E6"/>
    <w:rsid w:val="00AE01EC"/>
    <w:rsid w:val="00AE02D6"/>
    <w:rsid w:val="00AE2BA6"/>
    <w:rsid w:val="00AE56AE"/>
    <w:rsid w:val="00AE60AF"/>
    <w:rsid w:val="00AE7C16"/>
    <w:rsid w:val="00AF0E50"/>
    <w:rsid w:val="00AF0F10"/>
    <w:rsid w:val="00AF200A"/>
    <w:rsid w:val="00AF20DD"/>
    <w:rsid w:val="00AF27AF"/>
    <w:rsid w:val="00AF3990"/>
    <w:rsid w:val="00AF5D8A"/>
    <w:rsid w:val="00AF6026"/>
    <w:rsid w:val="00AF7287"/>
    <w:rsid w:val="00B00BD5"/>
    <w:rsid w:val="00B03E0B"/>
    <w:rsid w:val="00B07B7B"/>
    <w:rsid w:val="00B10216"/>
    <w:rsid w:val="00B116A5"/>
    <w:rsid w:val="00B12570"/>
    <w:rsid w:val="00B12A60"/>
    <w:rsid w:val="00B13251"/>
    <w:rsid w:val="00B14BD9"/>
    <w:rsid w:val="00B161E0"/>
    <w:rsid w:val="00B16423"/>
    <w:rsid w:val="00B16535"/>
    <w:rsid w:val="00B16B39"/>
    <w:rsid w:val="00B17510"/>
    <w:rsid w:val="00B25305"/>
    <w:rsid w:val="00B25A9D"/>
    <w:rsid w:val="00B2653A"/>
    <w:rsid w:val="00B30980"/>
    <w:rsid w:val="00B30C0E"/>
    <w:rsid w:val="00B31402"/>
    <w:rsid w:val="00B31BCB"/>
    <w:rsid w:val="00B327B9"/>
    <w:rsid w:val="00B32C9A"/>
    <w:rsid w:val="00B37CFE"/>
    <w:rsid w:val="00B37CFF"/>
    <w:rsid w:val="00B4026C"/>
    <w:rsid w:val="00B40B22"/>
    <w:rsid w:val="00B40F02"/>
    <w:rsid w:val="00B42BA7"/>
    <w:rsid w:val="00B45B6B"/>
    <w:rsid w:val="00B45D9D"/>
    <w:rsid w:val="00B469E6"/>
    <w:rsid w:val="00B517B5"/>
    <w:rsid w:val="00B52855"/>
    <w:rsid w:val="00B578A7"/>
    <w:rsid w:val="00B57AD6"/>
    <w:rsid w:val="00B60FFB"/>
    <w:rsid w:val="00B6227E"/>
    <w:rsid w:val="00B63977"/>
    <w:rsid w:val="00B6548F"/>
    <w:rsid w:val="00B65BB6"/>
    <w:rsid w:val="00B65F33"/>
    <w:rsid w:val="00B66251"/>
    <w:rsid w:val="00B66921"/>
    <w:rsid w:val="00B66C84"/>
    <w:rsid w:val="00B708A4"/>
    <w:rsid w:val="00B712D4"/>
    <w:rsid w:val="00B724F3"/>
    <w:rsid w:val="00B72892"/>
    <w:rsid w:val="00B72C8C"/>
    <w:rsid w:val="00B72E6A"/>
    <w:rsid w:val="00B73CBB"/>
    <w:rsid w:val="00B74A97"/>
    <w:rsid w:val="00B77F35"/>
    <w:rsid w:val="00B800FC"/>
    <w:rsid w:val="00B81CF5"/>
    <w:rsid w:val="00B84252"/>
    <w:rsid w:val="00B8437E"/>
    <w:rsid w:val="00B8521A"/>
    <w:rsid w:val="00B86033"/>
    <w:rsid w:val="00B875AE"/>
    <w:rsid w:val="00B87853"/>
    <w:rsid w:val="00B90C33"/>
    <w:rsid w:val="00B914B4"/>
    <w:rsid w:val="00B914BA"/>
    <w:rsid w:val="00B94A78"/>
    <w:rsid w:val="00B95D60"/>
    <w:rsid w:val="00B95F8C"/>
    <w:rsid w:val="00B96DA0"/>
    <w:rsid w:val="00BA0F4C"/>
    <w:rsid w:val="00BA0F8C"/>
    <w:rsid w:val="00BA1232"/>
    <w:rsid w:val="00BA1FD8"/>
    <w:rsid w:val="00BA287D"/>
    <w:rsid w:val="00BA2A65"/>
    <w:rsid w:val="00BA560B"/>
    <w:rsid w:val="00BA59C5"/>
    <w:rsid w:val="00BA67C0"/>
    <w:rsid w:val="00BA737C"/>
    <w:rsid w:val="00BB0115"/>
    <w:rsid w:val="00BB15EA"/>
    <w:rsid w:val="00BB1A72"/>
    <w:rsid w:val="00BB23F0"/>
    <w:rsid w:val="00BB4739"/>
    <w:rsid w:val="00BB6CA9"/>
    <w:rsid w:val="00BC0F9C"/>
    <w:rsid w:val="00BC10D5"/>
    <w:rsid w:val="00BC1308"/>
    <w:rsid w:val="00BC2788"/>
    <w:rsid w:val="00BC3A9F"/>
    <w:rsid w:val="00BC5DB8"/>
    <w:rsid w:val="00BC5F5D"/>
    <w:rsid w:val="00BC66F0"/>
    <w:rsid w:val="00BD1925"/>
    <w:rsid w:val="00BD2C60"/>
    <w:rsid w:val="00BD3908"/>
    <w:rsid w:val="00BD53F8"/>
    <w:rsid w:val="00BD6370"/>
    <w:rsid w:val="00BD6810"/>
    <w:rsid w:val="00BD6A7F"/>
    <w:rsid w:val="00BD7A6E"/>
    <w:rsid w:val="00BE07A4"/>
    <w:rsid w:val="00BE0DCD"/>
    <w:rsid w:val="00BE1195"/>
    <w:rsid w:val="00BE1596"/>
    <w:rsid w:val="00BE22A2"/>
    <w:rsid w:val="00BE2D2B"/>
    <w:rsid w:val="00BE3B4B"/>
    <w:rsid w:val="00BE4055"/>
    <w:rsid w:val="00BE4917"/>
    <w:rsid w:val="00BE4E0F"/>
    <w:rsid w:val="00BE5339"/>
    <w:rsid w:val="00BE62F0"/>
    <w:rsid w:val="00BE7044"/>
    <w:rsid w:val="00BE72E7"/>
    <w:rsid w:val="00BF1144"/>
    <w:rsid w:val="00BF1282"/>
    <w:rsid w:val="00BF13DE"/>
    <w:rsid w:val="00BF2F83"/>
    <w:rsid w:val="00BF31CD"/>
    <w:rsid w:val="00BF4FF5"/>
    <w:rsid w:val="00BF6805"/>
    <w:rsid w:val="00C012A7"/>
    <w:rsid w:val="00C01D64"/>
    <w:rsid w:val="00C0222E"/>
    <w:rsid w:val="00C02CA4"/>
    <w:rsid w:val="00C02DF9"/>
    <w:rsid w:val="00C06A2A"/>
    <w:rsid w:val="00C06CB5"/>
    <w:rsid w:val="00C07322"/>
    <w:rsid w:val="00C0739D"/>
    <w:rsid w:val="00C07978"/>
    <w:rsid w:val="00C10B1A"/>
    <w:rsid w:val="00C11409"/>
    <w:rsid w:val="00C11CCA"/>
    <w:rsid w:val="00C126F0"/>
    <w:rsid w:val="00C128AD"/>
    <w:rsid w:val="00C12BAD"/>
    <w:rsid w:val="00C135C1"/>
    <w:rsid w:val="00C13E15"/>
    <w:rsid w:val="00C145F6"/>
    <w:rsid w:val="00C14D31"/>
    <w:rsid w:val="00C15ECA"/>
    <w:rsid w:val="00C15FB0"/>
    <w:rsid w:val="00C16B5D"/>
    <w:rsid w:val="00C16F05"/>
    <w:rsid w:val="00C2062E"/>
    <w:rsid w:val="00C20A28"/>
    <w:rsid w:val="00C21247"/>
    <w:rsid w:val="00C21710"/>
    <w:rsid w:val="00C21E7C"/>
    <w:rsid w:val="00C21F43"/>
    <w:rsid w:val="00C228F3"/>
    <w:rsid w:val="00C22DF4"/>
    <w:rsid w:val="00C230AB"/>
    <w:rsid w:val="00C273BF"/>
    <w:rsid w:val="00C2748A"/>
    <w:rsid w:val="00C27885"/>
    <w:rsid w:val="00C27C81"/>
    <w:rsid w:val="00C31213"/>
    <w:rsid w:val="00C33CA6"/>
    <w:rsid w:val="00C33D18"/>
    <w:rsid w:val="00C34DBF"/>
    <w:rsid w:val="00C369EE"/>
    <w:rsid w:val="00C36A02"/>
    <w:rsid w:val="00C3755A"/>
    <w:rsid w:val="00C379E5"/>
    <w:rsid w:val="00C37D9E"/>
    <w:rsid w:val="00C40B99"/>
    <w:rsid w:val="00C423D1"/>
    <w:rsid w:val="00C45192"/>
    <w:rsid w:val="00C45854"/>
    <w:rsid w:val="00C46385"/>
    <w:rsid w:val="00C463CA"/>
    <w:rsid w:val="00C47A59"/>
    <w:rsid w:val="00C506C8"/>
    <w:rsid w:val="00C5074C"/>
    <w:rsid w:val="00C50973"/>
    <w:rsid w:val="00C5281F"/>
    <w:rsid w:val="00C52F16"/>
    <w:rsid w:val="00C5349C"/>
    <w:rsid w:val="00C54205"/>
    <w:rsid w:val="00C54BD3"/>
    <w:rsid w:val="00C55160"/>
    <w:rsid w:val="00C556D6"/>
    <w:rsid w:val="00C56A05"/>
    <w:rsid w:val="00C56B36"/>
    <w:rsid w:val="00C57362"/>
    <w:rsid w:val="00C605B4"/>
    <w:rsid w:val="00C619FC"/>
    <w:rsid w:val="00C61D5E"/>
    <w:rsid w:val="00C63A29"/>
    <w:rsid w:val="00C65926"/>
    <w:rsid w:val="00C65DBC"/>
    <w:rsid w:val="00C66C84"/>
    <w:rsid w:val="00C71438"/>
    <w:rsid w:val="00C71D0C"/>
    <w:rsid w:val="00C73DCA"/>
    <w:rsid w:val="00C77317"/>
    <w:rsid w:val="00C7746F"/>
    <w:rsid w:val="00C8097E"/>
    <w:rsid w:val="00C854DB"/>
    <w:rsid w:val="00C85553"/>
    <w:rsid w:val="00C85653"/>
    <w:rsid w:val="00C91B3E"/>
    <w:rsid w:val="00C932A2"/>
    <w:rsid w:val="00C93CDF"/>
    <w:rsid w:val="00C95A3C"/>
    <w:rsid w:val="00CA012A"/>
    <w:rsid w:val="00CA0CD7"/>
    <w:rsid w:val="00CA1716"/>
    <w:rsid w:val="00CA3006"/>
    <w:rsid w:val="00CA324F"/>
    <w:rsid w:val="00CA3BED"/>
    <w:rsid w:val="00CA4332"/>
    <w:rsid w:val="00CA66BA"/>
    <w:rsid w:val="00CA77A7"/>
    <w:rsid w:val="00CB4884"/>
    <w:rsid w:val="00CB50B5"/>
    <w:rsid w:val="00CB553C"/>
    <w:rsid w:val="00CB66F6"/>
    <w:rsid w:val="00CC0579"/>
    <w:rsid w:val="00CC07A6"/>
    <w:rsid w:val="00CC3905"/>
    <w:rsid w:val="00CC3F83"/>
    <w:rsid w:val="00CC43F4"/>
    <w:rsid w:val="00CC597C"/>
    <w:rsid w:val="00CC5FD5"/>
    <w:rsid w:val="00CC60FD"/>
    <w:rsid w:val="00CD2012"/>
    <w:rsid w:val="00CD392F"/>
    <w:rsid w:val="00CD3943"/>
    <w:rsid w:val="00CD4379"/>
    <w:rsid w:val="00CD566E"/>
    <w:rsid w:val="00CD63C7"/>
    <w:rsid w:val="00CD6867"/>
    <w:rsid w:val="00CD7B3A"/>
    <w:rsid w:val="00CE03C9"/>
    <w:rsid w:val="00CE0797"/>
    <w:rsid w:val="00CF041E"/>
    <w:rsid w:val="00CF31A9"/>
    <w:rsid w:val="00CF5194"/>
    <w:rsid w:val="00CF5490"/>
    <w:rsid w:val="00CF6DED"/>
    <w:rsid w:val="00CF7E88"/>
    <w:rsid w:val="00D02449"/>
    <w:rsid w:val="00D02597"/>
    <w:rsid w:val="00D03035"/>
    <w:rsid w:val="00D03DD3"/>
    <w:rsid w:val="00D0470E"/>
    <w:rsid w:val="00D066E2"/>
    <w:rsid w:val="00D13753"/>
    <w:rsid w:val="00D17337"/>
    <w:rsid w:val="00D205B8"/>
    <w:rsid w:val="00D2123E"/>
    <w:rsid w:val="00D215D7"/>
    <w:rsid w:val="00D2170F"/>
    <w:rsid w:val="00D21CFE"/>
    <w:rsid w:val="00D23EBA"/>
    <w:rsid w:val="00D26E4C"/>
    <w:rsid w:val="00D26FCC"/>
    <w:rsid w:val="00D3030F"/>
    <w:rsid w:val="00D3166C"/>
    <w:rsid w:val="00D3761F"/>
    <w:rsid w:val="00D377C2"/>
    <w:rsid w:val="00D37848"/>
    <w:rsid w:val="00D402DB"/>
    <w:rsid w:val="00D41344"/>
    <w:rsid w:val="00D438E7"/>
    <w:rsid w:val="00D43A74"/>
    <w:rsid w:val="00D44A25"/>
    <w:rsid w:val="00D456DB"/>
    <w:rsid w:val="00D45E46"/>
    <w:rsid w:val="00D46B7D"/>
    <w:rsid w:val="00D5016D"/>
    <w:rsid w:val="00D50321"/>
    <w:rsid w:val="00D5087E"/>
    <w:rsid w:val="00D50C63"/>
    <w:rsid w:val="00D526FE"/>
    <w:rsid w:val="00D52843"/>
    <w:rsid w:val="00D53098"/>
    <w:rsid w:val="00D5313C"/>
    <w:rsid w:val="00D545E9"/>
    <w:rsid w:val="00D55056"/>
    <w:rsid w:val="00D5625C"/>
    <w:rsid w:val="00D56CF4"/>
    <w:rsid w:val="00D57D48"/>
    <w:rsid w:val="00D604B8"/>
    <w:rsid w:val="00D6104D"/>
    <w:rsid w:val="00D613CD"/>
    <w:rsid w:val="00D6306C"/>
    <w:rsid w:val="00D631C1"/>
    <w:rsid w:val="00D6394F"/>
    <w:rsid w:val="00D64FF0"/>
    <w:rsid w:val="00D66B82"/>
    <w:rsid w:val="00D66E7F"/>
    <w:rsid w:val="00D67DAB"/>
    <w:rsid w:val="00D70084"/>
    <w:rsid w:val="00D72DB1"/>
    <w:rsid w:val="00D732D4"/>
    <w:rsid w:val="00D741FB"/>
    <w:rsid w:val="00D75777"/>
    <w:rsid w:val="00D75EC4"/>
    <w:rsid w:val="00D76A93"/>
    <w:rsid w:val="00D77332"/>
    <w:rsid w:val="00D77346"/>
    <w:rsid w:val="00D81739"/>
    <w:rsid w:val="00D877A4"/>
    <w:rsid w:val="00D91314"/>
    <w:rsid w:val="00D916B4"/>
    <w:rsid w:val="00D91F18"/>
    <w:rsid w:val="00D91F2A"/>
    <w:rsid w:val="00D92A72"/>
    <w:rsid w:val="00D92EAF"/>
    <w:rsid w:val="00D95738"/>
    <w:rsid w:val="00D95D43"/>
    <w:rsid w:val="00D960F1"/>
    <w:rsid w:val="00D96432"/>
    <w:rsid w:val="00D97308"/>
    <w:rsid w:val="00D97B81"/>
    <w:rsid w:val="00DA4257"/>
    <w:rsid w:val="00DA47CA"/>
    <w:rsid w:val="00DA4978"/>
    <w:rsid w:val="00DA5E51"/>
    <w:rsid w:val="00DB034C"/>
    <w:rsid w:val="00DB20B2"/>
    <w:rsid w:val="00DB2175"/>
    <w:rsid w:val="00DB2D60"/>
    <w:rsid w:val="00DB30FE"/>
    <w:rsid w:val="00DB3610"/>
    <w:rsid w:val="00DB6EDB"/>
    <w:rsid w:val="00DB734E"/>
    <w:rsid w:val="00DB7560"/>
    <w:rsid w:val="00DB787C"/>
    <w:rsid w:val="00DB78E2"/>
    <w:rsid w:val="00DC1833"/>
    <w:rsid w:val="00DC75C8"/>
    <w:rsid w:val="00DC7738"/>
    <w:rsid w:val="00DC7B27"/>
    <w:rsid w:val="00DC7B44"/>
    <w:rsid w:val="00DD04F6"/>
    <w:rsid w:val="00DD0F28"/>
    <w:rsid w:val="00DD0FB4"/>
    <w:rsid w:val="00DD1060"/>
    <w:rsid w:val="00DD3C35"/>
    <w:rsid w:val="00DD7791"/>
    <w:rsid w:val="00DD77D6"/>
    <w:rsid w:val="00DD7D31"/>
    <w:rsid w:val="00DE000F"/>
    <w:rsid w:val="00DE20E8"/>
    <w:rsid w:val="00DE2A18"/>
    <w:rsid w:val="00DE59A9"/>
    <w:rsid w:val="00DE5DB7"/>
    <w:rsid w:val="00DE63BF"/>
    <w:rsid w:val="00DE7EFB"/>
    <w:rsid w:val="00DF1016"/>
    <w:rsid w:val="00DF654A"/>
    <w:rsid w:val="00DF6742"/>
    <w:rsid w:val="00E01C42"/>
    <w:rsid w:val="00E044C1"/>
    <w:rsid w:val="00E0476C"/>
    <w:rsid w:val="00E04FE5"/>
    <w:rsid w:val="00E06BA8"/>
    <w:rsid w:val="00E07405"/>
    <w:rsid w:val="00E07B73"/>
    <w:rsid w:val="00E107B9"/>
    <w:rsid w:val="00E12EDC"/>
    <w:rsid w:val="00E1397D"/>
    <w:rsid w:val="00E14380"/>
    <w:rsid w:val="00E15D0F"/>
    <w:rsid w:val="00E16265"/>
    <w:rsid w:val="00E162CC"/>
    <w:rsid w:val="00E215AC"/>
    <w:rsid w:val="00E229C1"/>
    <w:rsid w:val="00E24FF8"/>
    <w:rsid w:val="00E25B60"/>
    <w:rsid w:val="00E25BC8"/>
    <w:rsid w:val="00E264D3"/>
    <w:rsid w:val="00E26712"/>
    <w:rsid w:val="00E26BB2"/>
    <w:rsid w:val="00E27544"/>
    <w:rsid w:val="00E27792"/>
    <w:rsid w:val="00E30263"/>
    <w:rsid w:val="00E312A6"/>
    <w:rsid w:val="00E32E1E"/>
    <w:rsid w:val="00E34B0A"/>
    <w:rsid w:val="00E3561B"/>
    <w:rsid w:val="00E35762"/>
    <w:rsid w:val="00E36154"/>
    <w:rsid w:val="00E362D9"/>
    <w:rsid w:val="00E362F7"/>
    <w:rsid w:val="00E3793D"/>
    <w:rsid w:val="00E40385"/>
    <w:rsid w:val="00E40EC8"/>
    <w:rsid w:val="00E4166D"/>
    <w:rsid w:val="00E4184C"/>
    <w:rsid w:val="00E42349"/>
    <w:rsid w:val="00E44BDB"/>
    <w:rsid w:val="00E44F3D"/>
    <w:rsid w:val="00E45959"/>
    <w:rsid w:val="00E45EBD"/>
    <w:rsid w:val="00E462F7"/>
    <w:rsid w:val="00E4633F"/>
    <w:rsid w:val="00E463DD"/>
    <w:rsid w:val="00E529CD"/>
    <w:rsid w:val="00E52F0B"/>
    <w:rsid w:val="00E533AF"/>
    <w:rsid w:val="00E533EE"/>
    <w:rsid w:val="00E54D6F"/>
    <w:rsid w:val="00E55890"/>
    <w:rsid w:val="00E563EE"/>
    <w:rsid w:val="00E56745"/>
    <w:rsid w:val="00E56D1A"/>
    <w:rsid w:val="00E576E6"/>
    <w:rsid w:val="00E60A1C"/>
    <w:rsid w:val="00E642AB"/>
    <w:rsid w:val="00E642D5"/>
    <w:rsid w:val="00E6686B"/>
    <w:rsid w:val="00E66C13"/>
    <w:rsid w:val="00E71D3A"/>
    <w:rsid w:val="00E71F8E"/>
    <w:rsid w:val="00E728D9"/>
    <w:rsid w:val="00E72EB5"/>
    <w:rsid w:val="00E73ED7"/>
    <w:rsid w:val="00E749C8"/>
    <w:rsid w:val="00E75BCD"/>
    <w:rsid w:val="00E802CA"/>
    <w:rsid w:val="00E808E3"/>
    <w:rsid w:val="00E83026"/>
    <w:rsid w:val="00E8513C"/>
    <w:rsid w:val="00E85417"/>
    <w:rsid w:val="00E858FA"/>
    <w:rsid w:val="00E86891"/>
    <w:rsid w:val="00E8734E"/>
    <w:rsid w:val="00E875EE"/>
    <w:rsid w:val="00E8762F"/>
    <w:rsid w:val="00E87A92"/>
    <w:rsid w:val="00E90C04"/>
    <w:rsid w:val="00E91E12"/>
    <w:rsid w:val="00E92B08"/>
    <w:rsid w:val="00E95139"/>
    <w:rsid w:val="00E9676A"/>
    <w:rsid w:val="00E97581"/>
    <w:rsid w:val="00EA078B"/>
    <w:rsid w:val="00EA1454"/>
    <w:rsid w:val="00EA259B"/>
    <w:rsid w:val="00EA3259"/>
    <w:rsid w:val="00EA382E"/>
    <w:rsid w:val="00EA3985"/>
    <w:rsid w:val="00EA3B02"/>
    <w:rsid w:val="00EA57EA"/>
    <w:rsid w:val="00EA590A"/>
    <w:rsid w:val="00EA63B7"/>
    <w:rsid w:val="00EA7B5D"/>
    <w:rsid w:val="00EB0519"/>
    <w:rsid w:val="00EB09E8"/>
    <w:rsid w:val="00EB0EB3"/>
    <w:rsid w:val="00EB18F3"/>
    <w:rsid w:val="00EB1E68"/>
    <w:rsid w:val="00EB1ED4"/>
    <w:rsid w:val="00EB2411"/>
    <w:rsid w:val="00EB2F8B"/>
    <w:rsid w:val="00EB523D"/>
    <w:rsid w:val="00EB525F"/>
    <w:rsid w:val="00EB5478"/>
    <w:rsid w:val="00EB664C"/>
    <w:rsid w:val="00EB68FF"/>
    <w:rsid w:val="00EB7044"/>
    <w:rsid w:val="00EB7805"/>
    <w:rsid w:val="00EB7D81"/>
    <w:rsid w:val="00EC0084"/>
    <w:rsid w:val="00EC0367"/>
    <w:rsid w:val="00EC1EAD"/>
    <w:rsid w:val="00EC3D87"/>
    <w:rsid w:val="00EC698F"/>
    <w:rsid w:val="00EC6D82"/>
    <w:rsid w:val="00EC78FD"/>
    <w:rsid w:val="00EC79A2"/>
    <w:rsid w:val="00EC7F1B"/>
    <w:rsid w:val="00ED0004"/>
    <w:rsid w:val="00ED19FA"/>
    <w:rsid w:val="00ED1C38"/>
    <w:rsid w:val="00ED1CAA"/>
    <w:rsid w:val="00ED2ABE"/>
    <w:rsid w:val="00ED30F1"/>
    <w:rsid w:val="00ED4FFA"/>
    <w:rsid w:val="00ED56C6"/>
    <w:rsid w:val="00ED686D"/>
    <w:rsid w:val="00EE0B88"/>
    <w:rsid w:val="00EE1142"/>
    <w:rsid w:val="00EE1661"/>
    <w:rsid w:val="00EE1921"/>
    <w:rsid w:val="00EE27C1"/>
    <w:rsid w:val="00EE4606"/>
    <w:rsid w:val="00EE4D92"/>
    <w:rsid w:val="00EE4F7B"/>
    <w:rsid w:val="00EE6B11"/>
    <w:rsid w:val="00EE7C22"/>
    <w:rsid w:val="00EF2340"/>
    <w:rsid w:val="00EF2789"/>
    <w:rsid w:val="00EF37FE"/>
    <w:rsid w:val="00EF5C6D"/>
    <w:rsid w:val="00EF6775"/>
    <w:rsid w:val="00EF7177"/>
    <w:rsid w:val="00F007FC"/>
    <w:rsid w:val="00F00AEC"/>
    <w:rsid w:val="00F01D01"/>
    <w:rsid w:val="00F022C4"/>
    <w:rsid w:val="00F02380"/>
    <w:rsid w:val="00F03189"/>
    <w:rsid w:val="00F04A9C"/>
    <w:rsid w:val="00F05033"/>
    <w:rsid w:val="00F06A97"/>
    <w:rsid w:val="00F101D3"/>
    <w:rsid w:val="00F10965"/>
    <w:rsid w:val="00F11CC7"/>
    <w:rsid w:val="00F124B0"/>
    <w:rsid w:val="00F13446"/>
    <w:rsid w:val="00F13DAB"/>
    <w:rsid w:val="00F1415C"/>
    <w:rsid w:val="00F14A81"/>
    <w:rsid w:val="00F14F5C"/>
    <w:rsid w:val="00F151D2"/>
    <w:rsid w:val="00F170E2"/>
    <w:rsid w:val="00F20748"/>
    <w:rsid w:val="00F213BB"/>
    <w:rsid w:val="00F221C4"/>
    <w:rsid w:val="00F2260B"/>
    <w:rsid w:val="00F22B09"/>
    <w:rsid w:val="00F23050"/>
    <w:rsid w:val="00F23385"/>
    <w:rsid w:val="00F233C5"/>
    <w:rsid w:val="00F2559B"/>
    <w:rsid w:val="00F26335"/>
    <w:rsid w:val="00F3092D"/>
    <w:rsid w:val="00F30E0B"/>
    <w:rsid w:val="00F313AF"/>
    <w:rsid w:val="00F31A09"/>
    <w:rsid w:val="00F33D4A"/>
    <w:rsid w:val="00F340FE"/>
    <w:rsid w:val="00F3450B"/>
    <w:rsid w:val="00F34E6E"/>
    <w:rsid w:val="00F3523F"/>
    <w:rsid w:val="00F36052"/>
    <w:rsid w:val="00F3690A"/>
    <w:rsid w:val="00F37CA5"/>
    <w:rsid w:val="00F402A3"/>
    <w:rsid w:val="00F408A6"/>
    <w:rsid w:val="00F40BA1"/>
    <w:rsid w:val="00F40ED9"/>
    <w:rsid w:val="00F4224E"/>
    <w:rsid w:val="00F4265B"/>
    <w:rsid w:val="00F428B2"/>
    <w:rsid w:val="00F443C0"/>
    <w:rsid w:val="00F45099"/>
    <w:rsid w:val="00F463DF"/>
    <w:rsid w:val="00F46AED"/>
    <w:rsid w:val="00F46CEB"/>
    <w:rsid w:val="00F50F1E"/>
    <w:rsid w:val="00F51053"/>
    <w:rsid w:val="00F5290C"/>
    <w:rsid w:val="00F56B38"/>
    <w:rsid w:val="00F56FF9"/>
    <w:rsid w:val="00F5759C"/>
    <w:rsid w:val="00F60FEE"/>
    <w:rsid w:val="00F61635"/>
    <w:rsid w:val="00F63871"/>
    <w:rsid w:val="00F63AAA"/>
    <w:rsid w:val="00F6425D"/>
    <w:rsid w:val="00F64B31"/>
    <w:rsid w:val="00F64DCD"/>
    <w:rsid w:val="00F6518B"/>
    <w:rsid w:val="00F65E4C"/>
    <w:rsid w:val="00F6713A"/>
    <w:rsid w:val="00F70253"/>
    <w:rsid w:val="00F70FE3"/>
    <w:rsid w:val="00F721B5"/>
    <w:rsid w:val="00F7231C"/>
    <w:rsid w:val="00F72D6F"/>
    <w:rsid w:val="00F72E9C"/>
    <w:rsid w:val="00F74867"/>
    <w:rsid w:val="00F7551D"/>
    <w:rsid w:val="00F77B44"/>
    <w:rsid w:val="00F77EC3"/>
    <w:rsid w:val="00F80742"/>
    <w:rsid w:val="00F81495"/>
    <w:rsid w:val="00F818CC"/>
    <w:rsid w:val="00F825FA"/>
    <w:rsid w:val="00F83808"/>
    <w:rsid w:val="00F83B4F"/>
    <w:rsid w:val="00F83E53"/>
    <w:rsid w:val="00F8437D"/>
    <w:rsid w:val="00F847C0"/>
    <w:rsid w:val="00F85318"/>
    <w:rsid w:val="00F859CE"/>
    <w:rsid w:val="00F85F2A"/>
    <w:rsid w:val="00F869E3"/>
    <w:rsid w:val="00F903B1"/>
    <w:rsid w:val="00F9056B"/>
    <w:rsid w:val="00F91940"/>
    <w:rsid w:val="00F932F1"/>
    <w:rsid w:val="00F933D3"/>
    <w:rsid w:val="00F940F9"/>
    <w:rsid w:val="00F94614"/>
    <w:rsid w:val="00F94B5C"/>
    <w:rsid w:val="00F9601B"/>
    <w:rsid w:val="00F976F5"/>
    <w:rsid w:val="00FA004A"/>
    <w:rsid w:val="00FA0CEE"/>
    <w:rsid w:val="00FA2658"/>
    <w:rsid w:val="00FA3218"/>
    <w:rsid w:val="00FA3607"/>
    <w:rsid w:val="00FA389D"/>
    <w:rsid w:val="00FA4527"/>
    <w:rsid w:val="00FA4AEE"/>
    <w:rsid w:val="00FA4B9B"/>
    <w:rsid w:val="00FA5B8C"/>
    <w:rsid w:val="00FA61ED"/>
    <w:rsid w:val="00FA6759"/>
    <w:rsid w:val="00FB0C71"/>
    <w:rsid w:val="00FB214E"/>
    <w:rsid w:val="00FB2D05"/>
    <w:rsid w:val="00FB4C3D"/>
    <w:rsid w:val="00FB4D26"/>
    <w:rsid w:val="00FB555F"/>
    <w:rsid w:val="00FB57B3"/>
    <w:rsid w:val="00FB589F"/>
    <w:rsid w:val="00FB5E8F"/>
    <w:rsid w:val="00FB751D"/>
    <w:rsid w:val="00FC37AA"/>
    <w:rsid w:val="00FC419A"/>
    <w:rsid w:val="00FC4500"/>
    <w:rsid w:val="00FC51A0"/>
    <w:rsid w:val="00FC5BDE"/>
    <w:rsid w:val="00FC6A97"/>
    <w:rsid w:val="00FC7CD1"/>
    <w:rsid w:val="00FD0D4B"/>
    <w:rsid w:val="00FD243D"/>
    <w:rsid w:val="00FD3523"/>
    <w:rsid w:val="00FD3846"/>
    <w:rsid w:val="00FD4666"/>
    <w:rsid w:val="00FD47D8"/>
    <w:rsid w:val="00FD47E6"/>
    <w:rsid w:val="00FD53F1"/>
    <w:rsid w:val="00FD57A1"/>
    <w:rsid w:val="00FD701A"/>
    <w:rsid w:val="00FD7ED3"/>
    <w:rsid w:val="00FE006C"/>
    <w:rsid w:val="00FE02F8"/>
    <w:rsid w:val="00FE0660"/>
    <w:rsid w:val="00FE0FBE"/>
    <w:rsid w:val="00FE1A65"/>
    <w:rsid w:val="00FE1D95"/>
    <w:rsid w:val="00FE5DDB"/>
    <w:rsid w:val="00FE5E77"/>
    <w:rsid w:val="00FE77CC"/>
    <w:rsid w:val="00FE7BA8"/>
    <w:rsid w:val="00FF056A"/>
    <w:rsid w:val="00FF0641"/>
    <w:rsid w:val="00FF0650"/>
    <w:rsid w:val="00FF078A"/>
    <w:rsid w:val="00FF111B"/>
    <w:rsid w:val="00FF56D5"/>
    <w:rsid w:val="00FF5FF3"/>
    <w:rsid w:val="00FF706E"/>
    <w:rsid w:val="00FF7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F313AF"/>
    <w:pPr>
      <w:tabs>
        <w:tab w:val="center" w:pos="4536"/>
        <w:tab w:val="right" w:pos="9072"/>
      </w:tabs>
    </w:pPr>
  </w:style>
  <w:style w:type="character" w:customStyle="1" w:styleId="FooterChar">
    <w:name w:val="Footer Char"/>
    <w:basedOn w:val="DefaultParagraphFont"/>
    <w:link w:val="Footer"/>
    <w:uiPriority w:val="99"/>
    <w:rsid w:val="00F313AF"/>
  </w:style>
  <w:style w:type="character" w:styleId="CommentReference">
    <w:name w:val="annotation reference"/>
    <w:basedOn w:val="DefaultParagraphFont"/>
    <w:uiPriority w:val="99"/>
    <w:semiHidden/>
    <w:unhideWhenUsed/>
    <w:rsid w:val="00F313AF"/>
    <w:rPr>
      <w:sz w:val="16"/>
      <w:szCs w:val="16"/>
    </w:rPr>
  </w:style>
  <w:style w:type="paragraph" w:styleId="CommentText">
    <w:name w:val="annotation text"/>
    <w:basedOn w:val="Normal"/>
    <w:link w:val="CommentTextChar"/>
    <w:uiPriority w:val="99"/>
    <w:semiHidden/>
    <w:unhideWhenUsed/>
    <w:rsid w:val="00F313AF"/>
    <w:rPr>
      <w:sz w:val="20"/>
      <w:szCs w:val="20"/>
    </w:rPr>
  </w:style>
  <w:style w:type="character" w:customStyle="1" w:styleId="CommentTextChar">
    <w:name w:val="Comment Text Char"/>
    <w:basedOn w:val="DefaultParagraphFont"/>
    <w:link w:val="CommentText"/>
    <w:uiPriority w:val="99"/>
    <w:semiHidden/>
    <w:rsid w:val="00F313AF"/>
    <w:rPr>
      <w:sz w:val="20"/>
      <w:szCs w:val="20"/>
    </w:rPr>
  </w:style>
  <w:style w:type="paragraph" w:styleId="CommentSubject">
    <w:name w:val="annotation subject"/>
    <w:basedOn w:val="CommentText"/>
    <w:next w:val="CommentText"/>
    <w:link w:val="CommentSubjectChar"/>
    <w:uiPriority w:val="99"/>
    <w:semiHidden/>
    <w:unhideWhenUsed/>
    <w:rsid w:val="00F313AF"/>
    <w:rPr>
      <w:b/>
      <w:bCs/>
    </w:rPr>
  </w:style>
  <w:style w:type="character" w:customStyle="1" w:styleId="CommentSubjectChar">
    <w:name w:val="Comment Subject Char"/>
    <w:basedOn w:val="CommentTextChar"/>
    <w:link w:val="CommentSubject"/>
    <w:uiPriority w:val="99"/>
    <w:semiHidden/>
    <w:rsid w:val="00F313AF"/>
    <w:rPr>
      <w:b/>
      <w:bCs/>
      <w:sz w:val="20"/>
      <w:szCs w:val="20"/>
    </w:rPr>
  </w:style>
  <w:style w:type="paragraph" w:styleId="BalloonText">
    <w:name w:val="Balloon Text"/>
    <w:basedOn w:val="Normal"/>
    <w:link w:val="BalloonTextChar"/>
    <w:uiPriority w:val="99"/>
    <w:semiHidden/>
    <w:unhideWhenUsed/>
    <w:rsid w:val="00F313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3AF"/>
    <w:rPr>
      <w:rFonts w:ascii="Segoe UI" w:hAnsi="Segoe UI" w:cs="Segoe UI"/>
      <w:sz w:val="18"/>
      <w:szCs w:val="18"/>
    </w:rPr>
  </w:style>
  <w:style w:type="paragraph" w:styleId="ListParagraph">
    <w:name w:val="List Paragraph"/>
    <w:basedOn w:val="Normal"/>
    <w:uiPriority w:val="34"/>
    <w:qFormat/>
    <w:rsid w:val="00432AF8"/>
    <w:pPr>
      <w:ind w:left="720"/>
      <w:contextualSpacing/>
    </w:pPr>
  </w:style>
  <w:style w:type="character" w:styleId="Strong">
    <w:name w:val="Strong"/>
    <w:basedOn w:val="DefaultParagraphFont"/>
    <w:uiPriority w:val="22"/>
    <w:qFormat/>
    <w:rsid w:val="00C5349C"/>
    <w:rPr>
      <w:b/>
      <w:bCs/>
    </w:rPr>
  </w:style>
  <w:style w:type="table" w:styleId="TableGrid">
    <w:name w:val="Table Grid"/>
    <w:basedOn w:val="TableNormal"/>
    <w:uiPriority w:val="39"/>
    <w:rsid w:val="00191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D635D"/>
    <w:rPr>
      <w:color w:val="808080"/>
    </w:rPr>
  </w:style>
  <w:style w:type="table" w:styleId="GridTable7Colorful">
    <w:name w:val="Grid Table 7 Colorful"/>
    <w:basedOn w:val="TableNormal"/>
    <w:uiPriority w:val="52"/>
    <w:rsid w:val="0034703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Caption">
    <w:name w:val="caption"/>
    <w:basedOn w:val="Normal"/>
    <w:next w:val="Normal"/>
    <w:uiPriority w:val="35"/>
    <w:unhideWhenUsed/>
    <w:qFormat/>
    <w:rsid w:val="004E67E9"/>
    <w:pPr>
      <w:spacing w:after="200"/>
    </w:pPr>
    <w:rPr>
      <w:i/>
      <w:iCs/>
      <w:color w:val="1F497D" w:themeColor="text2"/>
      <w:sz w:val="18"/>
      <w:szCs w:val="18"/>
    </w:rPr>
  </w:style>
  <w:style w:type="table" w:styleId="GridTable5Dark">
    <w:name w:val="Grid Table 5 Dark"/>
    <w:basedOn w:val="TableNormal"/>
    <w:uiPriority w:val="50"/>
    <w:rsid w:val="004026A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FollowedHyperlink">
    <w:name w:val="FollowedHyperlink"/>
    <w:basedOn w:val="DefaultParagraphFont"/>
    <w:uiPriority w:val="99"/>
    <w:semiHidden/>
    <w:unhideWhenUsed/>
    <w:rsid w:val="006F3937"/>
    <w:rPr>
      <w:color w:val="800080" w:themeColor="followedHyperlink"/>
      <w:u w:val="single"/>
    </w:rPr>
  </w:style>
  <w:style w:type="paragraph" w:customStyle="1" w:styleId="p">
    <w:name w:val="p"/>
    <w:basedOn w:val="Normal"/>
    <w:rsid w:val="00E8513C"/>
    <w:pPr>
      <w:widowControl/>
      <w:spacing w:before="100" w:beforeAutospacing="1" w:after="100" w:afterAutospacing="1"/>
      <w:jc w:val="left"/>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E8513C"/>
    <w:rPr>
      <w:i/>
      <w:iCs/>
    </w:rPr>
  </w:style>
  <w:style w:type="paragraph" w:styleId="Header">
    <w:name w:val="header"/>
    <w:basedOn w:val="Normal"/>
    <w:link w:val="HeaderChar"/>
    <w:uiPriority w:val="99"/>
    <w:unhideWhenUsed/>
    <w:rsid w:val="00B45D9D"/>
    <w:pPr>
      <w:tabs>
        <w:tab w:val="center" w:pos="4536"/>
        <w:tab w:val="right" w:pos="9072"/>
      </w:tabs>
    </w:pPr>
  </w:style>
  <w:style w:type="character" w:customStyle="1" w:styleId="HeaderChar">
    <w:name w:val="Header Char"/>
    <w:basedOn w:val="DefaultParagraphFont"/>
    <w:link w:val="Header"/>
    <w:uiPriority w:val="99"/>
    <w:rsid w:val="00B45D9D"/>
  </w:style>
  <w:style w:type="character" w:styleId="LineNumber">
    <w:name w:val="line number"/>
    <w:basedOn w:val="DefaultParagraphFont"/>
    <w:uiPriority w:val="99"/>
    <w:semiHidden/>
    <w:unhideWhenUsed/>
    <w:rsid w:val="00DB2D60"/>
  </w:style>
  <w:style w:type="paragraph" w:styleId="Revision">
    <w:name w:val="Revision"/>
    <w:hidden/>
    <w:uiPriority w:val="99"/>
    <w:semiHidden/>
    <w:rsid w:val="0053776F"/>
    <w:pPr>
      <w:widowControl/>
      <w:jc w:val="left"/>
    </w:pPr>
  </w:style>
  <w:style w:type="character" w:customStyle="1" w:styleId="UnresolvedMention2">
    <w:name w:val="Unresolved Mention2"/>
    <w:basedOn w:val="DefaultParagraphFont"/>
    <w:uiPriority w:val="99"/>
    <w:semiHidden/>
    <w:unhideWhenUsed/>
    <w:rsid w:val="00A77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8465">
      <w:bodyDiv w:val="1"/>
      <w:marLeft w:val="0"/>
      <w:marRight w:val="0"/>
      <w:marTop w:val="0"/>
      <w:marBottom w:val="0"/>
      <w:divBdr>
        <w:top w:val="none" w:sz="0" w:space="0" w:color="auto"/>
        <w:left w:val="none" w:sz="0" w:space="0" w:color="auto"/>
        <w:bottom w:val="none" w:sz="0" w:space="0" w:color="auto"/>
        <w:right w:val="none" w:sz="0" w:space="0" w:color="auto"/>
      </w:divBdr>
    </w:div>
    <w:div w:id="351494260">
      <w:bodyDiv w:val="1"/>
      <w:marLeft w:val="0"/>
      <w:marRight w:val="0"/>
      <w:marTop w:val="0"/>
      <w:marBottom w:val="0"/>
      <w:divBdr>
        <w:top w:val="none" w:sz="0" w:space="0" w:color="auto"/>
        <w:left w:val="none" w:sz="0" w:space="0" w:color="auto"/>
        <w:bottom w:val="none" w:sz="0" w:space="0" w:color="auto"/>
        <w:right w:val="none" w:sz="0" w:space="0" w:color="auto"/>
      </w:divBdr>
    </w:div>
    <w:div w:id="678197800">
      <w:bodyDiv w:val="1"/>
      <w:marLeft w:val="0"/>
      <w:marRight w:val="0"/>
      <w:marTop w:val="0"/>
      <w:marBottom w:val="0"/>
      <w:divBdr>
        <w:top w:val="none" w:sz="0" w:space="0" w:color="auto"/>
        <w:left w:val="none" w:sz="0" w:space="0" w:color="auto"/>
        <w:bottom w:val="none" w:sz="0" w:space="0" w:color="auto"/>
        <w:right w:val="none" w:sz="0" w:space="0" w:color="auto"/>
      </w:divBdr>
    </w:div>
    <w:div w:id="1686246702">
      <w:bodyDiv w:val="1"/>
      <w:marLeft w:val="0"/>
      <w:marRight w:val="0"/>
      <w:marTop w:val="0"/>
      <w:marBottom w:val="0"/>
      <w:divBdr>
        <w:top w:val="none" w:sz="0" w:space="0" w:color="auto"/>
        <w:left w:val="none" w:sz="0" w:space="0" w:color="auto"/>
        <w:bottom w:val="none" w:sz="0" w:space="0" w:color="auto"/>
        <w:right w:val="none" w:sz="0" w:space="0" w:color="auto"/>
      </w:divBdr>
    </w:div>
    <w:div w:id="1777872760">
      <w:bodyDiv w:val="1"/>
      <w:marLeft w:val="0"/>
      <w:marRight w:val="0"/>
      <w:marTop w:val="0"/>
      <w:marBottom w:val="0"/>
      <w:divBdr>
        <w:top w:val="none" w:sz="0" w:space="0" w:color="auto"/>
        <w:left w:val="none" w:sz="0" w:space="0" w:color="auto"/>
        <w:bottom w:val="none" w:sz="0" w:space="0" w:color="auto"/>
        <w:right w:val="none" w:sz="0" w:space="0" w:color="auto"/>
      </w:divBdr>
    </w:div>
    <w:div w:id="1956865033">
      <w:bodyDiv w:val="1"/>
      <w:marLeft w:val="0"/>
      <w:marRight w:val="0"/>
      <w:marTop w:val="0"/>
      <w:marBottom w:val="0"/>
      <w:divBdr>
        <w:top w:val="none" w:sz="0" w:space="0" w:color="auto"/>
        <w:left w:val="none" w:sz="0" w:space="0" w:color="auto"/>
        <w:bottom w:val="none" w:sz="0" w:space="0" w:color="auto"/>
        <w:right w:val="none" w:sz="0" w:space="0" w:color="auto"/>
      </w:divBdr>
    </w:div>
    <w:div w:id="2084060266">
      <w:bodyDiv w:val="1"/>
      <w:marLeft w:val="0"/>
      <w:marRight w:val="0"/>
      <w:marTop w:val="0"/>
      <w:marBottom w:val="0"/>
      <w:divBdr>
        <w:top w:val="none" w:sz="0" w:space="0" w:color="auto"/>
        <w:left w:val="none" w:sz="0" w:space="0" w:color="auto"/>
        <w:bottom w:val="none" w:sz="0" w:space="0" w:color="auto"/>
        <w:right w:val="none" w:sz="0" w:space="0" w:color="auto"/>
      </w:divBdr>
    </w:div>
    <w:div w:id="2120176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m.Donche@UGent.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28067</Words>
  <Characters>159988</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2021-04-29T19:00:00Z</dcterms:created>
  <dcterms:modified xsi:type="dcterms:W3CDTF">2021-04-29T19:00:00Z</dcterms:modified>
</cp:coreProperties>
</file>