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89E38" w14:textId="77777777" w:rsidR="00D96D96" w:rsidRDefault="006D283E" w:rsidP="006D283E">
      <w:pPr>
        <w:jc w:val="center"/>
      </w:pPr>
      <w:r>
        <w:t>Response to Reviewers</w:t>
      </w:r>
    </w:p>
    <w:p w14:paraId="53624E43" w14:textId="020DDF72" w:rsidR="00883DB3" w:rsidRPr="00A43556" w:rsidRDefault="006D283E" w:rsidP="00883DB3">
      <w:r w:rsidRPr="00A43556">
        <w:rPr>
          <w:rStyle w:val="Strong"/>
          <w:u w:val="single"/>
        </w:rPr>
        <w:t>Editorial comments:</w:t>
      </w:r>
      <w:r w:rsidR="004744F9" w:rsidRPr="00A43556">
        <w:t xml:space="preserve"> </w:t>
      </w:r>
    </w:p>
    <w:tbl>
      <w:tblPr>
        <w:tblStyle w:val="TableGrid"/>
        <w:tblW w:w="0" w:type="auto"/>
        <w:tblLook w:val="04A0" w:firstRow="1" w:lastRow="0" w:firstColumn="1" w:lastColumn="0" w:noHBand="0" w:noVBand="1"/>
      </w:tblPr>
      <w:tblGrid>
        <w:gridCol w:w="4675"/>
        <w:gridCol w:w="4675"/>
      </w:tblGrid>
      <w:tr w:rsidR="00883DB3" w14:paraId="0B5E983B" w14:textId="77777777" w:rsidTr="00883DB3">
        <w:tc>
          <w:tcPr>
            <w:tcW w:w="4675" w:type="dxa"/>
          </w:tcPr>
          <w:p w14:paraId="74217CD4" w14:textId="44B9C35B" w:rsidR="00883DB3" w:rsidRDefault="00883DB3" w:rsidP="00883DB3">
            <w:r>
              <w:t>Editorial Comment</w:t>
            </w:r>
          </w:p>
        </w:tc>
        <w:tc>
          <w:tcPr>
            <w:tcW w:w="4675" w:type="dxa"/>
          </w:tcPr>
          <w:p w14:paraId="43BED783" w14:textId="1F31FB1E" w:rsidR="00883DB3" w:rsidRDefault="00883DB3" w:rsidP="00883DB3">
            <w:r>
              <w:t>Response</w:t>
            </w:r>
          </w:p>
        </w:tc>
      </w:tr>
      <w:tr w:rsidR="00883DB3" w14:paraId="685DA09D" w14:textId="77777777" w:rsidTr="00883DB3">
        <w:tc>
          <w:tcPr>
            <w:tcW w:w="4675" w:type="dxa"/>
          </w:tcPr>
          <w:p w14:paraId="4702C887" w14:textId="2E63889D" w:rsidR="00883DB3" w:rsidRDefault="00883DB3" w:rsidP="00883DB3">
            <w:r>
              <w:t>Please take this opportunity to thoroughly proofread the manuscript to ensure that there are no spelling or grammar issues. Please define all abbreviations at first use.</w:t>
            </w:r>
          </w:p>
        </w:tc>
        <w:tc>
          <w:tcPr>
            <w:tcW w:w="4675" w:type="dxa"/>
          </w:tcPr>
          <w:p w14:paraId="50D3CC9E" w14:textId="645045E0" w:rsidR="00883DB3" w:rsidRDefault="00883DB3" w:rsidP="00883DB3">
            <w:r>
              <w:t xml:space="preserve">We thank the editor for another opportunity to review our manuscript. </w:t>
            </w:r>
            <w:r w:rsidR="00BE6790">
              <w:t>We have made small grammatical changes and corrected our use of abbreviations to ensure that they are defined in first use.</w:t>
            </w:r>
          </w:p>
        </w:tc>
      </w:tr>
      <w:tr w:rsidR="00883DB3" w14:paraId="7B611CD7" w14:textId="77777777" w:rsidTr="00883DB3">
        <w:tc>
          <w:tcPr>
            <w:tcW w:w="4675" w:type="dxa"/>
          </w:tcPr>
          <w:p w14:paraId="6AE7915B" w14:textId="6021083A" w:rsidR="00883DB3" w:rsidRDefault="00BE6790" w:rsidP="00883DB3">
            <w:r>
              <w:t>Please revise the following lines to avoid overlap with previously published work: 258-259</w:t>
            </w:r>
          </w:p>
        </w:tc>
        <w:tc>
          <w:tcPr>
            <w:tcW w:w="4675" w:type="dxa"/>
          </w:tcPr>
          <w:p w14:paraId="5A4330F7" w14:textId="724ECA90" w:rsidR="00BE6790" w:rsidRDefault="00BE6790" w:rsidP="00883DB3">
            <w:r>
              <w:t>We thank the editor for noticing this overlap and have changed Figure 3 caption to read as follows:</w:t>
            </w:r>
          </w:p>
          <w:p w14:paraId="53BDD9BE" w14:textId="77777777" w:rsidR="00BE6790" w:rsidRDefault="00BE6790" w:rsidP="00883DB3"/>
          <w:p w14:paraId="50C04698" w14:textId="3C144835" w:rsidR="00883DB3" w:rsidRDefault="00BE6790" w:rsidP="00883DB3">
            <w:r>
              <w:t>“</w:t>
            </w:r>
            <w:r w:rsidRPr="00BE6790">
              <w:t>Dialysis removes organic solvent, which solidifies polymersome membranes and decreases polymersome diameter, as demonstrated for PEG-PLA based polymersomes. Figure adapted from pre-print</w:t>
            </w:r>
            <w:r w:rsidRPr="00BE6790">
              <w:fldChar w:fldCharType="begin" w:fldLock="1"/>
            </w:r>
            <w:r w:rsidRPr="00BE6790">
              <w:instrText>ADDIN CSL_CITATION {"citationItems":[{"id":"ITEM-1","itemData":{"author":[{"dropping-particle":"","family":"L'Amoreaux","given":"Nicholas","non-dropping-particle":"","parse-names":false,"suffix":""},{"dropping-particle":"","family":"Ali","given":"Aon","non-dropping-particle":"","parse-names":false,"suffix":""},{"dropping-particle":"","family":"Iqbal","given":"Shoaib","non-dropping-particle":"","parse-names":false,"suffix":""},{"dropping-particle":"","family":"Larsen","given":"Jessica","non-dropping-particle":"","parse-names":false,"suffix":""}],"container-title":"BioRxiv 796201 [Preprint]","id":"ITEM-1","issued":{"date-parts":[["0"]]},"title":"Persistent Prolate Polymersomes for Enhanced Co-Delivery of Hydrophilic and Hydrophobic Drugs","type":"article-journal"},"uris":["http://www.mendeley.com/documents/?uuid=31fbcabf-e620-4459-8b28-f6c10d132e29"]}],"mendeley":{"formattedCitation":"&lt;sup&gt;21&lt;/sup&gt;","plainTextFormattedCitation":"21","previouslyFormattedCitation":"&lt;sup&gt;21&lt;/sup&gt;"},"properties":{"noteIndex":0},"schema":"https://github.com/citation-style-language/schema/raw/master/csl-citation.json"}</w:instrText>
            </w:r>
            <w:r w:rsidRPr="00BE6790">
              <w:fldChar w:fldCharType="separate"/>
            </w:r>
            <w:r w:rsidRPr="00BE6790">
              <w:rPr>
                <w:vertAlign w:val="superscript"/>
              </w:rPr>
              <w:t>21</w:t>
            </w:r>
            <w:r w:rsidRPr="00BE6790">
              <w:fldChar w:fldCharType="end"/>
            </w:r>
            <w:r w:rsidRPr="00BE6790">
              <w:t>.</w:t>
            </w:r>
            <w:r>
              <w:t>”</w:t>
            </w:r>
          </w:p>
        </w:tc>
      </w:tr>
      <w:tr w:rsidR="00883DB3" w14:paraId="0F12A3F2" w14:textId="77777777" w:rsidTr="00883DB3">
        <w:tc>
          <w:tcPr>
            <w:tcW w:w="4675" w:type="dxa"/>
          </w:tcPr>
          <w:p w14:paraId="579C6C53" w14:textId="3B0912B4" w:rsidR="00883DB3" w:rsidRDefault="00BE6790" w:rsidP="00883DB3">
            <w:r>
              <w:t>Please rephrase the Summary to be between 10-50 words. It now contains 51 words.</w:t>
            </w:r>
          </w:p>
        </w:tc>
        <w:tc>
          <w:tcPr>
            <w:tcW w:w="4675" w:type="dxa"/>
          </w:tcPr>
          <w:p w14:paraId="2A950B62" w14:textId="77777777" w:rsidR="00883DB3" w:rsidRDefault="00BE6790" w:rsidP="00BE6790">
            <w:r>
              <w:t>We have cut one word from our summary, which now reads as follows:</w:t>
            </w:r>
          </w:p>
          <w:p w14:paraId="32692479" w14:textId="77777777" w:rsidR="00BE6790" w:rsidRDefault="00BE6790" w:rsidP="00BE6790"/>
          <w:p w14:paraId="26F48EAF" w14:textId="76423333" w:rsidR="00BE6790" w:rsidRPr="00BE6790" w:rsidRDefault="00BE6790" w:rsidP="00BE6790">
            <w:pPr>
              <w:rPr>
                <w:rFonts w:cstheme="minorHAnsi"/>
              </w:rPr>
            </w:pPr>
            <w:r>
              <w:t>“</w:t>
            </w:r>
            <w:r>
              <w:rPr>
                <w:rFonts w:cstheme="minorHAnsi"/>
              </w:rPr>
              <w:t>Polymersomes are self-assembled polymeric vesicles that form in spherical shapes to minimize Gibb’s Free Energy. In the case of drug delivery, more elongated structures are beneficial. This protocol establishes methods to create more rod-like polymersomes, with elongated aspect ratios, using salt to induce osmotic pressure and reduce internal vesicle volumes.”</w:t>
            </w:r>
          </w:p>
        </w:tc>
      </w:tr>
      <w:tr w:rsidR="00883DB3" w14:paraId="5F807BDE" w14:textId="77777777" w:rsidTr="00883DB3">
        <w:tc>
          <w:tcPr>
            <w:tcW w:w="4675" w:type="dxa"/>
          </w:tcPr>
          <w:p w14:paraId="5928429F" w14:textId="7849447C" w:rsidR="00883DB3" w:rsidRDefault="00421F7C" w:rsidP="00883DB3">
            <w:r>
              <w:t>Please rephrase the Abstract be between 150 and 300 words. It now contains 149 words.</w:t>
            </w:r>
          </w:p>
        </w:tc>
        <w:tc>
          <w:tcPr>
            <w:tcW w:w="4675" w:type="dxa"/>
          </w:tcPr>
          <w:p w14:paraId="327ADBE6" w14:textId="77777777" w:rsidR="00883DB3" w:rsidRDefault="004744F9" w:rsidP="00BE6790">
            <w:r>
              <w:t>We have added 6 words to our abstract to ensure that it is the appropriate length. It now reads as follows:</w:t>
            </w:r>
          </w:p>
          <w:p w14:paraId="3CE1AF94" w14:textId="77777777" w:rsidR="004744F9" w:rsidRDefault="004744F9" w:rsidP="00BE6790"/>
          <w:p w14:paraId="7890A114" w14:textId="56D5EBD4" w:rsidR="004744F9" w:rsidRPr="004744F9" w:rsidRDefault="004744F9" w:rsidP="00BE6790">
            <w:pPr>
              <w:rPr>
                <w:rFonts w:cstheme="minorHAnsi"/>
              </w:rPr>
            </w:pPr>
            <w:r>
              <w:t>“</w:t>
            </w:r>
            <w:r>
              <w:rPr>
                <w:rFonts w:cstheme="minorHAnsi"/>
              </w:rPr>
              <w:t xml:space="preserve">Polymersomes are membrane-bound, bilayer vesicles created from amphiphilic block copolymers that can encapsulate both hydrophobic and hydrophilic payloads for drug delivery applications. Despite their promise, polymersomes are limited in application due to their spherical shape, which is not readily taken up by cells, as demonstrated by solid nanoparticle scientists. This article describes a salt-based method for increasing the aspect ratios of spherical polyethylene glycol (PEG)- based polymersomes. This method can elongate polymersomes and ultimately control their final shape by adding sodium chloride in post-formation dialysis. Salt concentration can be </w:t>
            </w:r>
            <w:r>
              <w:rPr>
                <w:rFonts w:cstheme="minorHAnsi"/>
              </w:rPr>
              <w:lastRenderedPageBreak/>
              <w:t xml:space="preserve">varied, as described in this method, based on the hydrophobicity of the block copolymer being used as the base for the polymersome and the target shape. Elongated nanoparticles have the potential to better target endothelium in larger diameter blood vessels, like veins, where margination is observed. This protocol can expand therapeutic nanoparticle applications by utilizing elongation techniques in tandem with the dual-loading, long-circulating benefits of polymersomes.” </w:t>
            </w:r>
          </w:p>
        </w:tc>
      </w:tr>
      <w:tr w:rsidR="00883DB3" w14:paraId="1FB95237" w14:textId="77777777" w:rsidTr="00883DB3">
        <w:tc>
          <w:tcPr>
            <w:tcW w:w="4675" w:type="dxa"/>
          </w:tcPr>
          <w:p w14:paraId="5F1CDA60" w14:textId="28F8FEF4" w:rsidR="00883DB3" w:rsidRDefault="004744F9" w:rsidP="00883DB3">
            <w:proofErr w:type="spellStart"/>
            <w:r>
              <w:lastRenderedPageBreak/>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(text, figure legends, figures) and use generic terms instead. All commercial products should be sufficiently referenced in the Table of Materials and Reagents.</w:t>
            </w:r>
            <w:r>
              <w:br/>
              <w:t xml:space="preserve">For example: a Malvern ZetaSizer Nano; ZetaSizer software; HT7830 Transmission Electron Microscope; Float-a-Lyzer dialysis; Hitachi h7600 Transmission Electron Microscope </w:t>
            </w:r>
            <w:proofErr w:type="spellStart"/>
            <w:r>
              <w:t>etc</w:t>
            </w:r>
            <w:proofErr w:type="spellEnd"/>
          </w:p>
        </w:tc>
        <w:tc>
          <w:tcPr>
            <w:tcW w:w="4675" w:type="dxa"/>
          </w:tcPr>
          <w:p w14:paraId="70F26FD6" w14:textId="2F40CD32" w:rsidR="00883DB3" w:rsidRDefault="004744F9" w:rsidP="00BE6790">
            <w:r>
              <w:t>We thank the editor for noticing this oversight. We have gone through and removed company names throughout the document.</w:t>
            </w:r>
          </w:p>
        </w:tc>
      </w:tr>
      <w:tr w:rsidR="00883DB3" w14:paraId="0CDF5B87" w14:textId="77777777" w:rsidTr="00883DB3">
        <w:tc>
          <w:tcPr>
            <w:tcW w:w="4675" w:type="dxa"/>
          </w:tcPr>
          <w:p w14:paraId="2393C9FF" w14:textId="33D3F79D" w:rsidR="00883DB3" w:rsidRDefault="004744F9" w:rsidP="00883DB3">
            <w:r>
              <w:t xml:space="preserve">Please revise the text, especially in the protocol, </w:t>
            </w:r>
            <w:proofErr w:type="gramStart"/>
            <w:r>
              <w:t>and also</w:t>
            </w:r>
            <w:proofErr w:type="gramEnd"/>
            <w:r>
              <w:t xml:space="preserve"> in Table 1 to avoid the use of any personal pronouns (e.g., "we", "you", "our" etc.).</w:t>
            </w:r>
          </w:p>
        </w:tc>
        <w:tc>
          <w:tcPr>
            <w:tcW w:w="4675" w:type="dxa"/>
          </w:tcPr>
          <w:p w14:paraId="77B8F015" w14:textId="376B4C81" w:rsidR="00883DB3" w:rsidRDefault="004744F9" w:rsidP="00BE6790">
            <w:r>
              <w:t xml:space="preserve">We thank the reviewer for the opportunity to correct this wording. We aren’t seeing personal pronouns in table </w:t>
            </w:r>
            <w:r w:rsidR="006C6F5C">
              <w:t>1 but</w:t>
            </w:r>
            <w:r>
              <w:t xml:space="preserve"> have made corrections throughout the document (Lines 77, 129, 186, 237, 255, 293).</w:t>
            </w:r>
          </w:p>
        </w:tc>
      </w:tr>
      <w:tr w:rsidR="00883DB3" w14:paraId="35158A36" w14:textId="77777777" w:rsidTr="00883DB3">
        <w:tc>
          <w:tcPr>
            <w:tcW w:w="4675" w:type="dxa"/>
          </w:tcPr>
          <w:p w14:paraId="6FC7144B" w14:textId="7A4AEE0F" w:rsidR="00883DB3" w:rsidRDefault="006C6F5C" w:rsidP="00883DB3">
            <w: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tc>
        <w:tc>
          <w:tcPr>
            <w:tcW w:w="4675" w:type="dxa"/>
          </w:tcPr>
          <w:p w14:paraId="3F429E1B" w14:textId="7690590E" w:rsidR="006C6F5C" w:rsidRPr="006C6F5C" w:rsidRDefault="006C6F5C" w:rsidP="006C6F5C">
            <w:pPr>
              <w:rPr>
                <w:rFonts w:cstheme="minorHAnsi"/>
              </w:rPr>
            </w:pPr>
            <w:r>
              <w:t>Step 1.6.1 now reads “</w:t>
            </w:r>
            <w:r w:rsidRPr="006C6F5C">
              <w:rPr>
                <w:rFonts w:cstheme="minorHAnsi"/>
              </w:rPr>
              <w:t>Optimize TEM and SEM protocols based on the equipment available. Representative results were obtained 120 kV in the TEM5.0 kV in the SEM.</w:t>
            </w:r>
            <w:r>
              <w:rPr>
                <w:rFonts w:cstheme="minorHAnsi"/>
              </w:rPr>
              <w:t>”</w:t>
            </w:r>
          </w:p>
          <w:p w14:paraId="280CCB7A" w14:textId="5B266904" w:rsidR="00883DB3" w:rsidRDefault="00883DB3" w:rsidP="00BE6790"/>
          <w:p w14:paraId="6B97ADCB" w14:textId="7B74BF31" w:rsidR="006C6F5C" w:rsidRDefault="006C6F5C" w:rsidP="00BE6790">
            <w:pPr>
              <w:rPr>
                <w:rFonts w:cstheme="minorHAnsi"/>
              </w:rPr>
            </w:pPr>
            <w:r>
              <w:t>Step 1.6.2 now reads “</w:t>
            </w:r>
            <w:r>
              <w:rPr>
                <w:rFonts w:cstheme="minorHAnsi"/>
              </w:rPr>
              <w:t>If polymersomes are not visible using EM, apply uranyl acetate as a background stain.”</w:t>
            </w:r>
          </w:p>
          <w:p w14:paraId="48D7C4E5" w14:textId="18A9560B" w:rsidR="006C6F5C" w:rsidRDefault="006C6F5C" w:rsidP="00BE6790"/>
          <w:p w14:paraId="33569719" w14:textId="592EE9E4" w:rsidR="006C6F5C" w:rsidRDefault="006C6F5C" w:rsidP="00BE6790">
            <w:pPr>
              <w:rPr>
                <w:rFonts w:cstheme="minorHAnsi"/>
              </w:rPr>
            </w:pPr>
            <w:r>
              <w:t>Step 4.1.1 now reads “</w:t>
            </w:r>
            <w:r>
              <w:rPr>
                <w:rFonts w:cstheme="minorHAnsi"/>
              </w:rPr>
              <w:t>If polymersomes are not visible using EM, apply uranyl acetate as a background stain.”</w:t>
            </w:r>
          </w:p>
          <w:p w14:paraId="77CFB49B" w14:textId="765083E9" w:rsidR="006C6F5C" w:rsidRDefault="006C6F5C" w:rsidP="00BE6790">
            <w:pPr>
              <w:rPr>
                <w:rFonts w:cstheme="minorHAnsi"/>
              </w:rPr>
            </w:pPr>
          </w:p>
          <w:p w14:paraId="09E1672D" w14:textId="77777777" w:rsidR="006C6F5C" w:rsidRDefault="006C6F5C" w:rsidP="00BE6790"/>
          <w:p w14:paraId="6D729266" w14:textId="77777777" w:rsidR="006C6F5C" w:rsidRDefault="006C6F5C" w:rsidP="006C6F5C"/>
          <w:p w14:paraId="1A117B61" w14:textId="77777777" w:rsidR="006C6F5C" w:rsidRDefault="006C6F5C" w:rsidP="006C6F5C"/>
          <w:p w14:paraId="436281AC" w14:textId="5F675414" w:rsidR="006C6F5C" w:rsidRPr="006C6F5C" w:rsidRDefault="006C6F5C" w:rsidP="006C6F5C">
            <w:pPr>
              <w:jc w:val="center"/>
            </w:pPr>
          </w:p>
        </w:tc>
      </w:tr>
      <w:tr w:rsidR="006C6F5C" w14:paraId="12554870" w14:textId="77777777" w:rsidTr="00883DB3">
        <w:tc>
          <w:tcPr>
            <w:tcW w:w="4675" w:type="dxa"/>
          </w:tcPr>
          <w:p w14:paraId="01A9ECAF" w14:textId="6CC8A6DC" w:rsidR="006C6F5C" w:rsidRDefault="006C6F5C" w:rsidP="00883DB3">
            <w:r>
              <w:lastRenderedPageBreak/>
              <w:t>Please simplify the Protocol so that individual steps contain only 2-3 actions per step and a maximum of 4 sentences per step. Please retain the imperative tense that you have applied.</w:t>
            </w:r>
          </w:p>
        </w:tc>
        <w:tc>
          <w:tcPr>
            <w:tcW w:w="4675" w:type="dxa"/>
          </w:tcPr>
          <w:p w14:paraId="01F70A3A" w14:textId="77777777" w:rsidR="006C6F5C" w:rsidRDefault="006C6F5C" w:rsidP="006C6F5C">
            <w:r>
              <w:t>Step 1.2 has been adjusted to read as follows:</w:t>
            </w:r>
          </w:p>
          <w:p w14:paraId="00630E32" w14:textId="77777777" w:rsidR="006C6F5C" w:rsidRDefault="006C6F5C" w:rsidP="006C6F5C"/>
          <w:p w14:paraId="21A98075" w14:textId="77777777" w:rsidR="006C6F5C" w:rsidRDefault="006C6F5C" w:rsidP="006C6F5C">
            <w:pPr>
              <w:pStyle w:val="ListParagraph"/>
              <w:numPr>
                <w:ilvl w:val="1"/>
                <w:numId w:val="1"/>
              </w:numPr>
              <w:rPr>
                <w:rFonts w:asciiTheme="minorHAnsi" w:hAnsiTheme="minorHAnsi" w:cstheme="minorHAnsi"/>
                <w:color w:val="auto"/>
              </w:rPr>
            </w:pPr>
            <w:r>
              <w:t>“</w:t>
            </w:r>
            <w:r w:rsidRPr="00663862">
              <w:rPr>
                <w:rFonts w:asciiTheme="minorHAnsi" w:hAnsiTheme="minorHAnsi" w:cstheme="minorHAnsi"/>
                <w:color w:val="auto"/>
              </w:rPr>
              <w:t xml:space="preserve">While the polyester is dissolving in organic solvent, set up the solvent injection apparatus according to </w:t>
            </w:r>
            <w:r w:rsidRPr="00663862">
              <w:rPr>
                <w:rFonts w:asciiTheme="minorHAnsi" w:hAnsiTheme="minorHAnsi" w:cstheme="minorHAnsi"/>
                <w:b/>
                <w:bCs/>
                <w:color w:val="auto"/>
              </w:rPr>
              <w:t>Figure 1</w:t>
            </w:r>
            <w:r w:rsidRPr="00663862">
              <w:rPr>
                <w:rFonts w:asciiTheme="minorHAnsi" w:hAnsiTheme="minorHAnsi" w:cstheme="minorHAnsi"/>
                <w:color w:val="auto"/>
              </w:rPr>
              <w:t xml:space="preserve">. </w:t>
            </w:r>
          </w:p>
          <w:p w14:paraId="7EB1DD18" w14:textId="77777777" w:rsidR="006C6F5C" w:rsidRDefault="006C6F5C" w:rsidP="006C6F5C">
            <w:pPr>
              <w:pStyle w:val="ListParagraph"/>
              <w:numPr>
                <w:ilvl w:val="2"/>
                <w:numId w:val="1"/>
              </w:numPr>
              <w:rPr>
                <w:rFonts w:asciiTheme="minorHAnsi" w:hAnsiTheme="minorHAnsi" w:cstheme="minorHAnsi"/>
                <w:color w:val="auto"/>
              </w:rPr>
            </w:pPr>
            <w:r w:rsidRPr="00663862">
              <w:rPr>
                <w:rFonts w:asciiTheme="minorHAnsi" w:hAnsiTheme="minorHAnsi" w:cstheme="minorHAnsi"/>
                <w:color w:val="auto"/>
              </w:rPr>
              <w:t xml:space="preserve">Place a stir plate </w:t>
            </w:r>
            <w:r>
              <w:rPr>
                <w:rFonts w:asciiTheme="minorHAnsi" w:hAnsiTheme="minorHAnsi" w:cstheme="minorHAnsi"/>
                <w:color w:val="auto"/>
              </w:rPr>
              <w:t xml:space="preserve">directly below the vertical syringe pump. Place a 5mL glass vial with 1 mL of Type II deionized water and a miniature stir bar on the stir plate. </w:t>
            </w:r>
          </w:p>
          <w:p w14:paraId="087BE4B2" w14:textId="77777777" w:rsidR="006C6F5C" w:rsidRDefault="006C6F5C" w:rsidP="006C6F5C">
            <w:pPr>
              <w:pStyle w:val="ListParagraph"/>
              <w:numPr>
                <w:ilvl w:val="2"/>
                <w:numId w:val="1"/>
              </w:numPr>
              <w:rPr>
                <w:rFonts w:asciiTheme="minorHAnsi" w:hAnsiTheme="minorHAnsi" w:cstheme="minorHAnsi"/>
                <w:color w:val="auto"/>
              </w:rPr>
            </w:pPr>
            <w:r>
              <w:rPr>
                <w:rFonts w:asciiTheme="minorHAnsi" w:hAnsiTheme="minorHAnsi" w:cstheme="minorHAnsi"/>
                <w:color w:val="auto"/>
              </w:rPr>
              <w:t xml:space="preserve">Adjust the syringe pump's height to allow for the tip of the needle to be fully inside of Type II deionized water. </w:t>
            </w:r>
          </w:p>
          <w:p w14:paraId="140147A0" w14:textId="77777777" w:rsidR="006C6F5C" w:rsidRDefault="006C6F5C" w:rsidP="006C6F5C">
            <w:pPr>
              <w:pStyle w:val="ListParagraph"/>
              <w:numPr>
                <w:ilvl w:val="2"/>
                <w:numId w:val="1"/>
              </w:numPr>
              <w:rPr>
                <w:rFonts w:asciiTheme="minorHAnsi" w:hAnsiTheme="minorHAnsi" w:cstheme="minorHAnsi"/>
                <w:color w:val="auto"/>
              </w:rPr>
            </w:pPr>
            <w:r>
              <w:rPr>
                <w:rFonts w:asciiTheme="minorHAnsi" w:hAnsiTheme="minorHAnsi" w:cstheme="minorHAnsi"/>
                <w:color w:val="auto"/>
              </w:rPr>
              <w:t xml:space="preserve">Set infusion rate of the syringe pump to 5 </w:t>
            </w:r>
            <w:proofErr w:type="spellStart"/>
            <w:r>
              <w:rPr>
                <w:rFonts w:asciiTheme="minorHAnsi" w:hAnsiTheme="minorHAnsi" w:cstheme="minorHAnsi"/>
                <w:color w:val="auto"/>
              </w:rPr>
              <w:t>μL</w:t>
            </w:r>
            <w:proofErr w:type="spellEnd"/>
            <w:r>
              <w:rPr>
                <w:rFonts w:asciiTheme="minorHAnsi" w:hAnsiTheme="minorHAnsi" w:cstheme="minorHAnsi"/>
                <w:color w:val="auto"/>
              </w:rPr>
              <w:t>/min.</w:t>
            </w:r>
          </w:p>
          <w:p w14:paraId="7171D5EF" w14:textId="77777777" w:rsidR="006C6F5C" w:rsidRDefault="006C6F5C" w:rsidP="006C6F5C">
            <w:pPr>
              <w:pStyle w:val="ListParagraph"/>
              <w:rPr>
                <w:rFonts w:asciiTheme="minorHAnsi" w:hAnsiTheme="minorHAnsi" w:cstheme="minorHAnsi"/>
                <w:color w:val="auto"/>
              </w:rPr>
            </w:pPr>
            <w:r>
              <w:rPr>
                <w:rFonts w:asciiTheme="minorHAnsi" w:hAnsiTheme="minorHAnsi" w:cstheme="minorHAnsi"/>
                <w:color w:val="auto"/>
              </w:rPr>
              <w:t xml:space="preserve">Note: If a small volume syringe pump is used, the adapter with the syringe can be set up on a ring stand. If a large volume syringe pump is used, the pump can be </w:t>
            </w:r>
            <w:r w:rsidRPr="00663862">
              <w:rPr>
                <w:rFonts w:asciiTheme="minorHAnsi" w:hAnsiTheme="minorHAnsi" w:cstheme="minorHAnsi"/>
                <w:color w:val="auto"/>
              </w:rPr>
              <w:t>placed vertically on a lab jack to a</w:t>
            </w:r>
            <w:r>
              <w:rPr>
                <w:rFonts w:asciiTheme="minorHAnsi" w:hAnsiTheme="minorHAnsi" w:cstheme="minorHAnsi"/>
                <w:color w:val="auto"/>
              </w:rPr>
              <w:t>djust the heigh</w:t>
            </w:r>
            <w:r w:rsidRPr="00663862">
              <w:rPr>
                <w:rFonts w:asciiTheme="minorHAnsi" w:hAnsiTheme="minorHAnsi" w:cstheme="minorHAnsi"/>
                <w:color w:val="auto"/>
              </w:rPr>
              <w:t>t.</w:t>
            </w:r>
          </w:p>
          <w:p w14:paraId="3F99C916" w14:textId="3F13BC9D" w:rsidR="006C6F5C" w:rsidRDefault="006C6F5C" w:rsidP="006C6F5C">
            <w:pPr>
              <w:rPr>
                <w:rFonts w:cstheme="minorHAnsi"/>
              </w:rPr>
            </w:pPr>
          </w:p>
          <w:p w14:paraId="7337B33E" w14:textId="179AD871" w:rsidR="006C6F5C" w:rsidRDefault="006C6F5C" w:rsidP="006C6F5C">
            <w:pPr>
              <w:rPr>
                <w:rFonts w:cstheme="minorHAnsi"/>
              </w:rPr>
            </w:pPr>
            <w:r>
              <w:rPr>
                <w:rFonts w:cstheme="minorHAnsi"/>
              </w:rPr>
              <w:t>Step 1.3 has been adjusted to read as follows:</w:t>
            </w:r>
          </w:p>
          <w:p w14:paraId="2A6E2312" w14:textId="5E442FF8" w:rsidR="006C6F5C" w:rsidRDefault="006C6F5C" w:rsidP="006C6F5C">
            <w:pPr>
              <w:rPr>
                <w:rFonts w:cstheme="minorHAnsi"/>
              </w:rPr>
            </w:pPr>
          </w:p>
          <w:p w14:paraId="584DEF5A" w14:textId="77777777" w:rsidR="006C6F5C" w:rsidRDefault="006C6F5C" w:rsidP="006C6F5C">
            <w:pPr>
              <w:pStyle w:val="ListParagraph"/>
              <w:numPr>
                <w:ilvl w:val="1"/>
                <w:numId w:val="2"/>
              </w:numPr>
              <w:rPr>
                <w:rFonts w:asciiTheme="minorHAnsi" w:hAnsiTheme="minorHAnsi" w:cstheme="minorHAnsi"/>
                <w:color w:val="auto"/>
              </w:rPr>
            </w:pPr>
            <w:r w:rsidRPr="00663862">
              <w:rPr>
                <w:rFonts w:asciiTheme="minorHAnsi" w:hAnsiTheme="minorHAnsi" w:cstheme="minorHAnsi"/>
                <w:color w:val="auto"/>
              </w:rPr>
              <w:t xml:space="preserve">Perform solvent injection method by drawing the organic solvent and polyester solution into a </w:t>
            </w:r>
            <w:r>
              <w:rPr>
                <w:rFonts w:asciiTheme="minorHAnsi" w:hAnsiTheme="minorHAnsi" w:cstheme="minorHAnsi"/>
                <w:color w:val="auto"/>
              </w:rPr>
              <w:t>27</w:t>
            </w:r>
            <w:r w:rsidRPr="00663862">
              <w:rPr>
                <w:rFonts w:asciiTheme="minorHAnsi" w:hAnsiTheme="minorHAnsi" w:cstheme="minorHAnsi"/>
                <w:color w:val="auto"/>
              </w:rPr>
              <w:t>-gauge needle</w:t>
            </w:r>
            <w:r>
              <w:rPr>
                <w:rFonts w:asciiTheme="minorHAnsi" w:hAnsiTheme="minorHAnsi" w:cstheme="minorHAnsi"/>
                <w:color w:val="auto"/>
              </w:rPr>
              <w:t xml:space="preserve"> with a ½” needle length</w:t>
            </w:r>
            <w:r w:rsidRPr="00663862">
              <w:rPr>
                <w:rFonts w:asciiTheme="minorHAnsi" w:hAnsiTheme="minorHAnsi" w:cstheme="minorHAnsi"/>
                <w:color w:val="auto"/>
              </w:rPr>
              <w:t>.</w:t>
            </w:r>
            <w:r>
              <w:rPr>
                <w:rFonts w:asciiTheme="minorHAnsi" w:hAnsiTheme="minorHAnsi" w:cstheme="minorHAnsi"/>
                <w:color w:val="auto"/>
              </w:rPr>
              <w:t xml:space="preserve"> </w:t>
            </w:r>
          </w:p>
          <w:p w14:paraId="40E43021" w14:textId="77777777" w:rsidR="006C6F5C" w:rsidRDefault="006C6F5C" w:rsidP="006C6F5C">
            <w:pPr>
              <w:pStyle w:val="ListParagraph"/>
              <w:numPr>
                <w:ilvl w:val="2"/>
                <w:numId w:val="2"/>
              </w:numPr>
              <w:rPr>
                <w:rFonts w:asciiTheme="minorHAnsi" w:hAnsiTheme="minorHAnsi" w:cstheme="minorHAnsi"/>
                <w:color w:val="auto"/>
              </w:rPr>
            </w:pPr>
            <w:r>
              <w:rPr>
                <w:rFonts w:asciiTheme="minorHAnsi" w:hAnsiTheme="minorHAnsi" w:cstheme="minorHAnsi"/>
                <w:color w:val="auto"/>
              </w:rPr>
              <w:t xml:space="preserve">Place the needle into the syringe pump and make sure it is entirely secure. Adjust the pusher block to touch the syringe plunger's end. </w:t>
            </w:r>
          </w:p>
          <w:p w14:paraId="78F13367" w14:textId="07C2894B" w:rsidR="006C6F5C" w:rsidRPr="006C6F5C" w:rsidRDefault="006C6F5C" w:rsidP="006C6F5C">
            <w:pPr>
              <w:pStyle w:val="ListParagraph"/>
              <w:numPr>
                <w:ilvl w:val="2"/>
                <w:numId w:val="2"/>
              </w:numPr>
              <w:rPr>
                <w:rFonts w:asciiTheme="minorHAnsi" w:hAnsiTheme="minorHAnsi" w:cstheme="minorHAnsi"/>
                <w:color w:val="auto"/>
              </w:rPr>
            </w:pPr>
            <w:r>
              <w:rPr>
                <w:rFonts w:asciiTheme="minorHAnsi" w:hAnsiTheme="minorHAnsi" w:cstheme="minorHAnsi"/>
                <w:color w:val="auto"/>
              </w:rPr>
              <w:t>Start the stir plate so that the water is spinning at 100 RPM, and then start the syringe pump.</w:t>
            </w:r>
          </w:p>
          <w:p w14:paraId="6EE99711" w14:textId="37291F12" w:rsidR="006C6F5C" w:rsidRPr="006C6F5C" w:rsidRDefault="006C6F5C" w:rsidP="006C6F5C">
            <w:pPr>
              <w:rPr>
                <w:rFonts w:cstheme="minorHAnsi"/>
              </w:rPr>
            </w:pPr>
          </w:p>
        </w:tc>
      </w:tr>
      <w:tr w:rsidR="006C6F5C" w14:paraId="5F30D100" w14:textId="77777777" w:rsidTr="00883DB3">
        <w:tc>
          <w:tcPr>
            <w:tcW w:w="4675" w:type="dxa"/>
          </w:tcPr>
          <w:p w14:paraId="73B84775" w14:textId="007A657F" w:rsidR="006C6F5C" w:rsidRDefault="006C6F5C" w:rsidP="00883DB3">
            <w:r>
              <w:t xml:space="preserve">1.2: Type II deionized water; if this is a grade that is specifically produced by a water purification system available in your lab, can you replace it with a more generic description of what is acceptable for use in the protocol and would be </w:t>
            </w:r>
            <w:r>
              <w:lastRenderedPageBreak/>
              <w:t>available in most laboratories (along with necessary words of caution and notes).</w:t>
            </w:r>
          </w:p>
        </w:tc>
        <w:tc>
          <w:tcPr>
            <w:tcW w:w="4675" w:type="dxa"/>
          </w:tcPr>
          <w:p w14:paraId="7F9A580C" w14:textId="36B449FE" w:rsidR="006C6F5C" w:rsidRDefault="006C6F5C" w:rsidP="006C6F5C">
            <w:r>
              <w:lastRenderedPageBreak/>
              <w:t xml:space="preserve">Type II deionized water is produced by a water purification system in my lab. However, these are standard pieces of equipment in a wet lab working on products intended to be placed into the body. Type II water has a specific resistivity and conductivity that should be understood. </w:t>
            </w:r>
            <w:r>
              <w:lastRenderedPageBreak/>
              <w:t>Because Type II deionized water is a generic wet lab term, I’m not quite sure how to best proceed with regards to making this more generic.</w:t>
            </w:r>
          </w:p>
        </w:tc>
      </w:tr>
      <w:tr w:rsidR="006C6F5C" w14:paraId="600FF0F8" w14:textId="77777777" w:rsidTr="00883DB3">
        <w:tc>
          <w:tcPr>
            <w:tcW w:w="4675" w:type="dxa"/>
          </w:tcPr>
          <w:p w14:paraId="5F55A125" w14:textId="608CBF61" w:rsidR="006C6F5C" w:rsidRDefault="00932166" w:rsidP="00883DB3">
            <w:r>
              <w:lastRenderedPageBreak/>
              <w:t>1.3: Do you stir at any specific speed?</w:t>
            </w:r>
          </w:p>
        </w:tc>
        <w:tc>
          <w:tcPr>
            <w:tcW w:w="4675" w:type="dxa"/>
          </w:tcPr>
          <w:p w14:paraId="7313F7A2" w14:textId="25B0013E" w:rsidR="006C6F5C" w:rsidRDefault="00932166" w:rsidP="006C6F5C">
            <w:r>
              <w:t>We thank the editor for noticing this oversight. We have changed the protocol to identify the speed used of 100 RPM.</w:t>
            </w:r>
          </w:p>
        </w:tc>
      </w:tr>
      <w:tr w:rsidR="00932166" w14:paraId="26465E27" w14:textId="77777777" w:rsidTr="00883DB3">
        <w:tc>
          <w:tcPr>
            <w:tcW w:w="4675" w:type="dxa"/>
          </w:tcPr>
          <w:p w14:paraId="16E0B461" w14:textId="7496D78E" w:rsidR="00932166" w:rsidRDefault="00932166" w:rsidP="00883DB3">
            <w:r>
              <w:t>1.6.1.: If you do not provide all relevant details for TEM and SEM here, please add references where they have been described.</w:t>
            </w:r>
          </w:p>
        </w:tc>
        <w:tc>
          <w:tcPr>
            <w:tcW w:w="4675" w:type="dxa"/>
          </w:tcPr>
          <w:p w14:paraId="055C9CD8" w14:textId="77777777" w:rsidR="00932166" w:rsidRDefault="00B32727" w:rsidP="006C6F5C">
            <w:r>
              <w:t>We thank the editor for giving us the opportunity to correct this. We have added the following note:</w:t>
            </w:r>
          </w:p>
          <w:p w14:paraId="25D5E91F" w14:textId="77777777" w:rsidR="00B32727" w:rsidRDefault="00B32727" w:rsidP="006C6F5C"/>
          <w:p w14:paraId="4574A0B7" w14:textId="59D2C2BA" w:rsidR="00B32727" w:rsidRPr="00B32727" w:rsidRDefault="00B32727" w:rsidP="00B32727">
            <w:pPr>
              <w:pStyle w:val="ListParagraph"/>
              <w:ind w:left="1080"/>
              <w:rPr>
                <w:rFonts w:asciiTheme="minorHAnsi" w:hAnsiTheme="minorHAnsi" w:cstheme="minorHAnsi"/>
              </w:rPr>
            </w:pPr>
            <w:r>
              <w:rPr>
                <w:rFonts w:asciiTheme="minorHAnsi" w:hAnsiTheme="minorHAnsi" w:cstheme="minorHAnsi"/>
              </w:rPr>
              <w:t xml:space="preserve">Note: Details on TEM and SEM imaging for shape modulation of polyester-based polymersomes can be found at source 14. Information on electron microscopy techniques for soft nanoparticles is detailed in </w:t>
            </w:r>
            <w:r w:rsidRPr="005B3B8B">
              <w:rPr>
                <w:rFonts w:asciiTheme="minorHAnsi" w:hAnsiTheme="minorHAnsi" w:cstheme="minorHAnsi"/>
                <w:i/>
                <w:iCs/>
              </w:rPr>
              <w:t>Characterization of Nanoparticles Intended for Drug Delivery</w:t>
            </w:r>
            <w:r>
              <w:rPr>
                <w:rFonts w:asciiTheme="minorHAnsi" w:hAnsiTheme="minorHAnsi" w:cstheme="minorHAnsi"/>
                <w:i/>
                <w:iCs/>
              </w:rPr>
              <w:fldChar w:fldCharType="begin" w:fldLock="1"/>
            </w:r>
            <w:r>
              <w:rPr>
                <w:rFonts w:asciiTheme="minorHAnsi" w:hAnsiTheme="minorHAnsi" w:cstheme="minorHAnsi"/>
                <w:i/>
                <w:iCs/>
              </w:rPr>
              <w:instrText>ADDIN CSL_CITATION {"citationItems":[{"id":"ITEM-1","itemData":{"DOI":"10.1007/978-1-4939-7352-1","ISBN":"978-1-4939-7350-7","ISSN":"10643745","PMID":"29039106","abstract":"An important step in the early development of a nanomedicine formulation is the evaluation of stability and drug release in biological matrices. Additionally, the measurement of encapsulated and unencapsulated nanomedicine drug fractions is important for the determination of bioequivalence (pharmacokinetic equivalence) of generic nanomedicines. Unfortunately, current methods to measure drug release in plasma are limited, and all have fundamental disadvantages including non-equilibrium conditions and process-induced artifacts. The primary limitation of current ultrafiltration (and equilibrium dialysis) methods for separation of encapsulated and unencapsulated drug and determination of drug release is the difficulty in accurately differentiating protein bound and encapsulated drug. Since the protein binding of most drugs is high (&gt;70%) and can change in a concentration- and time-dependent manner, it is very difficult to accurately account for the fraction of non-filterable drug that is encapsulated within the nanomedicine and how much is bound to protein. The method in this chapter is an improvement of existing ultrafiltration protocols for nanomedicine fractionation in plasma, in which a stable isotope tracer is spiked into a nanomedicine containing plasma sample in order to precisely measure the degree of plasma protein binding. Determination of protein binding then allows for accurate calculation of encapsulated and unencapsulated nanomedicine drug fractions, as well as free and protein-bound fractions.","author":[{"dropping-particle":"","family":"Skoczen","given":"Sarah L.","non-dropping-particle":"","parse-names":false,"suffix":""},{"dropping-particle":"","family":"Stern","given":"Stephan T.","non-dropping-particle":"","parse-names":false,"suffix":""}],"collection-title":"Methods in Molecular Biology","container-title":"Methods in Molecular Biology","edition":"2","editor":[{"dropping-particle":"","family":"McNeil","given":"Scott E.","non-dropping-particle":"","parse-names":false,"suffix":""}],"id":"ITEM-1","issued":{"date-parts":[["2018"]]},"number-of-pages":"223-239","publisher":"Springer New York","publisher-place":"New York, NY","title":"Characterization of Nanoparticles Intended for Drug Delivery","type":"book","volume":"1682"},"uris":["http://www.mendeley.com/documents/?uuid=d0aa707b-ab07-4e27-a93c-0a13943b0f27"]}],"mendeley":{"formattedCitation":"&lt;sup&gt;16&lt;/sup&gt;","plainTextFormattedCitation":"16"},"properties":{"noteIndex":0},"schema":"https://github.com/citation-style-language/schema/raw/master/csl-citation.json"}</w:instrText>
            </w:r>
            <w:r>
              <w:rPr>
                <w:rFonts w:asciiTheme="minorHAnsi" w:hAnsiTheme="minorHAnsi" w:cstheme="minorHAnsi"/>
                <w:i/>
                <w:iCs/>
              </w:rPr>
              <w:fldChar w:fldCharType="separate"/>
            </w:r>
            <w:r w:rsidRPr="00E507C1">
              <w:rPr>
                <w:rFonts w:asciiTheme="minorHAnsi" w:hAnsiTheme="minorHAnsi" w:cstheme="minorHAnsi"/>
                <w:iCs/>
                <w:noProof/>
                <w:vertAlign w:val="superscript"/>
              </w:rPr>
              <w:t>16</w:t>
            </w:r>
            <w:r>
              <w:rPr>
                <w:rFonts w:asciiTheme="minorHAnsi" w:hAnsiTheme="minorHAnsi" w:cstheme="minorHAnsi"/>
                <w:i/>
                <w:iCs/>
              </w:rPr>
              <w:fldChar w:fldCharType="end"/>
            </w:r>
            <w:r>
              <w:rPr>
                <w:rFonts w:asciiTheme="minorHAnsi" w:hAnsiTheme="minorHAnsi" w:cstheme="minorHAnsi"/>
              </w:rPr>
              <w:t>.</w:t>
            </w:r>
          </w:p>
        </w:tc>
      </w:tr>
      <w:tr w:rsidR="00B32727" w14:paraId="721FA88D" w14:textId="77777777" w:rsidTr="00883DB3">
        <w:tc>
          <w:tcPr>
            <w:tcW w:w="4675" w:type="dxa"/>
          </w:tcPr>
          <w:p w14:paraId="2EDB17F1" w14:textId="7E2DBBDF" w:rsidR="00B32727" w:rsidRDefault="00B32727" w:rsidP="00883DB3">
            <w:r w:rsidRPr="00B32727">
              <w:t xml:space="preserve">After including a </w:t>
            </w:r>
            <w:proofErr w:type="gramStart"/>
            <w:r w:rsidRPr="00B32727">
              <w:t>one line</w:t>
            </w:r>
            <w:proofErr w:type="gramEnd"/>
            <w:r w:rsidRPr="00B32727">
              <w:t xml:space="preserve"> space between each protocol step, highlight up to 3 pages of protocol text for inclusion in the protocol section of the video. This will clarify what needs to be filmed.</w:t>
            </w:r>
          </w:p>
        </w:tc>
        <w:tc>
          <w:tcPr>
            <w:tcW w:w="4675" w:type="dxa"/>
          </w:tcPr>
          <w:p w14:paraId="263248CD" w14:textId="44EDCA29" w:rsidR="00B32727" w:rsidRDefault="0095147B" w:rsidP="006C6F5C">
            <w:r>
              <w:t>We have added the requested highlighting.</w:t>
            </w:r>
          </w:p>
        </w:tc>
      </w:tr>
      <w:tr w:rsidR="0095147B" w14:paraId="57325119" w14:textId="77777777" w:rsidTr="00883DB3">
        <w:tc>
          <w:tcPr>
            <w:tcW w:w="4675" w:type="dxa"/>
          </w:tcPr>
          <w:p w14:paraId="1671EC09" w14:textId="197C2A06" w:rsidR="0095147B" w:rsidRPr="00B32727" w:rsidRDefault="002F3023" w:rsidP="00883DB3">
            <w:r>
              <w:t>Please include a title and a description of each figure and/or table.</w:t>
            </w:r>
          </w:p>
        </w:tc>
        <w:tc>
          <w:tcPr>
            <w:tcW w:w="4675" w:type="dxa"/>
          </w:tcPr>
          <w:p w14:paraId="2B78DFE6" w14:textId="3ADB6D17" w:rsidR="0095147B" w:rsidRPr="002F3023" w:rsidRDefault="002F3023" w:rsidP="006C6F5C">
            <w:pPr>
              <w:rPr>
                <w:rFonts w:cstheme="minorHAnsi"/>
                <w:bCs/>
                <w:color w:val="808080"/>
              </w:rPr>
            </w:pPr>
            <w:r>
              <w:t>Title and description for all figures and tables is found in section labeled “</w:t>
            </w:r>
            <w:r w:rsidRPr="001B1519">
              <w:rPr>
                <w:rFonts w:cstheme="minorHAnsi"/>
                <w:b/>
              </w:rPr>
              <w:t xml:space="preserve">FIGURE </w:t>
            </w:r>
            <w:r>
              <w:rPr>
                <w:rFonts w:cstheme="minorHAnsi"/>
                <w:b/>
              </w:rPr>
              <w:t xml:space="preserve">AND TABLE </w:t>
            </w:r>
            <w:r w:rsidRPr="001B1519">
              <w:rPr>
                <w:rFonts w:cstheme="minorHAnsi"/>
                <w:b/>
              </w:rPr>
              <w:t>LEGENDS</w:t>
            </w:r>
            <w:r>
              <w:rPr>
                <w:rFonts w:cstheme="minorHAnsi"/>
                <w:b/>
              </w:rPr>
              <w:t>”</w:t>
            </w:r>
            <w:r>
              <w:rPr>
                <w:rFonts w:cstheme="minorHAnsi"/>
                <w:bCs/>
              </w:rPr>
              <w:t>, beginning at line 255.</w:t>
            </w:r>
          </w:p>
        </w:tc>
      </w:tr>
      <w:tr w:rsidR="002F3023" w14:paraId="4BAA8687" w14:textId="77777777" w:rsidTr="00883DB3">
        <w:tc>
          <w:tcPr>
            <w:tcW w:w="4675" w:type="dxa"/>
          </w:tcPr>
          <w:p w14:paraId="0ADA470F" w14:textId="7AFFC9DB" w:rsidR="002F3023" w:rsidRDefault="002F3023" w:rsidP="00883DB3">
            <w:r>
              <w:t xml:space="preserve">Please double-check all figures, e.g., include spaces between numbers and units, e.g., 100 mM, not 100mM; NaCl, not </w:t>
            </w:r>
            <w:proofErr w:type="spellStart"/>
            <w:r>
              <w:t>Nacl</w:t>
            </w:r>
            <w:proofErr w:type="spellEnd"/>
            <w:r>
              <w:t>; initial, not initial.</w:t>
            </w:r>
          </w:p>
        </w:tc>
        <w:tc>
          <w:tcPr>
            <w:tcW w:w="4675" w:type="dxa"/>
          </w:tcPr>
          <w:p w14:paraId="19255A8B" w14:textId="77777777" w:rsidR="002F3023" w:rsidRPr="00A43556" w:rsidRDefault="002F3023" w:rsidP="006C6F5C">
            <w:bookmarkStart w:id="0" w:name="_GoBack"/>
            <w:bookmarkEnd w:id="0"/>
            <w:r w:rsidRPr="00A43556">
              <w:t xml:space="preserve">We have changed Figure 4 to have appropriate spacing. </w:t>
            </w:r>
          </w:p>
          <w:p w14:paraId="6C6006E3" w14:textId="77777777" w:rsidR="00262561" w:rsidRDefault="00262561" w:rsidP="006C6F5C">
            <w:pPr>
              <w:rPr>
                <w:highlight w:val="yellow"/>
              </w:rPr>
            </w:pPr>
          </w:p>
          <w:p w14:paraId="72E4B96D" w14:textId="29370B98" w:rsidR="00262561" w:rsidRPr="002F3023" w:rsidRDefault="00262561" w:rsidP="006C6F5C">
            <w:pPr>
              <w:rPr>
                <w:highlight w:val="yellow"/>
              </w:rPr>
            </w:pPr>
            <w:r w:rsidRPr="00262561">
              <w:t>All other figures and tables have the appropriate spacing</w:t>
            </w:r>
            <w:r>
              <w:t>.</w:t>
            </w:r>
          </w:p>
        </w:tc>
      </w:tr>
      <w:tr w:rsidR="00262561" w14:paraId="579560BD" w14:textId="77777777" w:rsidTr="00883DB3">
        <w:tc>
          <w:tcPr>
            <w:tcW w:w="4675" w:type="dxa"/>
          </w:tcPr>
          <w:p w14:paraId="69BA2557" w14:textId="708CF3BB" w:rsidR="00262561" w:rsidRDefault="00262561" w:rsidP="00883DB3">
            <w:r>
              <w:t>Please include a scale bar for all images taken with a microscope to provide context to the magnification used. Define the scale in the appropriate Figure Legend.</w:t>
            </w:r>
          </w:p>
        </w:tc>
        <w:tc>
          <w:tcPr>
            <w:tcW w:w="4675" w:type="dxa"/>
          </w:tcPr>
          <w:p w14:paraId="25375A71" w14:textId="7E3C3032" w:rsidR="00262561" w:rsidRPr="00262561" w:rsidRDefault="00262561" w:rsidP="006C6F5C">
            <w:r w:rsidRPr="00262561">
              <w:t>All scale bars and provided and legible in the original figures submitted.</w:t>
            </w:r>
          </w:p>
        </w:tc>
      </w:tr>
      <w:tr w:rsidR="00262561" w14:paraId="302F12CF" w14:textId="77777777" w:rsidTr="00883DB3">
        <w:tc>
          <w:tcPr>
            <w:tcW w:w="4675" w:type="dxa"/>
          </w:tcPr>
          <w:p w14:paraId="06790579" w14:textId="4291FE48" w:rsidR="00262561" w:rsidRDefault="00B73EF6" w:rsidP="00883DB3">
            <w:r>
              <w:t>Please ensure that the references appear as the following: [</w:t>
            </w:r>
            <w:proofErr w:type="spellStart"/>
            <w:r>
              <w:t>Lastname</w:t>
            </w:r>
            <w:proofErr w:type="spellEnd"/>
            <w:r>
              <w:t xml:space="preserve">, F.I., </w:t>
            </w:r>
            <w:proofErr w:type="spellStart"/>
            <w:r>
              <w:t>LastName</w:t>
            </w:r>
            <w:proofErr w:type="spellEnd"/>
            <w:r>
              <w:t xml:space="preserve">, F.I., </w:t>
            </w:r>
            <w:proofErr w:type="spellStart"/>
            <w:r>
              <w:t>LastName</w:t>
            </w:r>
            <w:proofErr w:type="spellEnd"/>
            <w:r>
              <w:t xml:space="preserve">, F.I. Article Title. Source (italics). Volume (bold) (Issue), </w:t>
            </w:r>
            <w:proofErr w:type="spellStart"/>
            <w:r>
              <w:t>FirstPage</w:t>
            </w:r>
            <w:proofErr w:type="spellEnd"/>
            <w:r>
              <w:t>–</w:t>
            </w:r>
            <w:proofErr w:type="spellStart"/>
            <w:r>
              <w:t>LastPage</w:t>
            </w:r>
            <w:proofErr w:type="spellEnd"/>
            <w:r>
              <w:t xml:space="preserve"> (YEAR).] For more than 6 authors, list only the first author then et al. Please include volume and issue numbers for all references. Please do not abbreviate journal names; use title case for all journal names.</w:t>
            </w:r>
          </w:p>
        </w:tc>
        <w:tc>
          <w:tcPr>
            <w:tcW w:w="4675" w:type="dxa"/>
          </w:tcPr>
          <w:p w14:paraId="6BD39CB1" w14:textId="733086AC" w:rsidR="00262561" w:rsidRPr="00262561" w:rsidRDefault="00B73EF6" w:rsidP="006C6F5C">
            <w:r>
              <w:t>The references are now formatted appropriately, with full journal names.</w:t>
            </w:r>
          </w:p>
        </w:tc>
      </w:tr>
      <w:tr w:rsidR="00B73EF6" w14:paraId="1107C706" w14:textId="77777777" w:rsidTr="00883DB3">
        <w:tc>
          <w:tcPr>
            <w:tcW w:w="4675" w:type="dxa"/>
          </w:tcPr>
          <w:p w14:paraId="4A034FE9" w14:textId="4E9D0A9A" w:rsidR="00B73EF6" w:rsidRDefault="00D46876" w:rsidP="00883DB3">
            <w:r>
              <w:t>Please sort the Materials Table alphabetically by the name of the material.</w:t>
            </w:r>
          </w:p>
        </w:tc>
        <w:tc>
          <w:tcPr>
            <w:tcW w:w="4675" w:type="dxa"/>
          </w:tcPr>
          <w:p w14:paraId="7C1D7468" w14:textId="21D7752E" w:rsidR="00B73EF6" w:rsidRDefault="00D46876" w:rsidP="006C6F5C">
            <w:r>
              <w:t>The Materials Table has been appropriately sorted and is reattached to this submission.</w:t>
            </w:r>
          </w:p>
        </w:tc>
      </w:tr>
    </w:tbl>
    <w:p w14:paraId="5071FC1D" w14:textId="3FE1C57E" w:rsidR="00883DB3" w:rsidRDefault="006D283E" w:rsidP="00883DB3">
      <w:pPr>
        <w:rPr>
          <w:b/>
          <w:bCs/>
        </w:rPr>
      </w:pPr>
      <w:r>
        <w:lastRenderedPageBreak/>
        <w:br/>
      </w:r>
    </w:p>
    <w:p w14:paraId="0A6868F3" w14:textId="77777777" w:rsidR="00C51923" w:rsidRDefault="006D283E" w:rsidP="00883DB3">
      <w:r>
        <w:rPr>
          <w:b/>
          <w:bCs/>
        </w:rPr>
        <w:t xml:space="preserve">Reviewer #1: </w:t>
      </w:r>
      <w:r>
        <w:br/>
        <w:t>Manuscript Summary:</w:t>
      </w:r>
      <w:r>
        <w:br/>
        <w:t xml:space="preserve">The aim of the study was to present a salt-based method for increasing the aspect ratios of spherical </w:t>
      </w:r>
      <w:proofErr w:type="gramStart"/>
      <w:r>
        <w:t>poly(</w:t>
      </w:r>
      <w:proofErr w:type="gramEnd"/>
      <w:r>
        <w:t>ethylene glycol)-based polymersomes. Protocol can elongate polymersomes and ultimately control their final shape by adding sodium chloride in post-formation dialysis, which can expand the use of therapeutic nanoparticle. The manuscript is well written but contains spelling and typing mistakes (some highlighted below)", which should be corrected.</w:t>
      </w:r>
      <w:r>
        <w:br/>
      </w:r>
    </w:p>
    <w:tbl>
      <w:tblPr>
        <w:tblStyle w:val="TableGrid"/>
        <w:tblW w:w="0" w:type="auto"/>
        <w:tblLook w:val="04A0" w:firstRow="1" w:lastRow="0" w:firstColumn="1" w:lastColumn="0" w:noHBand="0" w:noVBand="1"/>
      </w:tblPr>
      <w:tblGrid>
        <w:gridCol w:w="4675"/>
        <w:gridCol w:w="4675"/>
      </w:tblGrid>
      <w:tr w:rsidR="00C51923" w14:paraId="248CDE1A" w14:textId="77777777" w:rsidTr="006756AF">
        <w:tc>
          <w:tcPr>
            <w:tcW w:w="4675" w:type="dxa"/>
          </w:tcPr>
          <w:p w14:paraId="628EEB72" w14:textId="5C67E9F1" w:rsidR="00C51923" w:rsidRDefault="00C51923" w:rsidP="006756AF">
            <w:r>
              <w:t>Reviewer Comment</w:t>
            </w:r>
          </w:p>
        </w:tc>
        <w:tc>
          <w:tcPr>
            <w:tcW w:w="4675" w:type="dxa"/>
          </w:tcPr>
          <w:p w14:paraId="1FEB64F5" w14:textId="77777777" w:rsidR="00C51923" w:rsidRDefault="00C51923" w:rsidP="006756AF">
            <w:r>
              <w:t>Response</w:t>
            </w:r>
          </w:p>
        </w:tc>
      </w:tr>
      <w:tr w:rsidR="00C51923" w14:paraId="34EA4192" w14:textId="77777777" w:rsidTr="006756AF">
        <w:tc>
          <w:tcPr>
            <w:tcW w:w="4675" w:type="dxa"/>
          </w:tcPr>
          <w:p w14:paraId="4B314FC8" w14:textId="6C9B5098" w:rsidR="00C51923" w:rsidRDefault="00C51923" w:rsidP="006756AF">
            <w:r>
              <w:t>Line 34, 91-92: "polyethylene glycol": should be "</w:t>
            </w:r>
            <w:proofErr w:type="gramStart"/>
            <w:r>
              <w:t>poly(</w:t>
            </w:r>
            <w:proofErr w:type="gramEnd"/>
            <w:r>
              <w:t>ethylene glycol)". The IUPAC nomenclature should be used for polymer names. Parentheses are used when the monomer name consists of two or more words. Please correct throughout the text.</w:t>
            </w:r>
          </w:p>
        </w:tc>
        <w:tc>
          <w:tcPr>
            <w:tcW w:w="4675" w:type="dxa"/>
          </w:tcPr>
          <w:p w14:paraId="3DCE784F" w14:textId="7AC6C1FA" w:rsidR="00C51923" w:rsidRDefault="00C51923" w:rsidP="006756AF">
            <w:r>
              <w:t xml:space="preserve">We thank the reviewer for noticing this oversight. We have corrected line 34, where </w:t>
            </w:r>
            <w:proofErr w:type="gramStart"/>
            <w:r>
              <w:t>poly(</w:t>
            </w:r>
            <w:proofErr w:type="gramEnd"/>
            <w:r>
              <w:t>ethylene glycol) is first defined and ensured that it is used as its acronym PEG throughout the document.</w:t>
            </w:r>
          </w:p>
        </w:tc>
      </w:tr>
      <w:tr w:rsidR="00C51923" w14:paraId="4766C7BB" w14:textId="77777777" w:rsidTr="006756AF">
        <w:tc>
          <w:tcPr>
            <w:tcW w:w="4675" w:type="dxa"/>
          </w:tcPr>
          <w:p w14:paraId="4F00238E" w14:textId="19677201" w:rsidR="00C51923" w:rsidRDefault="00C51923" w:rsidP="006756AF">
            <w:r>
              <w:t>Line 71: "PLA"; Please explain all abbreviations in place of the first use.</w:t>
            </w:r>
          </w:p>
        </w:tc>
        <w:tc>
          <w:tcPr>
            <w:tcW w:w="4675" w:type="dxa"/>
          </w:tcPr>
          <w:p w14:paraId="5360E610" w14:textId="2B03F3BE" w:rsidR="00C51923" w:rsidRDefault="00C51923" w:rsidP="006756AF">
            <w:r>
              <w:t>We have corrected this error, now on line 73 after other editorial changes.</w:t>
            </w:r>
          </w:p>
        </w:tc>
      </w:tr>
      <w:tr w:rsidR="00705F4C" w14:paraId="01CA3AB3" w14:textId="77777777" w:rsidTr="006756AF">
        <w:tc>
          <w:tcPr>
            <w:tcW w:w="4675" w:type="dxa"/>
          </w:tcPr>
          <w:p w14:paraId="0CBE0698" w14:textId="463AA4CB" w:rsidR="00705F4C" w:rsidRDefault="00705F4C" w:rsidP="006756AF">
            <w:r>
              <w:t>Line 73, 101, 155: There is missing space between the numerical values and unit symbols, except for degrees for the angle (Table 1), where there should be no space according SI. Please correct throughout the text.</w:t>
            </w:r>
          </w:p>
        </w:tc>
        <w:tc>
          <w:tcPr>
            <w:tcW w:w="4675" w:type="dxa"/>
          </w:tcPr>
          <w:p w14:paraId="710FAF6F" w14:textId="14578341" w:rsidR="00705F4C" w:rsidRDefault="00705F4C" w:rsidP="006756AF">
            <w:r>
              <w:t>We thank the reviewer for noting these missing spaces. We have made the correction for line 73 (now line 75), line 101 (now line 102), and line 155 (now line 168). We scanned the text for any other locations where there may be a similar error and noted this error in figure 4 as well. Table 1 has been adjusted and resubmitted.</w:t>
            </w:r>
          </w:p>
        </w:tc>
      </w:tr>
      <w:tr w:rsidR="00705F4C" w14:paraId="510FBD96" w14:textId="77777777" w:rsidTr="006756AF">
        <w:tc>
          <w:tcPr>
            <w:tcW w:w="4675" w:type="dxa"/>
          </w:tcPr>
          <w:p w14:paraId="2DDC6355" w14:textId="63E9159B" w:rsidR="00705F4C" w:rsidRDefault="00705F4C" w:rsidP="006756AF">
            <w:r>
              <w:t>Line 118, 192, etc.: "polydispersity index (PDI)"; IUPAC has deprecated the use of the term polydispersity index, having replaced it with the term dispersity, represented by the symbol ĐM. Please correct throughout the text.</w:t>
            </w:r>
          </w:p>
        </w:tc>
        <w:tc>
          <w:tcPr>
            <w:tcW w:w="4675" w:type="dxa"/>
          </w:tcPr>
          <w:p w14:paraId="7ADB7B22" w14:textId="331CA0A8" w:rsidR="00705F4C" w:rsidRDefault="00705F4C" w:rsidP="006756AF">
            <w:r>
              <w:t>We thank the reviewer for alerting us to the IUPAC change in notation. However, we are not referring to polymer dispersity here. In this case, polydispersity index is the appropriate term, as it is the term used to describe the various sizes of nanoparticles present in solution. This is a standard term used in nanomedicine regarding nanoparticle characterization.</w:t>
            </w:r>
          </w:p>
        </w:tc>
      </w:tr>
      <w:tr w:rsidR="00705F4C" w14:paraId="1F3B5A12" w14:textId="77777777" w:rsidTr="006756AF">
        <w:tc>
          <w:tcPr>
            <w:tcW w:w="4675" w:type="dxa"/>
          </w:tcPr>
          <w:p w14:paraId="22F2920F" w14:textId="062E4F1D" w:rsidR="00705F4C" w:rsidRDefault="00705F4C" w:rsidP="006756AF">
            <w:r>
              <w:t>Line 202: "PEGPLA" missing hyphen.</w:t>
            </w:r>
          </w:p>
        </w:tc>
        <w:tc>
          <w:tcPr>
            <w:tcW w:w="4675" w:type="dxa"/>
          </w:tcPr>
          <w:p w14:paraId="4EDA13ED" w14:textId="1883C255" w:rsidR="00705F4C" w:rsidRDefault="00705F4C" w:rsidP="006756AF">
            <w:r>
              <w:t>We thank the reviewer for noticing this oversight. We have made the appropriate change (now on line 216/217).</w:t>
            </w:r>
          </w:p>
        </w:tc>
      </w:tr>
      <w:tr w:rsidR="00705F4C" w14:paraId="1D86BEA5" w14:textId="77777777" w:rsidTr="006756AF">
        <w:tc>
          <w:tcPr>
            <w:tcW w:w="4675" w:type="dxa"/>
          </w:tcPr>
          <w:p w14:paraId="140D830F" w14:textId="1819684A" w:rsidR="00705F4C" w:rsidRDefault="00705F4C" w:rsidP="006756AF">
            <w:r>
              <w:t>Line 221, etc.: "ΔPDI"; I understand that the authors meant changes in dispersity. Please explain and correct (also please correct figure 4).</w:t>
            </w:r>
          </w:p>
        </w:tc>
        <w:tc>
          <w:tcPr>
            <w:tcW w:w="4675" w:type="dxa"/>
          </w:tcPr>
          <w:p w14:paraId="65698E58" w14:textId="51494904" w:rsidR="00705F4C" w:rsidRDefault="00705F4C" w:rsidP="006756AF">
            <w:r>
              <w:t>We appreciate the reviewers remark but have chosen to maintain PDI in this case, as this is the standard for nanoparticle characterization. We did clarify the use of ΔPDI to ensure that the interpretation was clearly change in polydispersity index by adding the phase “</w:t>
            </w:r>
            <w:r>
              <w:rPr>
                <w:rFonts w:cstheme="minorHAnsi"/>
              </w:rPr>
              <w:t>change in PDI (ΔPDI)” to line 235.</w:t>
            </w:r>
          </w:p>
        </w:tc>
      </w:tr>
      <w:tr w:rsidR="00705F4C" w14:paraId="3DA59B82" w14:textId="77777777" w:rsidTr="006756AF">
        <w:tc>
          <w:tcPr>
            <w:tcW w:w="4675" w:type="dxa"/>
          </w:tcPr>
          <w:p w14:paraId="05A49272" w14:textId="6E14D921" w:rsidR="00705F4C" w:rsidRDefault="00705F4C" w:rsidP="006756AF">
            <w:r>
              <w:lastRenderedPageBreak/>
              <w:t>Table 1 and Table 2 are unreadable in the format provided. Please correct.</w:t>
            </w:r>
          </w:p>
        </w:tc>
        <w:tc>
          <w:tcPr>
            <w:tcW w:w="4675" w:type="dxa"/>
          </w:tcPr>
          <w:p w14:paraId="1592D943" w14:textId="57D9EBE8" w:rsidR="00705F4C" w:rsidRDefault="00705F4C" w:rsidP="006756AF">
            <w:r>
              <w:t>We thank the reviewer for this remark, but are slightly confused, as our documents appear to be very clearly legible in both word and pdf format.</w:t>
            </w:r>
          </w:p>
        </w:tc>
      </w:tr>
      <w:tr w:rsidR="00705F4C" w14:paraId="53D96EFE" w14:textId="77777777" w:rsidTr="006756AF">
        <w:tc>
          <w:tcPr>
            <w:tcW w:w="4675" w:type="dxa"/>
          </w:tcPr>
          <w:p w14:paraId="1F3F69AA" w14:textId="7E763E17" w:rsidR="00705F4C" w:rsidRDefault="00705F4C" w:rsidP="006756AF">
            <w:r>
              <w:t>FIGURE AND TABLE: Authors should decide whether the figure caption should be spelled in the same way as in a regular sentence, or in a proper name with capital letter. I think the spelling should be like a normal sentence. Please correct.</w:t>
            </w:r>
          </w:p>
        </w:tc>
        <w:tc>
          <w:tcPr>
            <w:tcW w:w="4675" w:type="dxa"/>
          </w:tcPr>
          <w:p w14:paraId="5EC5584D" w14:textId="0044A5C8" w:rsidR="00705F4C" w:rsidRDefault="0044064E" w:rsidP="006756AF">
            <w:r>
              <w:t>We thank the reviewer for this remark and have changed all figure titles to normal sentence capitalization.</w:t>
            </w:r>
          </w:p>
        </w:tc>
      </w:tr>
    </w:tbl>
    <w:p w14:paraId="14C755B7" w14:textId="77777777" w:rsidR="006756AF" w:rsidRDefault="006D283E" w:rsidP="00883DB3">
      <w:r>
        <w:br/>
      </w:r>
      <w:r>
        <w:br/>
      </w:r>
      <w:r>
        <w:rPr>
          <w:b/>
          <w:bCs/>
        </w:rPr>
        <w:t xml:space="preserve">Reviewer #2: </w:t>
      </w:r>
      <w:r>
        <w:br/>
        <w:t>Manuscript Summary:</w:t>
      </w:r>
      <w:r>
        <w:br/>
        <w:t xml:space="preserve">This manuscript summarized a method to induce and characterize shape changes in PEG-based polymersomes. The authors describe protocols of the salt-based method, introduced by </w:t>
      </w:r>
      <w:proofErr w:type="spellStart"/>
      <w:r>
        <w:t>L'Amorreaux</w:t>
      </w:r>
      <w:proofErr w:type="spellEnd"/>
      <w:r>
        <w:t>, which creates an osmotic pressure gradient to drive shape change. The tuning shape of polymersomes is of great interest for drug delivery applications. This manuscript will be beneficial to Jove Readers. However, the results seem not controllable and not predictable, which raises concerns about the meaningfulness of this method.</w:t>
      </w:r>
      <w:r>
        <w:br/>
      </w:r>
    </w:p>
    <w:tbl>
      <w:tblPr>
        <w:tblStyle w:val="TableGrid"/>
        <w:tblW w:w="0" w:type="auto"/>
        <w:tblLook w:val="04A0" w:firstRow="1" w:lastRow="0" w:firstColumn="1" w:lastColumn="0" w:noHBand="0" w:noVBand="1"/>
      </w:tblPr>
      <w:tblGrid>
        <w:gridCol w:w="4675"/>
        <w:gridCol w:w="4675"/>
      </w:tblGrid>
      <w:tr w:rsidR="006756AF" w14:paraId="3B1501F7" w14:textId="77777777" w:rsidTr="006756AF">
        <w:tc>
          <w:tcPr>
            <w:tcW w:w="4675" w:type="dxa"/>
          </w:tcPr>
          <w:p w14:paraId="3E301197" w14:textId="77777777" w:rsidR="006756AF" w:rsidRDefault="006756AF" w:rsidP="006756AF">
            <w:r>
              <w:t>Reviewer Comment</w:t>
            </w:r>
          </w:p>
        </w:tc>
        <w:tc>
          <w:tcPr>
            <w:tcW w:w="4675" w:type="dxa"/>
          </w:tcPr>
          <w:p w14:paraId="551FABF7" w14:textId="77777777" w:rsidR="006756AF" w:rsidRDefault="006756AF" w:rsidP="006756AF">
            <w:r>
              <w:t>Response</w:t>
            </w:r>
          </w:p>
        </w:tc>
      </w:tr>
      <w:tr w:rsidR="006756AF" w14:paraId="54B4C90D" w14:textId="77777777" w:rsidTr="006756AF">
        <w:tc>
          <w:tcPr>
            <w:tcW w:w="4675" w:type="dxa"/>
          </w:tcPr>
          <w:p w14:paraId="2FF93567" w14:textId="740295D8" w:rsidR="006756AF" w:rsidRDefault="006756AF" w:rsidP="006756AF">
            <w:r>
              <w:t>TEM images are not clear to see the shape changes of polymersomes.</w:t>
            </w:r>
          </w:p>
        </w:tc>
        <w:tc>
          <w:tcPr>
            <w:tcW w:w="4675" w:type="dxa"/>
          </w:tcPr>
          <w:p w14:paraId="4ED200AB" w14:textId="77777777" w:rsidR="006756AF" w:rsidRDefault="006756AF" w:rsidP="006756AF">
            <w:r>
              <w:t>We thank the reviewer for this remark and agree that it may be hard to distinguish the variety of shapes in each of the TEM images. In response, we made a change to Figure 5. We added a colored key for each of the major shapes being formed and provided arrows that are the same color as the key to allow for better visualization. (example – stomatocytes are red in the key and red arrows are used in the TEM images to identify the formation of stomatocytes). We have also changed the figure caption to read as follows.</w:t>
            </w:r>
          </w:p>
          <w:p w14:paraId="1B4E60AE" w14:textId="77777777" w:rsidR="006756AF" w:rsidRDefault="006756AF" w:rsidP="006756AF"/>
          <w:p w14:paraId="06826DA3" w14:textId="6D49BB61" w:rsidR="006756AF" w:rsidRPr="006756AF" w:rsidRDefault="006756AF" w:rsidP="006756AF">
            <w:pPr>
              <w:rPr>
                <w:rFonts w:cstheme="minorHAnsi"/>
              </w:rPr>
            </w:pPr>
            <w:r w:rsidRPr="003D76D1">
              <w:rPr>
                <w:rFonts w:cstheme="minorHAnsi"/>
                <w:b/>
                <w:bCs/>
              </w:rPr>
              <w:t>Figure 5. Sample TEM images of shape modulated PEG-PLA polymersomes after being dialyzed against 0, 50, 100, and 200 mM NaCl.</w:t>
            </w:r>
            <w:r>
              <w:rPr>
                <w:rFonts w:cstheme="minorHAnsi"/>
                <w:b/>
                <w:bCs/>
              </w:rPr>
              <w:t xml:space="preserve"> </w:t>
            </w:r>
            <w:r>
              <w:rPr>
                <w:rFonts w:cstheme="minorHAnsi"/>
              </w:rPr>
              <w:t xml:space="preserve">In order to aid in the visualization of shapes formed through salt dialysis, a key is provided at the top of the figure, denoting potential shapes of spheres (purple), rods (green), prolates (orange), and stomatocytes (red). As is usual for self-assembled systems, a variety of shapes and sizes are formed. Before salt dialysis, spheres are consistently observed. The use of 50 mM and 100 mM sodium chloride gradients leads to a wide variety of shapes, including stomatocytes (50 and </w:t>
            </w:r>
            <w:r>
              <w:rPr>
                <w:rFonts w:cstheme="minorHAnsi"/>
              </w:rPr>
              <w:lastRenderedPageBreak/>
              <w:t>100 mM), rods (50 mM), spheres (100 mM) and prolates (100 mM) denoted by arrows colored according to the key provided. Finally, the use of 200 mM sodium chloride gradients leads to the formation of mainly prolate shapes, with some stomatocytes.</w:t>
            </w:r>
          </w:p>
        </w:tc>
      </w:tr>
      <w:tr w:rsidR="006756AF" w14:paraId="056F810C" w14:textId="77777777" w:rsidTr="006756AF">
        <w:tc>
          <w:tcPr>
            <w:tcW w:w="4675" w:type="dxa"/>
          </w:tcPr>
          <w:p w14:paraId="39DCBE5A" w14:textId="3AEC1EBB" w:rsidR="006756AF" w:rsidRDefault="006756AF" w:rsidP="006756AF">
            <w:r>
              <w:lastRenderedPageBreak/>
              <w:t>The changes in PDI need to be explained further in more detail about how to interpret the result in terms of particle shape changes (i.e. correlation of PDI and scatters' shape).</w:t>
            </w:r>
          </w:p>
        </w:tc>
        <w:tc>
          <w:tcPr>
            <w:tcW w:w="4675" w:type="dxa"/>
          </w:tcPr>
          <w:p w14:paraId="16A6F60A" w14:textId="77777777" w:rsidR="006756AF" w:rsidRDefault="009A1292" w:rsidP="006756AF">
            <w:r>
              <w:t xml:space="preserve">We agree with the reviewer that having a specific correlation between change in PDI and shape would be extremely helpful. Unfortunately, this is not yet something that has been directly identified in any case for nanoparticles; this does not have a direct correlation even for solid nanoparticles due to the dynamic light scattering technique used. </w:t>
            </w:r>
          </w:p>
          <w:p w14:paraId="24A86C81" w14:textId="77777777" w:rsidR="009A1292" w:rsidRDefault="009A1292" w:rsidP="006756AF"/>
          <w:p w14:paraId="03970BA0" w14:textId="77777777" w:rsidR="009A1292" w:rsidRDefault="009A1292" w:rsidP="006756AF">
            <w:r>
              <w:t>In the document, we have clarified that an increase in PDI indicates a shift from spherical to non-spherical, but not a direct indication of shape. We added the sentence below to our discussion.</w:t>
            </w:r>
          </w:p>
          <w:p w14:paraId="75148802" w14:textId="77777777" w:rsidR="009A1292" w:rsidRDefault="009A1292" w:rsidP="006756AF"/>
          <w:p w14:paraId="647F5F14" w14:textId="6B345A45" w:rsidR="009A1292" w:rsidRDefault="009A1292" w:rsidP="006756AF">
            <w:r>
              <w:t>“. It has been noted that an increase in PDI denotes a shift from spherical to non-spherical particles</w:t>
            </w:r>
            <w:r>
              <w:fldChar w:fldCharType="begin" w:fldLock="1"/>
            </w:r>
            <w:r>
              <w:instrText>ADDIN CSL_CITATION {"citationItems":[{"id":"ITEM-1","itemData":{"DOI":"10.1002/adhm.201900352","ISSN":"21922659","PMID":"31410996","abstract":"The shape of nanoparticles is known recently as an important design parameter influencing considerably the fate of nanoparticles with and in biological systems. Several manufacturing techniques to generate nonspherical nanoparticles as well as studies on in vitro and in vivo effects thereof have been described. However, nonspherical nanoparticle shape stability in physiological-related conditions and the impact of formulation parameters on nonspherical nanoparticle resistance still need to be investigated. To address these issues, different nanoparticle fabrication methods using biodegradable polymers are explored to produce nonspherical nanoparticles via the prevailing film-stretching method. In addition, systematic comparisons to other nanoparticle systems prepared by different manufacturing techniques and less biodegradable materials (but still commonly utilized for drug delivery and targeting) are conducted. The study evinces that the strong interplay from multiple nanoparticle properties (i.e., internal structure, Young's modulus, surface roughness, liquefaction temperature [glass transition (Tg) or melting (Tm)], porosity, and surface hydrophobicity) is present. It is not possible to predict the nonsphericity longevity by merely one or two factor(s). The most influential features in preserving the nonsphericity of nanoparticles are existence of internal structure and low surface hydrophobicity (i.e., surface-free energy (SFE) &gt; ≈55 mN m−1, material–water interfacial tension &lt;6 mN m−1), especially if the nanoparticles are soft (&lt;1 GPa), rough (Rrms &gt; 10 nm), porous (&gt;1 m2 g−1), and in possession of low bulk liquefaction temperature (&lt;100 °C). Interestingly, low surface hydrophobicity of nanoparticles can be obtained indirectly by the significant presence of residual stabilizers. Therefore, it is strongly suggested that nonsphericity of particle systems is highly dependent on surface chemistry but cannot be appraised separately from other factors. These results and reviews allot valuable guidelines for the design and manufacturing of nonspherical nanoparticles having adequate shape stability, thereby appropriate with their usage purposes. Furthermore, they can assist in understanding and explaining the possible mechanisms of nonspherical nanoparticles effectivity loss and distinctive material behavior at the nanoscale.","author":[{"dropping-particle":"","family":"Haryadi","given":"Bernard Manuel","non-dropping-particle":"","parse-names":false,"suffix":""},{"dropping-particle":"","family":"Hafner","given":"Daniel","non-dropping-particle":"","parse-names":false,"suffix":""},{"dropping-particle":"","family":"Amin","given":"Ihsan","non-dropping-particle":"","parse-names":false,"suffix":""},{"dropping-particle":"","family":"Schubel","given":"Rene","non-dropping-particle":"","parse-names":false,"suffix":""},{"dropping-particle":"","family":"Jordan","given":"Rainer","non-dropping-particle":"","parse-names":false,"suffix":""},{"dropping-particle":"","family":"Winter","given":"Gerhard","non-dropping-particle":"","parse-names":false,"suffix":""},{"dropping-particle":"","family":"Engert","given":"Julia","non-dropping-particle":"","parse-names":false,"suffix":""}],"container-title":"Advanced Healthcare Materials","id":"ITEM-1","issue":"18","issued":{"date-parts":[["2019"]]},"page":"11-13","title":"Nonspherical Nanoparticle Shape Stability Is Affected by Complex Manufacturing Aspects: Its Implications for Drug Delivery and Targeting","type":"article-journal","volume":"8"},"uris":["http://www.mendeley.com/documents/?uuid=e6a4a6a0-cf7a-4f9a-8e68-e4967a7f9252"]}],"mendeley":{"formattedCitation":"&lt;sup&gt;32&lt;/sup&gt;","plainTextFormattedCitation":"32"},"properties":{"noteIndex":0},"schema":"https://github.com/citation-style-language/schema/raw/master/csl-citation.json"}</w:instrText>
            </w:r>
            <w:r>
              <w:fldChar w:fldCharType="separate"/>
            </w:r>
            <w:r w:rsidRPr="00212A1D">
              <w:rPr>
                <w:noProof/>
                <w:vertAlign w:val="superscript"/>
              </w:rPr>
              <w:t>32</w:t>
            </w:r>
            <w:r>
              <w:fldChar w:fldCharType="end"/>
            </w:r>
            <w:r>
              <w:t>, but a direct correlation between ΔPDI and specific shape has not yet been identified.”</w:t>
            </w:r>
          </w:p>
        </w:tc>
      </w:tr>
      <w:tr w:rsidR="009A1292" w14:paraId="6BB0253A" w14:textId="77777777" w:rsidTr="006756AF">
        <w:tc>
          <w:tcPr>
            <w:tcW w:w="4675" w:type="dxa"/>
          </w:tcPr>
          <w:p w14:paraId="7745D0A4" w14:textId="76A6E364" w:rsidR="009A1292" w:rsidRDefault="009A1292" w:rsidP="006756AF">
            <w:r>
              <w:t xml:space="preserve">Can you discuss if this method is also applicable for different types of vesicles, such as not PEG-based polymersomes, polyelectrolyte </w:t>
            </w:r>
            <w:proofErr w:type="spellStart"/>
            <w:r>
              <w:t>LbL</w:t>
            </w:r>
            <w:proofErr w:type="spellEnd"/>
            <w:r>
              <w:t xml:space="preserve"> capsules, liposomes, or hybrid vesicles?</w:t>
            </w:r>
          </w:p>
        </w:tc>
        <w:tc>
          <w:tcPr>
            <w:tcW w:w="4675" w:type="dxa"/>
          </w:tcPr>
          <w:p w14:paraId="7DDF1B46" w14:textId="58BF05C9" w:rsidR="009A1292" w:rsidRDefault="009A1292" w:rsidP="006756AF">
            <w:r>
              <w:t>We thank the reviewer for this question and agree that this discussion is significant. This method has not been demonstrated to be applicable for other types of systems, which makes this statement difficult. Recently, techniques used to modulate PEG-based polymersomes have been reviewed elsewhere. To address this concern, we have added the following sentence to our discussion.</w:t>
            </w:r>
          </w:p>
          <w:p w14:paraId="1DA78800" w14:textId="77777777" w:rsidR="009A1292" w:rsidRDefault="009A1292" w:rsidP="006756AF"/>
          <w:p w14:paraId="4C62219B" w14:textId="76DA477A" w:rsidR="009A1292" w:rsidRDefault="009A1292" w:rsidP="006756AF">
            <w:r>
              <w:t xml:space="preserve">“This method has only been applied to modulating the shape of the two polyester block copolymers that form polymersomes presented in this paper (PEG-PLA and PEG-PLGA). </w:t>
            </w:r>
            <w:r w:rsidRPr="009A1292">
              <w:rPr>
                <w:b/>
                <w:bCs/>
              </w:rPr>
              <w:t>Other types of PEG-based polymersome systems have been altered for shape via other salt gradients or solvent gradients, which are reviewed elsewhere</w:t>
            </w:r>
            <w:r w:rsidRPr="009A1292">
              <w:rPr>
                <w:b/>
                <w:bCs/>
              </w:rPr>
              <w:fldChar w:fldCharType="begin" w:fldLock="1"/>
            </w:r>
            <w:r w:rsidRPr="009A1292">
              <w:rPr>
                <w:b/>
                <w:bCs/>
              </w:rPr>
              <w:instrText>ADDIN CSL_CITATION {"citationItems":[{"id":"ITEM-1","itemData":{"author":[{"dropping-particle":"","family":"Larsen","given":"Jessica","non-dropping-particle":"","parse-names":false,"suffix":""},{"dropping-particle":"","family":"Gross","given":"Amanda","non-dropping-particle":"","parse-names":false,"suffix":""},{"dropping-particle":"","family":"Martin","given":"Douglas","non-dropping-particle":"","parse-names":false,"suffix":""}],"container-title":"In Preparation","id":"ITEM-1","issued":{"date-parts":[["2021"]]},"title":"Blood-Brain Barrier Penetrating Polymersomes: Intravenous Delivery of B-Galactosidase into GM1 Gangliosidosis Affected Felines","type":"article-journal"},"uris":["http://www.mendeley.com/documents/?uuid=e01245f9-7cb7-4493-a37a-eae05f10ea69"]}],"mendeley":{"formattedCitation":"&lt;sup&gt;33&lt;/sup&gt;","plainTextFormattedCitation":"33"},"properties":{"noteIndex":0},"schema":"https://github.com/citation-style-language/schema/raw/master/csl-citation.json"}</w:instrText>
            </w:r>
            <w:r w:rsidRPr="009A1292">
              <w:rPr>
                <w:b/>
                <w:bCs/>
              </w:rPr>
              <w:fldChar w:fldCharType="separate"/>
            </w:r>
            <w:r w:rsidRPr="009A1292">
              <w:rPr>
                <w:b/>
                <w:bCs/>
                <w:noProof/>
                <w:vertAlign w:val="superscript"/>
              </w:rPr>
              <w:t>33</w:t>
            </w:r>
            <w:r w:rsidRPr="009A1292">
              <w:rPr>
                <w:b/>
                <w:bCs/>
              </w:rPr>
              <w:fldChar w:fldCharType="end"/>
            </w:r>
            <w:r>
              <w:rPr>
                <w:b/>
                <w:bCs/>
              </w:rPr>
              <w:t>,</w:t>
            </w:r>
            <w:r>
              <w:t xml:space="preserve">  </w:t>
            </w:r>
            <w:r w:rsidRPr="009A1292">
              <w:rPr>
                <w:b/>
                <w:bCs/>
              </w:rPr>
              <w:t>though there has not been much study into shape modulation of non-PEG based polymersome systems.”</w:t>
            </w:r>
          </w:p>
        </w:tc>
      </w:tr>
    </w:tbl>
    <w:p w14:paraId="05780E51" w14:textId="55AC6D17" w:rsidR="006D283E" w:rsidRDefault="006D283E" w:rsidP="00883DB3"/>
    <w:p w14:paraId="3D59A108" w14:textId="77777777" w:rsidR="006D283E" w:rsidRDefault="006D283E" w:rsidP="006D283E"/>
    <w:sectPr w:rsidR="006D2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F2933"/>
    <w:multiLevelType w:val="multilevel"/>
    <w:tmpl w:val="9CC8290C"/>
    <w:lvl w:ilvl="0">
      <w:start w:val="1"/>
      <w:numFmt w:val="decimal"/>
      <w:lvlText w:val="%1."/>
      <w:lvlJc w:val="left"/>
      <w:pPr>
        <w:ind w:left="720" w:hanging="360"/>
      </w:pPr>
      <w:rPr>
        <w:rFonts w:hint="default"/>
        <w:color w:val="80808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C39665B"/>
    <w:multiLevelType w:val="multilevel"/>
    <w:tmpl w:val="9CC8290C"/>
    <w:lvl w:ilvl="0">
      <w:start w:val="1"/>
      <w:numFmt w:val="decimal"/>
      <w:lvlText w:val="%1."/>
      <w:lvlJc w:val="left"/>
      <w:pPr>
        <w:ind w:left="720" w:hanging="360"/>
      </w:pPr>
      <w:rPr>
        <w:rFonts w:hint="default"/>
        <w:color w:val="80808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0MzIwsjQwNDU3MTRV0lEKTi0uzszPAykwrAUAlcbHpSwAAAA="/>
  </w:docVars>
  <w:rsids>
    <w:rsidRoot w:val="006D283E"/>
    <w:rsid w:val="0012159C"/>
    <w:rsid w:val="00262561"/>
    <w:rsid w:val="002F3023"/>
    <w:rsid w:val="00421F7C"/>
    <w:rsid w:val="0044064E"/>
    <w:rsid w:val="004744F9"/>
    <w:rsid w:val="00666C6F"/>
    <w:rsid w:val="006756AF"/>
    <w:rsid w:val="006C6F5C"/>
    <w:rsid w:val="006D283E"/>
    <w:rsid w:val="00705F4C"/>
    <w:rsid w:val="0084377B"/>
    <w:rsid w:val="00883DB3"/>
    <w:rsid w:val="00932166"/>
    <w:rsid w:val="0095147B"/>
    <w:rsid w:val="009A1292"/>
    <w:rsid w:val="00A43556"/>
    <w:rsid w:val="00B32727"/>
    <w:rsid w:val="00B73EF6"/>
    <w:rsid w:val="00BE6790"/>
    <w:rsid w:val="00C51923"/>
    <w:rsid w:val="00D46876"/>
    <w:rsid w:val="00D96D96"/>
    <w:rsid w:val="00EC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6A47"/>
  <w15:chartTrackingRefBased/>
  <w15:docId w15:val="{7E956E77-3046-486E-B0A4-2433611C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D283E"/>
    <w:rPr>
      <w:b/>
      <w:bCs/>
    </w:rPr>
  </w:style>
  <w:style w:type="paragraph" w:styleId="NormalWeb">
    <w:name w:val="Normal (Web)"/>
    <w:basedOn w:val="Normal"/>
    <w:uiPriority w:val="99"/>
    <w:semiHidden/>
    <w:unhideWhenUsed/>
    <w:rsid w:val="006D283E"/>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883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4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4F9"/>
    <w:rPr>
      <w:rFonts w:ascii="Segoe UI" w:hAnsi="Segoe UI" w:cs="Segoe UI"/>
      <w:sz w:val="18"/>
      <w:szCs w:val="18"/>
    </w:rPr>
  </w:style>
  <w:style w:type="paragraph" w:styleId="ListParagraph">
    <w:name w:val="List Paragraph"/>
    <w:basedOn w:val="Normal"/>
    <w:uiPriority w:val="34"/>
    <w:qFormat/>
    <w:rsid w:val="006C6F5C"/>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95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7</Pages>
  <Words>3744</Words>
  <Characters>21344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Larsen</dc:creator>
  <cp:keywords/>
  <dc:description/>
  <cp:lastModifiedBy>Jessica Larsen</cp:lastModifiedBy>
  <cp:revision>12</cp:revision>
  <dcterms:created xsi:type="dcterms:W3CDTF">2021-03-05T19:08:00Z</dcterms:created>
  <dcterms:modified xsi:type="dcterms:W3CDTF">2021-03-16T20:34:00Z</dcterms:modified>
</cp:coreProperties>
</file>