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Model of Experimental Steatosis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Hepatocyte Cell Culture in Lipid Overload-Conditioned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Campos-Espinosa, Carolina Guzm&amp;#225;n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Laboratorio de H&amp;#237;gado, P&amp;#225;ncreas y Motilidad, Unidad de Medicina Experimental, Facultad de Medicina-UNAM, Hospital General de M&amp;#233;xico “Dr. Eduardo Liceaga”, Mexico City, Mexico.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Campos-Espinosa</w:t>
        <w:tab/>
        <w:t xml:space="preserve">(</w:t>
      </w:r>
      <w:r>
        <w:rPr>
          <w:rFonts w:ascii="Calibri" w:hAnsi="Calibri" w:cs="Calibri" w:eastAsia="Calibri"/>
          <w:color w:val="auto"/>
          <w:spacing w:val="0"/>
          <w:position w:val="0"/>
          <w:sz w:val="24"/>
          <w:u w:val="single"/>
          <w:shd w:fill="FFFFFF" w:val="clear"/>
        </w:rPr>
        <w:t xml:space="preserve">adrian_cea@comunidad.unam.mx)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Guzm&amp;#225;n</w:t>
        <w:tab/>
        <w:tab/>
        <w:t xml:space="preserve">(carolina.guzman@quimica.unam.mx)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Guzm&amp;#225;n</w:t>
        <w:tab/>
        <w:tab/>
        <w:t xml:space="preserve">(carolina.guzman@quimica.unam.mx)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intended to be a tool to study steatosis and the molecular, biochemical, cellular changes produced by the over exposure of hepatocytes to lipids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dysfunction-associated fatty liver disease (MAFLD), previously known as non-alcoholic fatty liver disease (NAFLD), is the most prevalent liver disease worldwide due to its relationship with obesity, diabetes type 2, and dyslipidemia. Hepatic steatosis, the accumulation of lipid droplets in the liver parenchyma, is a key feature of the disease preceding the inflammation observed in steatohepatitis, fibrosis, and end-stage liver disease. Lipid accumulation in hepatocytes might interfere with proper metabolism of xenobiotics and endogenous molecules, as well as to induce cellular processes leading to the advance of the disease. Although the experimental study of steatosis can be performed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approaches to the study of steatosis are complementary tools with different advantages. Hepatocyte culture in lipid overload-conditioned medium is an excellent reproducible option for the study of hepatic steatosis allowing the identification of cellular processes related to lipid accumulation, such as oxidative and reticular stresses, autophagia, proliferation, cell death, etcetera, as well as other testing including drug effectiveness, and toxicological testing, among many other possible applications. Here, it was aimed to describe the methodology of hepatocyte cell culture in lipid overload-conditioned medium. HepG2 cells were cultured in RMPI 1640 medium conditioned with sodium palmitate and sodium oleate. Importantly, the ratio of these two lipids is crucial to favor lipid droplet accumulation, while maintaining cell proliferation and a moderate mortality rate, as occurs in the liver during the disease. The methodology, from the preparation of the lipid solution stocks, mixture, addition to the medium, and hepatocyte culture is shown. With this approach, it is possible to identify lipid droplets in the hepatocytes that are readily observable by Oil-red O staining, as well as curves of proliferation/mortality rates.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Fatty liver associated with metabolic dysfunction is highly prevalent worldwide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 is estimated that up to 25% of the population is affected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disease previously known as non-alcoholic fatty liver disease (NAFLD), has updated its nomenclature to metabolic dysfunction associated fatty liver disease (MAFLD) to accurately reflect the pathogenesis related with obesity, insulin resistance, diabetes type 2, and dyslipidemia, as well as the possible managements of the disease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name, the disease includes a wide spectrum of histopathological changes characterized by abnormally high accumulation of lipids in the liver (&amp;gt;5% of fat in the hepatocytes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might progress through the lipid accumulation typically found in simple steatosis to steatohepatitis, which in turn might lead to the development of fibrosis, cirrhosis, hepatocellular carcinoma, and liver failure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Due to its increasing prevalence, MAFLD is expected to become the first indication of liver transplantation and the leading cause of hepatocellular carcinoma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it has been considered as a benign or mild form of fatty liver disease, hepatic steatosis is in fact the metabolic key in MAFLD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Different metabolic pathways are affected by lipid accumulation in the liver, including but not limited to lipid synthesis, exportation, and metabolism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Insulin resistance, oxidative stress, reticular stress, and cellular dysfunction are strongly associated to hepatic lipotoxicity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On the other hand, fatty hepatocytes are the target of reactive oxygen species, rendering metabolites as lipid peroxides, protein carbonyls, and adducts of nucleic acids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At the cellular level, fatty hepatocytes might undergo mitochondrial damage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cellular senescence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apoptosis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pyroptosis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autophagia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among other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Hepatocytes are highly responsible for metabolism, detoxification, and synthesis of a wide range of molecules. Many of these functions might be compromised by the lipid accumulation observed in steatosis. Therefore, it is of great importance to have reproducible tools that allow an accurate evaluation of steatosis. In this sense,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are readily applicable and highly reproducible. Steatosis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has been used with different goals</w:t>
      </w:r>
      <w:r>
        <w:rPr>
          <w:rFonts w:ascii="Calibri" w:hAnsi="Calibri" w:cs="Calibri" w:eastAsia="Calibri"/>
          <w:color w:val="auto"/>
          <w:spacing w:val="0"/>
          <w:position w:val="0"/>
          <w:sz w:val="24"/>
          <w:shd w:fill="auto" w:val="clear"/>
          <w:vertAlign w:val="superscript"/>
        </w:rPr>
        <w:t xml:space="preserve">16,18,19</w:t>
      </w:r>
      <w:r>
        <w:rPr>
          <w:rFonts w:ascii="Calibri" w:hAnsi="Calibri" w:cs="Calibri" w:eastAsia="Calibri"/>
          <w:color w:val="auto"/>
          <w:spacing w:val="0"/>
          <w:position w:val="0"/>
          <w:sz w:val="24"/>
          <w:shd w:fill="auto" w:val="clear"/>
        </w:rPr>
        <w:t xml:space="preserve">. The HepG2 cells are widely used as hepatocyte cell line. It has advantages such as being easy to culture and well characterized. Perhaps, the only disadvantage of HepG2 cells is the fact that it is a carcinogenic cell line, so this must be considered when analyzing the outcomes. Here, the application of a mixture of fatty acids widely used in cell culture: palmitic acid (PA) and oleic acid (OA) is shown. Both PA and OA offer different outcomes in culture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PA (C 16:0) is the most common saturated fatty acid obtained from the diet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PA is considered as a biomarker of </w:t>
      </w:r>
      <w:r>
        <w:rPr>
          <w:rFonts w:ascii="Calibri" w:hAnsi="Calibri" w:cs="Calibri" w:eastAsia="Calibri"/>
          <w:i/>
          <w:color w:val="auto"/>
          <w:spacing w:val="0"/>
          <w:position w:val="0"/>
          <w:sz w:val="24"/>
          <w:shd w:fill="auto" w:val="clear"/>
        </w:rPr>
        <w:t xml:space="preserve">de-novo lipogenesis</w:t>
      </w:r>
      <w:r>
        <w:rPr>
          <w:rFonts w:ascii="Calibri" w:hAnsi="Calibri" w:cs="Calibri" w:eastAsia="Calibri"/>
          <w:color w:val="auto"/>
          <w:spacing w:val="0"/>
          <w:position w:val="0"/>
          <w:sz w:val="24"/>
          <w:shd w:fill="auto" w:val="clear"/>
        </w:rPr>
        <w:t xml:space="preserve">, a crucial step in the development of NAFLD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PA is shown to be highly toxic</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therefore, it might not be recommended to induce steatosis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OA (C 18:1) is a monounsaturated fatty acid. In contrast to PA, OA has been suggested to possess anti-inflammatory and anti-oxidant properties, being able to counteract PA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Both PA and OA are the main fatty acids present in the triglycerides, regardless of the condition of health or disease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provides examples of the hepatocyte culture with PA, OA, and their mixture, as well as the outcomes reported</w:t>
      </w:r>
      <w:r>
        <w:rPr>
          <w:rFonts w:ascii="Calibri" w:hAnsi="Calibri" w:cs="Calibri" w:eastAsia="Calibri"/>
          <w:color w:val="auto"/>
          <w:spacing w:val="0"/>
          <w:position w:val="0"/>
          <w:sz w:val="24"/>
          <w:shd w:fill="auto" w:val="clear"/>
          <w:vertAlign w:val="superscript"/>
        </w:rPr>
        <w:t xml:space="preserve">12,23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Other fatty acids have also been used in hepatocyte culture, including stearic acid (C 18:0)</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linoleic acid (C 18:1)</w:t>
      </w:r>
      <w:r>
        <w:rPr>
          <w:rFonts w:ascii="Calibri" w:hAnsi="Calibri" w:cs="Calibri" w:eastAsia="Calibri"/>
          <w:color w:val="auto"/>
          <w:spacing w:val="0"/>
          <w:position w:val="0"/>
          <w:sz w:val="24"/>
          <w:shd w:fill="auto" w:val="clear"/>
          <w:vertAlign w:val="superscript"/>
        </w:rPr>
        <w:t xml:space="preserve">28,30,31</w:t>
      </w:r>
      <w:r>
        <w:rPr>
          <w:rFonts w:ascii="Calibri" w:hAnsi="Calibri" w:cs="Calibri" w:eastAsia="Calibri"/>
          <w:color w:val="auto"/>
          <w:spacing w:val="0"/>
          <w:position w:val="0"/>
          <w:sz w:val="24"/>
          <w:shd w:fill="auto" w:val="clear"/>
        </w:rPr>
        <w:t xml:space="preserve"> and its conjugates (CLA)</w:t>
      </w:r>
      <w:r>
        <w:rPr>
          <w:rFonts w:ascii="Calibri" w:hAnsi="Calibri" w:cs="Calibri" w:eastAsia="Calibri"/>
          <w:color w:val="auto"/>
          <w:spacing w:val="0"/>
          <w:position w:val="0"/>
          <w:sz w:val="24"/>
          <w:shd w:fill="auto" w:val="clear"/>
          <w:vertAlign w:val="superscript"/>
        </w:rPr>
        <w:t xml:space="preserve">28,32</w:t>
      </w:r>
      <w:r>
        <w:rPr>
          <w:rFonts w:ascii="Calibri" w:hAnsi="Calibri" w:cs="Calibri" w:eastAsia="Calibri"/>
          <w:color w:val="auto"/>
          <w:spacing w:val="0"/>
          <w:position w:val="0"/>
          <w:sz w:val="24"/>
          <w:shd w:fill="auto" w:val="clear"/>
        </w:rPr>
        <w:t xml:space="preserve">, palmitoleic acid (C 16:1)</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their use is least frequently reported in the literature, perhaps because their hepatic abundance is lower than PA and OA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conjunction, both fatty acids resemble steatosis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providing proliferating cells, with increased cell death and lower viability compared with control conditions. It is worth mentioning that the respective salts of these fatty acids are available and can be used as well. One of the main problems when assessing lipid overload in hepatocyte cell culture is given in the differentiation between toxicological models and a model that best represent steatosis. Many models can be accounted in the first case. In fact, the use of PA alone might be considered among them, and the high mortality is the most evident outcome</w:t>
      </w:r>
      <w:r>
        <w:rPr>
          <w:rFonts w:ascii="Calibri" w:hAnsi="Calibri" w:cs="Calibri" w:eastAsia="Calibri"/>
          <w:color w:val="auto"/>
          <w:spacing w:val="0"/>
          <w:position w:val="0"/>
          <w:sz w:val="24"/>
          <w:shd w:fill="auto" w:val="clear"/>
          <w:vertAlign w:val="superscript"/>
        </w:rPr>
        <w:t xml:space="preserve">12,16,23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use of high doses even in the case of OA can also be considered as a toxicologic model. The protocol shown here is in higher accordance with steatosis development since it shows low mortality compared with that observed in other models and allows it to be followed during several days with progressive lipid accumulation as it occurs in NAFLD. The possibility to assess mild and severe steatosis through experimental conditions is considered another advantage.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this model is applicable not only to the study of steatosis and fatty liver, but also to the hepatic metabolic, synthetic, and detoxification pathways in the context of steatosis. Also,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induced steatosis might provide evidence for the identification of potential markers of the disease as well as therapeutic targets.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Standard and conditioned medium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To prepare standard RPMI 1640 supplement, mix  RPMI 1640 culture medium with 10% (v/v) of fetal bovine serum (FBS, previously heat inactivated) and 1% (v/v) of Penicillin-Streptomycin solution. Store the supplement  at 4 &amp;#176;C.</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To prepare palmitate stock solution, prepare a 50 mM solution of palmitate in the standard RPMI 1640 previously supplemented with 1% of bovine serum albumin (lipid free). A volume of 5-10 mL of this stock will be sufficient. Sterilize the stock solution by using 0.22 &amp;#181;m filters. Store at 4 &amp;#176;C protected from light for up to 1 month.</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To prepare oleate stock solution, prepare a 50 mM solution of oleate in the standard RPMI 1640 previously supplemented with 1% of bovine serum albumin (lipid free). A volume of 10 mL will be sufficient. Sterilize the stock solution by using 0.22 &amp;#181;m filters. Store at -20 &amp;#176;C protected from light for up to 1 month.</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To prepare steatogenic medium from the previously prepared stocks, prepare a 1-part palmitate: 2-part oleate steatogenic medium at two possible levels: mild and severe steatosis.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Mild Steatosis</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Prepare 100 mL of a 1-part palmitate: 2-part oleate (50 &amp;#181;M) mix in standard RPMI 1640. Sterilize by using 0.22 &amp;#181;m filters. Store at 4 &amp;#176;C for up to 1 week.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Severe Steatosis</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Prepare 100 mL of a 1-part palmitate: 2-part oleate (500 &amp;#181;M) mix in standard RPMI 1640. Sterilize by using 0.22 &amp;#181;m filters. Store at 4 &amp;#176;C for up to 1 week.</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Alternative preparation for the stock solutions.</w:t>
      </w:r>
    </w:p>
    <w:p>
      <w:pPr>
        <w:widowControl w:val="false"/>
        <w:spacing w:before="0" w:after="16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1.4.3.1.</w:t>
        <w:tab/>
        <w:t xml:space="preserve">Prepare both stock solutions using the respective fatty acids by using free lipid albumin as indicated above.</w:t>
      </w:r>
    </w:p>
    <w:p>
      <w:pPr>
        <w:widowControl w:val="false"/>
        <w:spacing w:before="0" w:after="16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1.4.3.2.</w:t>
        <w:tab/>
        <w:t xml:space="preserve">When lacking free lipid albumin, use palmitate and oleate salts.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1.4.3.2.1.</w:t>
        <w:tab/>
        <w:t xml:space="preserve">Dissolve either palmitate or oleate in 2 mL of absolute ethanol and then mix in the final volume of standard RPMI 1640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mL). Dissolve oleate directly by stirring in standard RPMI 1640 culture medium.</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1.4.3.2.2.</w:t>
        <w:tab/>
        <w:t xml:space="preserve">Allow evaporation of ethanol by incubating in a water bath at 70 &amp;#176;C; mix thoroughly.</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1.4.3.3.</w:t>
        <w:tab/>
        <w:t xml:space="preserve">In every case, sterilize both stock solutions using 0.22 &amp;#181;m filters. Store palmitate stock solution at 4 &amp;#176;C and oleate stock solution at - 20 &amp;#176;C. Protect both solutions from light. These solutions are stable for 1 month.</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Pre-culture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Seed 100,000 HepG2 cells per well in a 24-well plate. Add 1 mL of standard RPMI 1640.</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 allowing cell attachment and confluency of approximately 75%.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Steatogenic culture</w:t>
      </w:r>
    </w:p>
    <w:p>
      <w:pPr>
        <w:widowControl w:val="false"/>
        <w:spacing w:before="0" w:after="16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After pre-culture, discard the standard RPMI 1640 medium and add the steatogenic medium accordingly.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Discard the supernatant and add fresh steatogenic medium every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Viability and mortality assessment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Seed 100,000 HepG2 cells per well in a 24-well plate. Add 1 mL of standard RPMI 1640.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Pre-incubate for 24 h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Change standard RPMI 1640 medium for the steatogenic medium.</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Incubate for 24 h, 2 days, 3 days, and 4 days refreshing the steatogenic medium every 24 h.</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After the appropriate time, discard the supernatant.</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Detach cells from the well by adding 500 &amp;#181;L of 0.05% of Trypsin-EDTA. Incubate for 5 min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Collect the resuspended cells in a microtube.</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discard the supernatant.</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Add 200 &amp;#181;L of standard RPMI 1640 and resuspend the cells.</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Add 15 &amp;#181;L of 0.4% solution of Trypan blue in a fresh microtube. Mix with 15 &amp;#181;L of the previous cell suspension.</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Count the stained and non-stained cells in a hemocytometer.</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Calculate the viability and mortality rates accordingly.</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Viability</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 </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Mortality =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Lipid staining with Oil-Red O</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Put a cell culture coverslip in every well in a 24-well plate.</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Seed 100,000 HepG2 cells per well. Add 1 mL of standard RPMI 1640.</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Pre-incubate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Change standard RPMI 1640 medium for the steatogenic medium.</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Incubate for 24 h, 2 days, 3 days, and 4 days, refreshing the steatogenic medium every 24 h.</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After the appropriate time, discard the supernatant.</w:t>
      </w:r>
    </w:p>
    <w:p>
      <w:pPr>
        <w:widowControl w:val="false"/>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Wash with 1 mL of phosphate buffered saline (PBS). Discard the supernatant.</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Fix with 1 mL of 4% paraformaldehyde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Incubate for 1 h at room temperature.</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Discard the excess of paraformaldehyde.</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Rinse the cells with 1 mL of distilled water.</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Add 1 mL of 70% isopropanol and incubate for 5 min.</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Discard the excess of isopropanol. A PBS wash is not needed at this point.</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Add 1 mL of Oil-red O solution and incubate for 30 min.</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Discard the excess of the Oil-red O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Rinse with 1 mL of distilled water.</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Add 500 &amp;#181;L of hematoxylin solution. Incubate for 3 min.</w:t>
      </w:r>
    </w:p>
    <w:p>
      <w:pPr>
        <w:widowControl w:val="false"/>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Discard the excess of hematoxylin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Rinse with 1 mL of distilled water.</w:t>
      </w:r>
    </w:p>
    <w:p>
      <w:pPr>
        <w:widowControl w:val="false"/>
        <w:spacing w:before="0" w:after="16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5.20.</w:t>
        <w:tab/>
        <w:t xml:space="preserve">Observe under the microscope</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at a magnification of 400x (Objective 40x, Ocular 10x).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Morphometric assessment of lipid contents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Randomly select and capture photographs of 10 optical fields from the complete area of the well. Repeat for every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Assess the percentage of red stained area using the </w:t>
      </w:r>
      <w:r>
        <w:rPr>
          <w:rFonts w:ascii="Calibri" w:hAnsi="Calibri" w:cs="Calibri" w:eastAsia="Calibri"/>
          <w:b/>
          <w:color w:val="auto"/>
          <w:spacing w:val="0"/>
          <w:position w:val="0"/>
          <w:sz w:val="24"/>
          <w:shd w:fill="FFFF00" w:val="clear"/>
        </w:rPr>
        <w:t xml:space="preserve">Color Threshold</w:t>
      </w:r>
      <w:r>
        <w:rPr>
          <w:rFonts w:ascii="Calibri" w:hAnsi="Calibri" w:cs="Calibri" w:eastAsia="Calibri"/>
          <w:color w:val="auto"/>
          <w:spacing w:val="0"/>
          <w:position w:val="0"/>
          <w:sz w:val="24"/>
          <w:shd w:fill="FFFF00" w:val="clear"/>
        </w:rPr>
        <w:t xml:space="preserve"> tool in the ImageJ software according to</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Ferreira and Rasband</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Compare the stained area with the complete area of the optical field using the </w:t>
      </w:r>
      <w:r>
        <w:rPr>
          <w:rFonts w:ascii="Calibri" w:hAnsi="Calibri" w:cs="Calibri" w:eastAsia="Calibri"/>
          <w:b/>
          <w:color w:val="auto"/>
          <w:spacing w:val="0"/>
          <w:position w:val="0"/>
          <w:sz w:val="24"/>
          <w:shd w:fill="FFFF00" w:val="clear"/>
        </w:rPr>
        <w:t xml:space="preserve">Analyze Particles </w:t>
      </w:r>
      <w:r>
        <w:rPr>
          <w:rFonts w:ascii="Calibri" w:hAnsi="Calibri" w:cs="Calibri" w:eastAsia="Calibri"/>
          <w:color w:val="auto"/>
          <w:spacing w:val="0"/>
          <w:position w:val="0"/>
          <w:sz w:val="24"/>
          <w:shd w:fill="FFFF00" w:val="clear"/>
        </w:rPr>
        <w:t xml:space="preserve">tool in the ImageJ software according to Ferreira and Rasband</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Calculate the average percentage of every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Hepatocytes cultured in the steatogenic medium display growth all over the surface of the well; however, fatty hepatocytes show lower growth rate compared with cells cultured in control medium. The proposed ratio and concentration of OA and PA, guarantee cell survival during culture. Seeding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in 24-well plates provides optimum confluence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Viability in cultured cells was lower in the steatogenic groups, Mild and Severe, compared with the control conditions. In fact, viability progressively diminished as time of the culture increased, reaching the lowest of 60% at 4 days in severe steatosis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Accordingly, the mortality rate was higher in hepatocytes cultured in the steatogenic conditions, and it progressively increased with the time of exposure to lipids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Cell numbers progressively increased as a result of proliferation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However, proliferation rate was lower in Mild steatosis at 3 days and 4 days. In contrast, Severe steatosis was associated with lower proliferation from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HepG2 cells cultured in the proposed protocol show the most important feature of steatosis, intracellular lipid accumulation. Staining cells with Oil Red O allowed to observe at least a two-fold increase of lipid droplets in cells cultured under steatogenic conditions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Intracellular fat increased according to the time of exposure of culture in the steatogenic medium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Mild steatosis, lipid contents were increased from day 2, whereas in Severe steatosis, they were significantly high from 24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Hepatocyte culture in steatogenic conditions. </w:t>
      </w:r>
      <w:r>
        <w:rPr>
          <w:rFonts w:ascii="Calibri" w:hAnsi="Calibri" w:cs="Calibri" w:eastAsia="Calibri"/>
          <w:color w:val="auto"/>
          <w:spacing w:val="0"/>
          <w:position w:val="0"/>
          <w:sz w:val="24"/>
          <w:shd w:fill="auto" w:val="clear"/>
        </w:rPr>
        <w:t xml:space="preserve">The table presents the type of fatty acid used, the conditions maintained, and the observed outcomes in hepatocyte culture. PA: Palmitic acid. OA: Oleic acid.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Cell growth.</w:t>
      </w:r>
      <w:r>
        <w:rPr>
          <w:rFonts w:ascii="Calibri" w:hAnsi="Calibri" w:cs="Calibri" w:eastAsia="Calibri"/>
          <w:color w:val="auto"/>
          <w:spacing w:val="0"/>
          <w:position w:val="0"/>
          <w:sz w:val="24"/>
          <w:shd w:fill="auto" w:val="clear"/>
        </w:rPr>
        <w:t xml:space="preserve"> HepG2 hepatocytes culture in control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mild steatogenic conditions (</w:t>
      </w:r>
      <w:r>
        <w:rPr>
          <w:rFonts w:ascii="Calibri" w:hAnsi="Calibri" w:cs="Calibri" w:eastAsia="Calibri"/>
          <w:b/>
          <w:color w:val="auto"/>
          <w:spacing w:val="0"/>
          <w:position w:val="0"/>
          <w:sz w:val="24"/>
          <w:shd w:fill="auto" w:val="clear"/>
        </w:rPr>
        <w:t xml:space="preserve">Figure 1E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Photographs show growth from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of culture. Scale bar =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Viability and mortality rates.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Viability.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Mortality.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number. HepG2 hepatocytes culture in control and steatogenic conditions were assessed for viability and mortality rates by trypan blue staining. Mean &amp;#177;&amp;plusmn; SD. Two independent experiments in triplicate per time of culture. Circles: control conditions; Squares: mild steatosis; Triangles: severe steatosis. One-way ANOVA was used to compare among conditions and time of culture for the same condition. p &amp;lt; 0.05 was considered significant: “*”- control vs severe steatosis; “§”- control vs mild steatosis; “¶”- mild vs severe steatosis.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Lipid accumulation.</w:t>
      </w:r>
      <w:r>
        <w:rPr>
          <w:rFonts w:ascii="Calibri" w:hAnsi="Calibri" w:cs="Calibri" w:eastAsia="Calibri"/>
          <w:color w:val="auto"/>
          <w:spacing w:val="0"/>
          <w:position w:val="0"/>
          <w:sz w:val="24"/>
          <w:shd w:fill="auto" w:val="clear"/>
        </w:rPr>
        <w:t xml:space="preserve"> HepG2 hepatocytes culture in control and steatogenic conditions were assessed for lipid contents by oil red O staining followed by a morphometric analysis using ImageJ software (NIH, USA). Percentage of lipids refers to the percentage of area stained by Oil-Red O (lipids) considering 100% as the complete area of each optical field analyzed. Mean &amp;#177;&amp;plusmn; SD. Two independent experiments in triplicate per time of culture. Circles: control conditions; Squares: mild steatosis; Triangles: severe steatosis. One-way ANOVA was used to compare among conditions and time of culture for the same condition. p &amp;lt; 0.05 was considered significant: “*”- control vs severe steatosis; “§”- control vs mild steatosis; “¶”- mild vs severe steatosis.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Steatosis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HepG2 hepatocytes culture in control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mild steatogenic (</w:t>
      </w:r>
      <w:r>
        <w:rPr>
          <w:rFonts w:ascii="Calibri" w:hAnsi="Calibri" w:cs="Calibri" w:eastAsia="Calibri"/>
          <w:b/>
          <w:color w:val="auto"/>
          <w:spacing w:val="0"/>
          <w:position w:val="0"/>
          <w:sz w:val="24"/>
          <w:shd w:fill="auto" w:val="clear"/>
        </w:rPr>
        <w:t xml:space="preserve">Figure 4E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and severe steatogenic (</w:t>
      </w:r>
      <w:r>
        <w:rPr>
          <w:rFonts w:ascii="Calibri" w:hAnsi="Calibri" w:cs="Calibri" w:eastAsia="Calibri"/>
          <w:b/>
          <w:color w:val="auto"/>
          <w:spacing w:val="0"/>
          <w:position w:val="0"/>
          <w:sz w:val="24"/>
          <w:shd w:fill="auto" w:val="clear"/>
        </w:rPr>
        <w:t xml:space="preserve">Figure 4I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conditions were assessed for lipid contents by oil red O staining. Photographs show hepatocyte lipid droplets from 24 h to 4 days.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intended to provide a strategy to study steatosis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 is a powerful tool to study cellular, molecular, biochemical, and toxicological aspects of the cells exposed to different conditions. With this approach, steatosis can be visualized not only as a stage of the complex disease that is MAFLD, but also as the hepatocyte overexposure to lipids and the possible outcomes resulting from such exposure. Therefore, its application is not restricted to the physiopathology of MAFLD, but to the fact that patients with fatty liver are exposed to therapeutic drugs, contaminants, among other conditions that might be affected by steatosis. Thus, this protocol has potential applications in toxicology, pharmacology, and the identification of therapeutic targets for treatment of the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development of this protocol, one of the most critical steps is the preparation of the steatogenic mix: 1 part of palmitate: 2 parts of oleate, which induces steatosis from the day 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allowing hepatocytes to proliferate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despite a modest decrease in viability rate and increased mortality rate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decreased viability should not exceed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since that might represent a toxic effect rather than one that might be followed in the long-term. Hepatic steatosis is the result of a long-term overexposure to lipids. In this sense, lipids accumulate, at first, with mild affections on the hepatocytes, as observed in this model. Another feature is the lipid droplet profile. In mild steatosis, an increased size in lipid droplets is observed during the progression of the culture (</w:t>
      </w:r>
      <w:r>
        <w:rPr>
          <w:rFonts w:ascii="Calibri" w:hAnsi="Calibri" w:cs="Calibri" w:eastAsia="Calibri"/>
          <w:b/>
          <w:color w:val="auto"/>
          <w:spacing w:val="0"/>
          <w:position w:val="0"/>
          <w:sz w:val="24"/>
          <w:shd w:fill="auto" w:val="clear"/>
        </w:rPr>
        <w:t xml:space="preserve">Figure 4E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In severe steatosis, droplet size is considerably higher compared to mild steatosis (</w:t>
      </w:r>
      <w:r>
        <w:rPr>
          <w:rFonts w:ascii="Calibri" w:hAnsi="Calibri" w:cs="Calibri" w:eastAsia="Calibri"/>
          <w:b/>
          <w:color w:val="auto"/>
          <w:spacing w:val="0"/>
          <w:position w:val="0"/>
          <w:sz w:val="24"/>
          <w:shd w:fill="auto" w:val="clear"/>
        </w:rPr>
        <w:t xml:space="preserve">Figure 4I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whereas controls do not show changes in lipid droplet size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preferable to store both the mild and severe steatogenic media at 4 &amp;#176;C for up to a week. Afterward, it is recommended to prepare fresh steatogenic medium. However, the OA stock can be preserved at -20 &amp;#176;C for up to a month, whereas the PA stock can be stored at 4 &amp;#176;C for up to a month. Using these stock solutions after the suggested time might represent a risk of degradation of the fatty acids. To ensure the proper concentration of the solutions before every use, it is recommended to measure fatty acid concentrations by a non-esterified fatty acids (NEFA) assay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 and OA, as well as their respective salts, have been used separately to induce lipid accumulation; however, differences are observed for every fatty acid</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On one hand, palmitate used alone is a good inductor of steatosis. It induces cell death, hepatic insulin resistance, mitochondrial dysfunction, reticular stress</w:t>
      </w:r>
      <w:r>
        <w:rPr>
          <w:rFonts w:ascii="Calibri" w:hAnsi="Calibri" w:cs="Calibri" w:eastAsia="Calibri"/>
          <w:color w:val="auto"/>
          <w:spacing w:val="0"/>
          <w:position w:val="0"/>
          <w:sz w:val="24"/>
          <w:shd w:fill="auto" w:val="clear"/>
          <w:vertAlign w:val="superscript"/>
        </w:rPr>
        <w:t xml:space="preserve">16,34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However, palmitate is highly toxic</w:t>
      </w:r>
      <w:r>
        <w:rPr>
          <w:rFonts w:ascii="Calibri" w:hAnsi="Calibri" w:cs="Calibri" w:eastAsia="Calibri"/>
          <w:color w:val="auto"/>
          <w:spacing w:val="0"/>
          <w:position w:val="0"/>
          <w:sz w:val="24"/>
          <w:shd w:fill="auto" w:val="clear"/>
          <w:vertAlign w:val="superscript"/>
        </w:rPr>
        <w:t xml:space="preserve">16,34</w:t>
      </w:r>
      <w:r>
        <w:rPr>
          <w:rFonts w:ascii="Calibri" w:hAnsi="Calibri" w:cs="Calibri" w:eastAsia="Calibri"/>
          <w:color w:val="auto"/>
          <w:spacing w:val="0"/>
          <w:position w:val="0"/>
          <w:sz w:val="24"/>
          <w:shd w:fill="auto" w:val="clear"/>
        </w:rPr>
        <w:t xml:space="preserve">, and the outcomes expected of using it alone in culture include lower viability and higher mortality compared with the mixture of PA and OA</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On the other hand, oleate also induces steatosis. It induces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lipogenesis, insulin resistance</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and hyperproliferation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However, the outcomes observed with oleate are often milder compared with palmitate and the mixture</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This might be related to its protective role. Oleate is the major component in olive oil, a key ingredient in the Mediterranean diet, one of the well-known successful strategies against MAFLD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might be considered as a nice tool to study steatosis due to its reproducibility and the short time it takes to obtain results. This is in comparison with using experimental models of MAFLD, adding the fact that it does not imply the ethical issues inherent to using rodent models. This protocol allows being followed for several days, provided that steatogenic medium is refreshed every 24 h. This model is also cost-effective and possesses a wide range of applications. It can also be adjusted to other cell lines, not only hepatocytes, but a wide range of cells affected by lipid overexposure during obesity. One of the limitations of this protocol is the use of HepG2 cells. Since this is a carcinogenic cell line, it might conceal or increase some outcomes. However, the application of HepG2 cells in these types of studies is widely accepted due to its resemblance in lipid metabolism to healthy hepatocytes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use of the mixture PA:2OA might also prove to be controversial since it does not fully resemble the profiles of NEFA observed in the blood of NAFLD/MAFLD patients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Other fatty acids, including linolenic or stearic acids, might be included in further modifications and improvements of this protocol. Another limitation is the fact that only one cell type, hepatocytes, is studied, lacking the interaction with other hepatic cells present in the liver, including sinusoidal endothelial, Kupffer, hepatic stellate cells, etc., that are engaged in the progression of MAFLD. Moreover, this is a model to induce steatosis exclusively, with no progression to steatohepatitis and fibrosis.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study provides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 of hepatocyte steatosis that is easy to implement, reproducible, and with a wide range of applications in the study of steatosis as well as the hepatocyte function in the context of fatty liver.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Consejo Nacional de Ciencia y Tecnolog&amp;#237;a (Conacyt, CB-221137). Adriana Campos is a doctoral student at Programa de Doctorado en Ciencias Biom&amp;#233;dicas, Universidad Nacional Aut&amp;#243;noma de M&amp;#233;xico, and was supported by Conacyt (CVU: 1002502).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Younossi, Z. M. Non-alcoholic fatty liver disease - a global public health perspective.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 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Younossi,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perspectives on nonalcoholic fatty liver disease and nonalcoholic steatohepatitis.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2672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Eslam,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new definition for metabolic dysfunction-associated fatty liver disease: An international expert consensus statement.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Eslam, M., Sanyal, A. J., George, J. MAFLD: A consensus-driven proposed nomenclature for metabolic associated fatty liver disease.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(7), 1999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 e1991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Chalasani,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diagnosis and management of nonalcoholic fatty liver disease: Practice guidance from the American association for the study of liver diseases.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Calzadilla Bertot, L., Adams, L. A. The natural course of non-alcoholic fatty liver disease.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774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Reccia,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Non-alcoholic fatty liver disease: A sign of systemic disease. </w:t>
      </w:r>
      <w:r>
        <w:rPr>
          <w:rFonts w:ascii="Calibri" w:hAnsi="Calibri" w:cs="Calibri" w:eastAsia="Calibri"/>
          <w:i/>
          <w:color w:val="auto"/>
          <w:spacing w:val="0"/>
          <w:position w:val="0"/>
          <w:sz w:val="24"/>
          <w:shd w:fill="auto" w:val="clear"/>
        </w:rPr>
        <w:t xml:space="preserve">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Tomita,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Free cholesterol accumulation in hepatic stellate cells: Mechanism of liver fibrosis aggravation in nonalcoholic steatohepatitis in mice.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Byrne, C. D., Targher, G. Nafld: A multisystem disease.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Suppl), S47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Ipsen, D. H., Lykkesfeldt, J., Tveden-Nyborg, P. Molecular mechanisms of hepatic lipid accumulation in non-alcoholic fatty liver disease.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(18), 3313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Diehl, A. M., Day, C. Cause, pathogenesis, and treatment of nonalcoholic steatohepatitis.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(21), 2063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Zeng,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Oleic acid ameliorates palmitic acid induced hepatocellular lipotoxicity by inhibition of ER stress and pyroptosis. </w:t>
      </w:r>
      <w:r>
        <w:rPr>
          <w:rFonts w:ascii="Calibri" w:hAnsi="Calibri" w:cs="Calibri" w:eastAsia="Calibri"/>
          <w:i/>
          <w:color w:val="auto"/>
          <w:spacing w:val="0"/>
          <w:position w:val="0"/>
          <w:sz w:val="24"/>
          <w:shd w:fill="auto" w:val="clear"/>
        </w:rPr>
        <w:t xml:space="preserve">Nutrition and Metabolism (London)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Ore, A., Akinloye, O. A. Oxidative stress and antioxidant biomarkers in clinical and experimental models of non-alcoholic fatty liver disease. </w:t>
      </w:r>
      <w:r>
        <w:rPr>
          <w:rFonts w:ascii="Calibri" w:hAnsi="Calibri" w:cs="Calibri" w:eastAsia="Calibri"/>
          <w:i/>
          <w:color w:val="auto"/>
          <w:spacing w:val="0"/>
          <w:position w:val="0"/>
          <w:sz w:val="24"/>
          <w:shd w:fill="auto" w:val="clear"/>
        </w:rPr>
        <w:t xml:space="preserve">Medicina (Kaunas)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Paradies, G., Paradies, V., Ruggiero, F. M., Petrosillo, G. Oxidative stress, cardiolipin and mitochondrial dysfunction in nonalcoholic fatty liver disease.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(39), 14205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Aravinthan,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Hepatocyte senescence predicts progression in non-alcohol-related fatty liver disease.</w:t>
      </w:r>
      <w:r>
        <w:rPr>
          <w:rFonts w:ascii="Calibri" w:hAnsi="Calibri" w:cs="Calibri" w:eastAsia="Calibri"/>
          <w:i/>
          <w:color w:val="auto"/>
          <w:spacing w:val="0"/>
          <w:position w:val="0"/>
          <w:sz w:val="24"/>
          <w:shd w:fill="auto" w:val="clear"/>
        </w:rPr>
        <w:t xml:space="preserve"> 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Gomez,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human hepatocellular in vitro model to investigate steatosis. </w:t>
      </w:r>
      <w:r>
        <w:rPr>
          <w:rFonts w:ascii="Calibri" w:hAnsi="Calibri" w:cs="Calibri" w:eastAsia="Calibri"/>
          <w:i/>
          <w:color w:val="auto"/>
          <w:spacing w:val="0"/>
          <w:position w:val="0"/>
          <w:sz w:val="24"/>
          <w:shd w:fill="auto" w:val="clear"/>
        </w:rPr>
        <w:t xml:space="preserve">Chemico Biological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(2),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Wu, W. K. K., Zhang, L., Chan, M. T. V. Autophagy, NAFLD and NAFLD-related HCC.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1061</w:t>
      </w:r>
      <w:r>
        <w:rPr>
          <w:rFonts w:ascii="Calibri" w:hAnsi="Calibri" w:cs="Calibri" w:eastAsia="Calibri"/>
          <w:color w:val="auto"/>
          <w:spacing w:val="0"/>
          <w:position w:val="0"/>
          <w:sz w:val="24"/>
          <w:shd w:fill="auto" w:val="clear"/>
        </w:rPr>
        <w:t xml:space="preserve">,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Levy, G., Cohen, M., Nahmias, Y. In vitro cell culture models of hepatic steatosis.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1250</w:t>
      </w:r>
      <w:r>
        <w:rPr>
          <w:rFonts w:ascii="Calibri" w:hAnsi="Calibri" w:cs="Calibri" w:eastAsia="Calibri"/>
          <w:color w:val="auto"/>
          <w:spacing w:val="0"/>
          <w:position w:val="0"/>
          <w:sz w:val="24"/>
          <w:shd w:fill="auto" w:val="clear"/>
        </w:rPr>
        <w:t xml:space="preserve">,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Kanuri, G., Bergheim, I. In vitro and in vivo models of non-alcoholic fatty liver disease (NAFLD).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11963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11980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Ricchi,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Differential effect of oleic and palmitic acid on lipid accumulation and apoptosis in cultured hepatocytes. </w:t>
      </w:r>
      <w:r>
        <w:rPr>
          <w:rFonts w:ascii="Calibri" w:hAnsi="Calibri" w:cs="Calibri" w:eastAsia="Calibri"/>
          <w:i/>
          <w:color w:val="auto"/>
          <w:spacing w:val="0"/>
          <w:position w:val="0"/>
          <w:sz w:val="24"/>
          <w:shd w:fill="auto" w:val="clear"/>
        </w:rPr>
        <w:t xml:space="preserve">Journal of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Serial biomarkers of de novo lipogenesis fatty acids and incident heart failure in older adults: The cardiovascular health study.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e014119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Alnahdi, A., John, A., Raza, H. Augmentation of glucotoxicity, oxidative stress, apoptosis and mitochondrial dysfunction in Hepg2 cells by palmitic acid.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1979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Chen,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Oleic acid protects saturated fatty acid mediated lipotoxicity in hepatocytes and rat of non-alcoholic steatohepatitis.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Xing,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NLRP3 inflammasome mediate palmitate-induced endothelial dysfunction.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116882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Yan,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Insulin-like Growth Factor Binding Protein 7 accelerates hepatic steatosis and insulin resistance in non-alcoholic fatty liver disease. </w:t>
      </w:r>
      <w:r>
        <w:rPr>
          <w:rFonts w:ascii="Calibri" w:hAnsi="Calibri" w:cs="Calibri" w:eastAsia="Calibri"/>
          <w:i/>
          <w:color w:val="auto"/>
          <w:spacing w:val="0"/>
          <w:position w:val="0"/>
          <w:sz w:val="24"/>
          <w:shd w:fill="auto" w:val="clear"/>
        </w:rPr>
        <w:t xml:space="preserve">Clinical and Experimental Pharmacology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(12), 1101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Wang, J., Hu, R., Yin, C., Xiao, Y. Tanshinone IIA reduces palmitate-induced apoptosis via inhibition of endoplasmic reticulum stress in Hepg2 liver cells. </w:t>
      </w:r>
      <w:r>
        <w:rPr>
          <w:rFonts w:ascii="Calibri" w:hAnsi="Calibri" w:cs="Calibri" w:eastAsia="Calibri"/>
          <w:i/>
          <w:color w:val="auto"/>
          <w:spacing w:val="0"/>
          <w:position w:val="0"/>
          <w:sz w:val="24"/>
          <w:shd w:fill="auto" w:val="clear"/>
        </w:rPr>
        <w:t xml:space="preserve">Fundamental and Clinical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Xiao, Z., Chu, Y., Qin, W. IGFBP5 modulates lipid metabolism and insulin sensitivity through activating ampk pathway in non-alcoholic fatty liver disease.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117997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Avila, G. et al. In vitro effects of conjugated linoleic acid (CLA) on inflammatory functions of bovine monocytes.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(9), 8554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Malhi, H., Bronk, S. F., Werneburg, N. W., Gores, G. J. Free fatty acids induce JNK-dependent hepatocyte lipoapoptosis.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(17), 12093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Oh,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palmitic acid on TNF-alpha-induced cytotoxicity in SK-Hep-1 cells. </w:t>
      </w:r>
      <w:r>
        <w:rPr>
          <w:rFonts w:ascii="Calibri" w:hAnsi="Calibri" w:cs="Calibri" w:eastAsia="Calibri"/>
          <w:i/>
          <w:color w:val="auto"/>
          <w:spacing w:val="0"/>
          <w:position w:val="0"/>
          <w:sz w:val="24"/>
          <w:shd w:fill="auto" w:val="clear"/>
        </w:rPr>
        <w:t xml:space="preserve">Toxicology In Vitro: An International Journal Published in Association with BIBRA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Stellavato, A. et al. In vitro assessment of nutraceutical compounds and novel nutraceutical formulations in a liver-steatosis-based model. </w:t>
      </w:r>
      <w:r>
        <w:rPr>
          <w:rFonts w:ascii="Calibri" w:hAnsi="Calibri" w:cs="Calibri" w:eastAsia="Calibri"/>
          <w:i/>
          <w:color w:val="auto"/>
          <w:spacing w:val="0"/>
          <w:position w:val="0"/>
          <w:sz w:val="24"/>
          <w:shd w:fill="auto" w:val="clear"/>
        </w:rPr>
        <w:t xml:space="preserve">Lipids in Health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Pachikian, B.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Implication of trans-11, trans-13 conjugated linoleic acid in the development of hepatic steatosis.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e0192447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Ferreira, T. Rasband, W. Analyze in </w:t>
      </w:r>
      <w:r>
        <w:rPr>
          <w:rFonts w:ascii="Calibri" w:hAnsi="Calibri" w:cs="Calibri" w:eastAsia="Calibri"/>
          <w:i/>
          <w:color w:val="auto"/>
          <w:spacing w:val="0"/>
          <w:position w:val="0"/>
          <w:sz w:val="24"/>
          <w:shd w:fill="auto" w:val="clear"/>
        </w:rPr>
        <w:t xml:space="preserve">ImageJ User Guide</w:t>
      </w:r>
      <w:r>
        <w:rPr>
          <w:rFonts w:ascii="Calibri" w:hAnsi="Calibri" w:cs="Calibri" w:eastAsia="Calibri"/>
          <w:color w:val="auto"/>
          <w:spacing w:val="0"/>
          <w:position w:val="0"/>
          <w:sz w:val="24"/>
          <w:shd w:fill="auto" w:val="clear"/>
        </w:rPr>
        <w:t xml:space="preserve">. Ch. 30,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Geng, Y., Wu, Z., Buist-Homan, M., Blokzijl, H., Moshage, H. Hesperetin protects against palmitate-induced cellular toxicity via induction of GRP78 in hepatocytes.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404</w:t>
      </w:r>
      <w:r>
        <w:rPr>
          <w:rFonts w:ascii="Calibri" w:hAnsi="Calibri" w:cs="Calibri" w:eastAsia="Calibri"/>
          <w:color w:val="auto"/>
          <w:spacing w:val="0"/>
          <w:position w:val="0"/>
          <w:sz w:val="24"/>
          <w:shd w:fill="auto" w:val="clear"/>
        </w:rPr>
        <w:t xml:space="preserve">, 115183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Geng,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Protective effect of metformin against palmitate-induced hepatic cell death. </w:t>
      </w:r>
      <w:r>
        <w:rPr>
          <w:rFonts w:ascii="Calibri" w:hAnsi="Calibri" w:cs="Calibri" w:eastAsia="Calibri"/>
          <w:i/>
          <w:color w:val="auto"/>
          <w:spacing w:val="0"/>
          <w:position w:val="0"/>
          <w:sz w:val="24"/>
          <w:shd w:fill="auto" w:val="clear"/>
        </w:rPr>
        <w:t xml:space="preserve">Biochimica et Biophysica Acta - Molecular Basis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1866</w:t>
      </w:r>
      <w:r>
        <w:rPr>
          <w:rFonts w:ascii="Calibri" w:hAnsi="Calibri" w:cs="Calibri" w:eastAsia="Calibri"/>
          <w:color w:val="auto"/>
          <w:spacing w:val="0"/>
          <w:position w:val="0"/>
          <w:sz w:val="24"/>
          <w:shd w:fill="auto" w:val="clear"/>
        </w:rPr>
        <w:t xml:space="preserve"> (3), 165621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Sarnyai,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cis- and trans-monounsaturated fatty acids on palmitate toxicity and on palmitate-induced accumulation of ceramides and diglycerides.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2626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Chen, J.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Tetrahydrocurcumin ameliorates free fatty acid-induced hepatic steatosis and improves insulin resistance in HepG2 cells. </w:t>
      </w:r>
      <w:r>
        <w:rPr>
          <w:rFonts w:ascii="Calibri" w:hAnsi="Calibri" w:cs="Calibri" w:eastAsia="Calibri"/>
          <w:i/>
          <w:color w:val="auto"/>
          <w:spacing w:val="0"/>
          <w:position w:val="0"/>
          <w:sz w:val="24"/>
          <w:shd w:fill="auto" w:val="clear"/>
        </w:rPr>
        <w:t xml:space="preserve">Journal of Food and Drug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1075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Burhans,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Hepatic oleate regulates adipose tissue lipogenesis and fatty acid oxidation.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Abenavoli, L., Milanovic, M., Milic, N., Luzza, F., Giuffre, A. M. Olive oil antioxidants and non-alcoholic fatty liver disease. </w:t>
      </w:r>
      <w:r>
        <w:rPr>
          <w:rFonts w:ascii="Calibri" w:hAnsi="Calibri" w:cs="Calibri" w:eastAsia="Calibri"/>
          <w:i/>
          <w:color w:val="auto"/>
          <w:spacing w:val="0"/>
          <w:position w:val="0"/>
          <w:sz w:val="24"/>
          <w:shd w:fill="auto" w:val="clear"/>
        </w:rPr>
        <w:t xml:space="preserve">Expert Reviews in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Nagarajan, S.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Lipid and glucose metabolism in hepatocyte cell lines and primary mouse hepatocytes: A comprehensive resource for in vitro studies of hepatic metabolism. </w:t>
      </w:r>
      <w:r>
        <w:rPr>
          <w:rFonts w:ascii="Calibri" w:hAnsi="Calibri" w:cs="Calibri" w:eastAsia="Calibri"/>
          <w:i/>
          <w:color w:val="auto"/>
          <w:spacing w:val="0"/>
          <w:position w:val="0"/>
          <w:sz w:val="24"/>
          <w:shd w:fill="auto" w:val="clear"/>
        </w:rPr>
        <w:t xml:space="preserve">American Journal of Physiology -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(4), E578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E589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Hodson, L., Skeaff, C. M., Fielding, B. A. Fatty acid composition of adipose tissue and blood in humans and its use as a biomarker of dietary intake. </w:t>
      </w:r>
      <w:r>
        <w:rPr>
          <w:rFonts w:ascii="Calibri" w:hAnsi="Calibri" w:cs="Calibri" w:eastAsia="Calibri"/>
          <w:i/>
          <w:color w:val="auto"/>
          <w:spacing w:val="0"/>
          <w:position w:val="0"/>
          <w:sz w:val="24"/>
          <w:shd w:fill="auto" w:val="clear"/>
        </w:rPr>
        <w:t xml:space="preserve">Progress in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(2008).</w:t>
      </w:r>
    </w:p>
    <w:p>
      <w:pPr>
        <w:widowControl w:val="false"/>
        <w:spacing w:before="0" w:after="160" w:line="259"/>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