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2938ED" w14:textId="4B315566" w:rsidR="00750FDF" w:rsidRPr="004A6846" w:rsidRDefault="00551D82">
      <w:pPr>
        <w:pBdr>
          <w:top w:val="nil"/>
          <w:left w:val="nil"/>
          <w:bottom w:val="nil"/>
          <w:right w:val="nil"/>
          <w:between w:val="nil"/>
        </w:pBdr>
        <w:rPr>
          <w:color w:val="000000"/>
        </w:rPr>
      </w:pPr>
      <w:r w:rsidRPr="003F7539">
        <w:rPr>
          <w:b/>
          <w:color w:val="000000"/>
        </w:rPr>
        <w:t>TITLE:</w:t>
      </w:r>
    </w:p>
    <w:p w14:paraId="25799977" w14:textId="3EA603BF" w:rsidR="006E4797" w:rsidRPr="003F7539" w:rsidRDefault="006C4059">
      <w:r w:rsidRPr="003E0321">
        <w:t xml:space="preserve">Analysis of SAMHD1 </w:t>
      </w:r>
      <w:r w:rsidR="00563BB2" w:rsidRPr="003E0321">
        <w:t xml:space="preserve">Restriction </w:t>
      </w:r>
      <w:r w:rsidRPr="003E0321">
        <w:t xml:space="preserve">by </w:t>
      </w:r>
      <w:r w:rsidR="00563BB2" w:rsidRPr="003E0321">
        <w:t xml:space="preserve">Flow Cytometry </w:t>
      </w:r>
      <w:r w:rsidRPr="003E0321">
        <w:t xml:space="preserve">in </w:t>
      </w:r>
      <w:r w:rsidR="00563BB2" w:rsidRPr="003E0321">
        <w:t xml:space="preserve">Human Myeloid </w:t>
      </w:r>
      <w:r w:rsidRPr="003E0321">
        <w:t xml:space="preserve">U937 </w:t>
      </w:r>
      <w:r w:rsidR="00563BB2" w:rsidRPr="003E0321">
        <w:t>Cells</w:t>
      </w:r>
    </w:p>
    <w:p w14:paraId="45013B01" w14:textId="44752E35" w:rsidR="006E4797" w:rsidRPr="003F7539" w:rsidRDefault="006E4797">
      <w:pPr>
        <w:rPr>
          <w:b/>
        </w:rPr>
      </w:pPr>
    </w:p>
    <w:p w14:paraId="78F3786B" w14:textId="7A1154AF" w:rsidR="00750FDF" w:rsidRPr="003F7539" w:rsidRDefault="00551D82">
      <w:pPr>
        <w:rPr>
          <w:color w:val="808080"/>
        </w:rPr>
      </w:pPr>
      <w:r w:rsidRPr="003F7539">
        <w:rPr>
          <w:b/>
        </w:rPr>
        <w:t>AUTHORS AND AFFILIATIONS:</w:t>
      </w:r>
    </w:p>
    <w:p w14:paraId="2F5FA592" w14:textId="0FFDC8D7" w:rsidR="006E4797" w:rsidRPr="003F7539" w:rsidRDefault="00563BB2">
      <w:pPr>
        <w:rPr>
          <w:vertAlign w:val="superscript"/>
        </w:rPr>
      </w:pPr>
      <w:r w:rsidRPr="003F7539">
        <w:t xml:space="preserve">Paula </w:t>
      </w:r>
      <w:r w:rsidR="006C4059" w:rsidRPr="003F7539">
        <w:t>Ordonez</w:t>
      </w:r>
      <w:r w:rsidR="006C4059" w:rsidRPr="003F7539">
        <w:rPr>
          <w:vertAlign w:val="superscript"/>
        </w:rPr>
        <w:t>1</w:t>
      </w:r>
      <w:r w:rsidR="006C4059" w:rsidRPr="003F7539">
        <w:t xml:space="preserve">, </w:t>
      </w:r>
      <w:r w:rsidRPr="003F7539">
        <w:t xml:space="preserve">Kate </w:t>
      </w:r>
      <w:r w:rsidR="006C4059" w:rsidRPr="003F7539">
        <w:t>Bishop</w:t>
      </w:r>
      <w:r w:rsidR="00A970F3" w:rsidRPr="003F7539">
        <w:rPr>
          <w:vertAlign w:val="superscript"/>
        </w:rPr>
        <w:t>2</w:t>
      </w:r>
      <w:r w:rsidR="00D66BEA" w:rsidRPr="003F7539">
        <w:t>*</w:t>
      </w:r>
      <w:r w:rsidR="006C4059" w:rsidRPr="003F7539">
        <w:t xml:space="preserve">, </w:t>
      </w:r>
      <w:r w:rsidRPr="003F7539">
        <w:t xml:space="preserve">Jonathan </w:t>
      </w:r>
      <w:r w:rsidR="006C4059" w:rsidRPr="003F7539">
        <w:t>Stoye</w:t>
      </w:r>
      <w:r w:rsidR="006C4059" w:rsidRPr="003F7539">
        <w:rPr>
          <w:vertAlign w:val="superscript"/>
        </w:rPr>
        <w:t>1</w:t>
      </w:r>
      <w:r w:rsidR="00D66BEA" w:rsidRPr="003F7539">
        <w:t>*</w:t>
      </w:r>
      <w:r w:rsidR="006C4059" w:rsidRPr="003F7539">
        <w:t xml:space="preserve">, </w:t>
      </w:r>
      <w:r w:rsidRPr="003F7539">
        <w:t xml:space="preserve">Harriet Cordelia </w:t>
      </w:r>
      <w:proofErr w:type="spellStart"/>
      <w:r w:rsidRPr="003F7539">
        <w:t>Theed</w:t>
      </w:r>
      <w:proofErr w:type="spellEnd"/>
      <w:r w:rsidRPr="003F7539">
        <w:t xml:space="preserve"> </w:t>
      </w:r>
      <w:r w:rsidR="006C4059" w:rsidRPr="003F7539">
        <w:t>Groom</w:t>
      </w:r>
      <w:r w:rsidR="00A479B0" w:rsidRPr="003F7539">
        <w:rPr>
          <w:vertAlign w:val="superscript"/>
        </w:rPr>
        <w:t>3</w:t>
      </w:r>
      <w:r w:rsidR="00EA1833" w:rsidRPr="003F7539">
        <w:t>*</w:t>
      </w:r>
    </w:p>
    <w:p w14:paraId="035F9FE5" w14:textId="77777777" w:rsidR="006C4059" w:rsidRPr="003F7539" w:rsidRDefault="006C4059">
      <w:pPr>
        <w:rPr>
          <w:vertAlign w:val="superscript"/>
        </w:rPr>
      </w:pPr>
    </w:p>
    <w:p w14:paraId="414D1E7A" w14:textId="01EA7A20" w:rsidR="00A970F3" w:rsidRPr="003F7539" w:rsidRDefault="00563BB2">
      <w:pPr>
        <w:pBdr>
          <w:top w:val="nil"/>
          <w:left w:val="nil"/>
          <w:bottom w:val="nil"/>
          <w:right w:val="nil"/>
          <w:between w:val="nil"/>
        </w:pBdr>
        <w:rPr>
          <w:color w:val="000000"/>
        </w:rPr>
      </w:pPr>
      <w:r w:rsidRPr="003F7539">
        <w:rPr>
          <w:bCs/>
          <w:color w:val="000000"/>
          <w:vertAlign w:val="superscript"/>
        </w:rPr>
        <w:t>1</w:t>
      </w:r>
      <w:r w:rsidR="00A970F3" w:rsidRPr="003F7539">
        <w:rPr>
          <w:color w:val="000000"/>
        </w:rPr>
        <w:t xml:space="preserve">Retrovirus-Host Interactions Laboratory, </w:t>
      </w:r>
      <w:r w:rsidR="00A479B0" w:rsidRPr="003F7539">
        <w:rPr>
          <w:color w:val="000000"/>
        </w:rPr>
        <w:t>T</w:t>
      </w:r>
      <w:r w:rsidR="00A970F3" w:rsidRPr="003F7539">
        <w:rPr>
          <w:color w:val="000000"/>
        </w:rPr>
        <w:t>he Francis Crick Institute, 1 Midland Road, London</w:t>
      </w:r>
      <w:r w:rsidRPr="003F7539">
        <w:rPr>
          <w:color w:val="000000"/>
        </w:rPr>
        <w:t>, UK</w:t>
      </w:r>
    </w:p>
    <w:p w14:paraId="73CE9404" w14:textId="0F145218" w:rsidR="00A970F3" w:rsidRPr="003F7539" w:rsidRDefault="00563BB2">
      <w:pPr>
        <w:pBdr>
          <w:top w:val="nil"/>
          <w:left w:val="nil"/>
          <w:bottom w:val="nil"/>
          <w:right w:val="nil"/>
          <w:between w:val="nil"/>
        </w:pBdr>
        <w:rPr>
          <w:color w:val="000000"/>
        </w:rPr>
      </w:pPr>
      <w:r w:rsidRPr="003F7539">
        <w:rPr>
          <w:color w:val="000000"/>
          <w:vertAlign w:val="superscript"/>
        </w:rPr>
        <w:t>2</w:t>
      </w:r>
      <w:r w:rsidR="00A970F3" w:rsidRPr="003F7539">
        <w:rPr>
          <w:color w:val="000000"/>
        </w:rPr>
        <w:t xml:space="preserve">Retroviral Replication Laboratory, </w:t>
      </w:r>
      <w:r w:rsidR="00A479B0" w:rsidRPr="003F7539">
        <w:rPr>
          <w:color w:val="000000"/>
        </w:rPr>
        <w:t>T</w:t>
      </w:r>
      <w:r w:rsidR="00A970F3" w:rsidRPr="003F7539">
        <w:rPr>
          <w:color w:val="000000"/>
        </w:rPr>
        <w:t>he Francis Crick Institute,</w:t>
      </w:r>
      <w:r w:rsidR="00A479B0" w:rsidRPr="003F7539">
        <w:rPr>
          <w:color w:val="000000"/>
        </w:rPr>
        <w:t xml:space="preserve"> 1 Midland Road, London</w:t>
      </w:r>
      <w:r w:rsidRPr="003F7539">
        <w:rPr>
          <w:color w:val="000000"/>
        </w:rPr>
        <w:t>, UK</w:t>
      </w:r>
    </w:p>
    <w:p w14:paraId="4D830F82" w14:textId="3259DDF6" w:rsidR="00A479B0" w:rsidRPr="003F7539" w:rsidRDefault="00563BB2">
      <w:pPr>
        <w:pBdr>
          <w:top w:val="nil"/>
          <w:left w:val="nil"/>
          <w:bottom w:val="nil"/>
          <w:right w:val="nil"/>
          <w:between w:val="nil"/>
        </w:pBdr>
        <w:rPr>
          <w:color w:val="000000"/>
        </w:rPr>
      </w:pPr>
      <w:r w:rsidRPr="003F7539">
        <w:rPr>
          <w:color w:val="000000"/>
          <w:vertAlign w:val="superscript"/>
        </w:rPr>
        <w:t>3</w:t>
      </w:r>
      <w:r w:rsidR="00A479B0" w:rsidRPr="003F7539">
        <w:rPr>
          <w:color w:val="000000"/>
        </w:rPr>
        <w:t>Sidney Sussex College, Depa</w:t>
      </w:r>
      <w:r w:rsidR="00591270" w:rsidRPr="003F7539">
        <w:rPr>
          <w:color w:val="000000"/>
        </w:rPr>
        <w:t>r</w:t>
      </w:r>
      <w:r w:rsidR="00A479B0" w:rsidRPr="003F7539">
        <w:rPr>
          <w:color w:val="000000"/>
        </w:rPr>
        <w:t>tment of Medicine, University of Cambridge</w:t>
      </w:r>
      <w:r w:rsidRPr="003F7539">
        <w:rPr>
          <w:color w:val="000000"/>
        </w:rPr>
        <w:t>, Cambridge, UK</w:t>
      </w:r>
    </w:p>
    <w:p w14:paraId="2985D110" w14:textId="053BB669" w:rsidR="00A970F3" w:rsidRPr="003F7539" w:rsidRDefault="00A970F3">
      <w:pPr>
        <w:pBdr>
          <w:top w:val="nil"/>
          <w:left w:val="nil"/>
          <w:bottom w:val="nil"/>
          <w:right w:val="nil"/>
          <w:between w:val="nil"/>
        </w:pBdr>
        <w:rPr>
          <w:b/>
          <w:color w:val="000000"/>
        </w:rPr>
      </w:pPr>
    </w:p>
    <w:p w14:paraId="2533711A" w14:textId="77777777" w:rsidR="00563BB2" w:rsidRPr="003F7539" w:rsidRDefault="00563BB2" w:rsidP="00563BB2">
      <w:pPr>
        <w:rPr>
          <w:color w:val="000000" w:themeColor="text1"/>
        </w:rPr>
      </w:pPr>
      <w:r w:rsidRPr="003F7539">
        <w:rPr>
          <w:color w:val="000000" w:themeColor="text1"/>
        </w:rPr>
        <w:t>Email addresses of co-authors:</w:t>
      </w:r>
    </w:p>
    <w:p w14:paraId="3E5E3DFD" w14:textId="1B5BD8E5" w:rsidR="00A13C2F" w:rsidRPr="003F7539" w:rsidRDefault="00563BB2">
      <w:pPr>
        <w:pBdr>
          <w:top w:val="nil"/>
          <w:left w:val="nil"/>
          <w:bottom w:val="nil"/>
          <w:right w:val="nil"/>
          <w:between w:val="nil"/>
        </w:pBdr>
        <w:rPr>
          <w:color w:val="000000"/>
        </w:rPr>
      </w:pPr>
      <w:r w:rsidRPr="003F7539">
        <w:t>Paula Ordonez</w:t>
      </w:r>
      <w:r w:rsidR="0021531E" w:rsidRPr="003F7539">
        <w:rPr>
          <w:color w:val="000000"/>
        </w:rPr>
        <w:tab/>
      </w:r>
      <w:r w:rsidRPr="003F7539">
        <w:rPr>
          <w:color w:val="000000"/>
        </w:rPr>
        <w:tab/>
      </w:r>
      <w:r w:rsidRPr="003F7539">
        <w:rPr>
          <w:color w:val="000000"/>
        </w:rPr>
        <w:tab/>
      </w:r>
      <w:r w:rsidRPr="003F7539">
        <w:rPr>
          <w:color w:val="000000"/>
        </w:rPr>
        <w:tab/>
        <w:t>(</w:t>
      </w:r>
      <w:r w:rsidRPr="003F7539">
        <w:t>Paula.Ordonez-Suarez@crick.ac.uk)</w:t>
      </w:r>
    </w:p>
    <w:p w14:paraId="6BF8DCEB" w14:textId="790DC6F9" w:rsidR="00A13C2F" w:rsidRPr="004A6846" w:rsidRDefault="00563BB2">
      <w:pPr>
        <w:pBdr>
          <w:top w:val="nil"/>
          <w:left w:val="nil"/>
          <w:bottom w:val="nil"/>
          <w:right w:val="nil"/>
          <w:between w:val="nil"/>
        </w:pBdr>
        <w:rPr>
          <w:color w:val="000000"/>
        </w:rPr>
      </w:pPr>
      <w:r w:rsidRPr="003F7539">
        <w:t>Kate Bishop</w:t>
      </w:r>
      <w:r w:rsidRPr="003F7539">
        <w:tab/>
      </w:r>
      <w:r w:rsidRPr="003F7539">
        <w:tab/>
      </w:r>
      <w:r w:rsidRPr="003F7539">
        <w:tab/>
      </w:r>
      <w:r w:rsidRPr="003F7539">
        <w:tab/>
        <w:t>(</w:t>
      </w:r>
      <w:hyperlink r:id="rId8" w:history="1"/>
      <w:r w:rsidRPr="003F7539">
        <w:t>Kate.Bishop@crick.ac.uk</w:t>
      </w:r>
      <w:r w:rsidRPr="004A6846">
        <w:t>)</w:t>
      </w:r>
    </w:p>
    <w:p w14:paraId="03AA9F69" w14:textId="2D9C96AC" w:rsidR="00A970F3" w:rsidRPr="004A6846" w:rsidRDefault="0021531E">
      <w:pPr>
        <w:pBdr>
          <w:top w:val="nil"/>
          <w:left w:val="nil"/>
          <w:bottom w:val="nil"/>
          <w:right w:val="nil"/>
          <w:between w:val="nil"/>
        </w:pBdr>
        <w:rPr>
          <w:rStyle w:val="Hyperlink"/>
        </w:rPr>
      </w:pPr>
      <w:r w:rsidRPr="003E0321">
        <w:t xml:space="preserve">Jonathan </w:t>
      </w:r>
      <w:proofErr w:type="spellStart"/>
      <w:r w:rsidRPr="003E0321">
        <w:t>Stoye</w:t>
      </w:r>
      <w:proofErr w:type="spellEnd"/>
      <w:r w:rsidR="00563BB2" w:rsidRPr="003F7539">
        <w:tab/>
      </w:r>
      <w:r w:rsidR="00563BB2" w:rsidRPr="003F7539">
        <w:tab/>
      </w:r>
      <w:r w:rsidR="00563BB2" w:rsidRPr="003F7539">
        <w:tab/>
        <w:t>(</w:t>
      </w:r>
      <w:hyperlink r:id="rId9" w:history="1"/>
      <w:r w:rsidR="00563BB2" w:rsidRPr="003F7539">
        <w:t>Jonathan.Stoye@crick.ac.uk</w:t>
      </w:r>
      <w:r w:rsidR="00563BB2" w:rsidRPr="004A6846">
        <w:t>)</w:t>
      </w:r>
    </w:p>
    <w:p w14:paraId="18832B0E" w14:textId="79B49B21" w:rsidR="00563BB2" w:rsidRPr="003F7539" w:rsidRDefault="0021531E">
      <w:pPr>
        <w:pBdr>
          <w:top w:val="nil"/>
          <w:left w:val="nil"/>
          <w:bottom w:val="nil"/>
          <w:right w:val="nil"/>
          <w:between w:val="nil"/>
        </w:pBdr>
        <w:rPr>
          <w:color w:val="000000"/>
        </w:rPr>
      </w:pPr>
      <w:r w:rsidRPr="003F7539">
        <w:t xml:space="preserve">Harriet Cordelia </w:t>
      </w:r>
      <w:proofErr w:type="spellStart"/>
      <w:r w:rsidRPr="003F7539">
        <w:t>Theed</w:t>
      </w:r>
      <w:proofErr w:type="spellEnd"/>
      <w:r w:rsidRPr="003F7539">
        <w:t xml:space="preserve"> Groom</w:t>
      </w:r>
      <w:r w:rsidRPr="003F7539">
        <w:rPr>
          <w:vertAlign w:val="superscript"/>
        </w:rPr>
        <w:tab/>
      </w:r>
      <w:r w:rsidRPr="003F7539">
        <w:t>(Hctg2@cam.ac.uk)</w:t>
      </w:r>
    </w:p>
    <w:p w14:paraId="601A0151" w14:textId="77777777" w:rsidR="0021531E" w:rsidRPr="003F7539" w:rsidRDefault="0021531E">
      <w:pPr>
        <w:pBdr>
          <w:top w:val="nil"/>
          <w:left w:val="nil"/>
          <w:bottom w:val="nil"/>
          <w:right w:val="nil"/>
          <w:between w:val="nil"/>
        </w:pBdr>
        <w:rPr>
          <w:color w:val="000000"/>
        </w:rPr>
      </w:pPr>
    </w:p>
    <w:p w14:paraId="0885203E" w14:textId="569D8BAF" w:rsidR="00563BB2" w:rsidRPr="003F7539" w:rsidRDefault="0099129F" w:rsidP="00747A19">
      <w:pPr>
        <w:rPr>
          <w:b/>
          <w:bCs/>
          <w:color w:val="000000" w:themeColor="text1"/>
        </w:rPr>
      </w:pPr>
      <w:r w:rsidRPr="003F7539">
        <w:rPr>
          <w:color w:val="000000" w:themeColor="text1"/>
        </w:rPr>
        <w:t>*</w:t>
      </w:r>
      <w:r w:rsidR="00563BB2" w:rsidRPr="003F7539">
        <w:rPr>
          <w:color w:val="000000" w:themeColor="text1"/>
        </w:rPr>
        <w:t>Corresponding authors:</w:t>
      </w:r>
    </w:p>
    <w:p w14:paraId="1BD5F165" w14:textId="77777777" w:rsidR="00297CA7" w:rsidRPr="004A6846" w:rsidRDefault="00297CA7" w:rsidP="00297CA7">
      <w:pPr>
        <w:pBdr>
          <w:top w:val="nil"/>
          <w:left w:val="nil"/>
          <w:bottom w:val="nil"/>
          <w:right w:val="nil"/>
          <w:between w:val="nil"/>
        </w:pBdr>
        <w:rPr>
          <w:color w:val="000000"/>
        </w:rPr>
      </w:pPr>
      <w:r w:rsidRPr="003F7539">
        <w:t>Kate Bishop</w:t>
      </w:r>
      <w:r w:rsidRPr="003F7539">
        <w:tab/>
      </w:r>
      <w:r w:rsidRPr="003F7539">
        <w:tab/>
      </w:r>
      <w:r w:rsidRPr="003F7539">
        <w:tab/>
      </w:r>
      <w:r w:rsidRPr="003F7539">
        <w:tab/>
        <w:t>(</w:t>
      </w:r>
      <w:hyperlink r:id="rId10" w:history="1"/>
      <w:r w:rsidRPr="003F7539">
        <w:t>Kate.Bishop@crick.ac.uk</w:t>
      </w:r>
      <w:r w:rsidRPr="004A6846">
        <w:t>)</w:t>
      </w:r>
    </w:p>
    <w:p w14:paraId="799A6317" w14:textId="77777777" w:rsidR="00297CA7" w:rsidRPr="004A6846" w:rsidRDefault="00297CA7" w:rsidP="00297CA7">
      <w:pPr>
        <w:pBdr>
          <w:top w:val="nil"/>
          <w:left w:val="nil"/>
          <w:bottom w:val="nil"/>
          <w:right w:val="nil"/>
          <w:between w:val="nil"/>
        </w:pBdr>
        <w:rPr>
          <w:rStyle w:val="Hyperlink"/>
        </w:rPr>
      </w:pPr>
      <w:r w:rsidRPr="003E0321">
        <w:t xml:space="preserve">Jonathan </w:t>
      </w:r>
      <w:proofErr w:type="spellStart"/>
      <w:r w:rsidRPr="003E0321">
        <w:t>Stoye</w:t>
      </w:r>
      <w:proofErr w:type="spellEnd"/>
      <w:r w:rsidRPr="003F7539">
        <w:tab/>
      </w:r>
      <w:r w:rsidRPr="003F7539">
        <w:tab/>
      </w:r>
      <w:r w:rsidRPr="003F7539">
        <w:tab/>
        <w:t>(</w:t>
      </w:r>
      <w:hyperlink r:id="rId11" w:history="1"/>
      <w:r w:rsidRPr="003F7539">
        <w:t>Jonathan.Stoye@crick.ac.uk</w:t>
      </w:r>
      <w:r w:rsidRPr="004A6846">
        <w:t>)</w:t>
      </w:r>
    </w:p>
    <w:p w14:paraId="32D85A6C" w14:textId="77777777" w:rsidR="00297CA7" w:rsidRPr="003F7539" w:rsidRDefault="00297CA7" w:rsidP="00297CA7">
      <w:pPr>
        <w:pBdr>
          <w:top w:val="nil"/>
          <w:left w:val="nil"/>
          <w:bottom w:val="nil"/>
          <w:right w:val="nil"/>
          <w:between w:val="nil"/>
        </w:pBdr>
        <w:rPr>
          <w:color w:val="000000"/>
        </w:rPr>
      </w:pPr>
      <w:r w:rsidRPr="003F7539">
        <w:t xml:space="preserve">Harriet Cordelia </w:t>
      </w:r>
      <w:proofErr w:type="spellStart"/>
      <w:r w:rsidRPr="003F7539">
        <w:t>Theed</w:t>
      </w:r>
      <w:proofErr w:type="spellEnd"/>
      <w:r w:rsidRPr="003F7539">
        <w:t xml:space="preserve"> Groom</w:t>
      </w:r>
      <w:r w:rsidRPr="003F7539">
        <w:rPr>
          <w:vertAlign w:val="superscript"/>
        </w:rPr>
        <w:tab/>
      </w:r>
      <w:r w:rsidRPr="003F7539">
        <w:t>(Hctg2@cam.ac.uk)</w:t>
      </w:r>
    </w:p>
    <w:p w14:paraId="49519E39" w14:textId="77777777" w:rsidR="00B25886" w:rsidRPr="003F7539" w:rsidRDefault="00B25886">
      <w:pPr>
        <w:pBdr>
          <w:top w:val="nil"/>
          <w:left w:val="nil"/>
          <w:bottom w:val="nil"/>
          <w:right w:val="nil"/>
          <w:between w:val="nil"/>
        </w:pBdr>
        <w:rPr>
          <w:color w:val="000000"/>
        </w:rPr>
      </w:pPr>
    </w:p>
    <w:p w14:paraId="53B46F07" w14:textId="653A6BEA" w:rsidR="00750FDF" w:rsidRPr="003F7539" w:rsidRDefault="00551D82">
      <w:pPr>
        <w:pBdr>
          <w:top w:val="nil"/>
          <w:left w:val="nil"/>
          <w:bottom w:val="nil"/>
          <w:right w:val="nil"/>
          <w:between w:val="nil"/>
        </w:pBdr>
        <w:rPr>
          <w:color w:val="000000"/>
        </w:rPr>
      </w:pPr>
      <w:r w:rsidRPr="003F7539">
        <w:rPr>
          <w:b/>
          <w:color w:val="000000"/>
        </w:rPr>
        <w:t>KEYWORDS:</w:t>
      </w:r>
    </w:p>
    <w:p w14:paraId="4C143E8D" w14:textId="33E0E09A" w:rsidR="006E4797" w:rsidRPr="003F7539" w:rsidRDefault="006C4059">
      <w:pPr>
        <w:rPr>
          <w:color w:val="000000" w:themeColor="text1"/>
        </w:rPr>
      </w:pPr>
      <w:r w:rsidRPr="003F7539">
        <w:rPr>
          <w:color w:val="000000" w:themeColor="text1"/>
        </w:rPr>
        <w:t>H</w:t>
      </w:r>
      <w:r w:rsidR="00FD1BAB" w:rsidRPr="003F7539">
        <w:rPr>
          <w:color w:val="000000" w:themeColor="text1"/>
        </w:rPr>
        <w:t xml:space="preserve">uman </w:t>
      </w:r>
      <w:r w:rsidRPr="003F7539">
        <w:rPr>
          <w:color w:val="000000" w:themeColor="text1"/>
        </w:rPr>
        <w:t>I</w:t>
      </w:r>
      <w:r w:rsidR="00FD1BAB" w:rsidRPr="003F7539">
        <w:rPr>
          <w:color w:val="000000" w:themeColor="text1"/>
        </w:rPr>
        <w:t xml:space="preserve">mmunodeficiency </w:t>
      </w:r>
      <w:r w:rsidRPr="003F7539">
        <w:rPr>
          <w:color w:val="000000" w:themeColor="text1"/>
        </w:rPr>
        <w:t>V</w:t>
      </w:r>
      <w:r w:rsidR="00FD1BAB" w:rsidRPr="003F7539">
        <w:rPr>
          <w:color w:val="000000" w:themeColor="text1"/>
        </w:rPr>
        <w:t>irus Type</w:t>
      </w:r>
      <w:r w:rsidRPr="003F7539">
        <w:rPr>
          <w:color w:val="000000" w:themeColor="text1"/>
        </w:rPr>
        <w:t>-1</w:t>
      </w:r>
      <w:r w:rsidR="00FD1BAB" w:rsidRPr="003F7539">
        <w:rPr>
          <w:color w:val="000000" w:themeColor="text1"/>
        </w:rPr>
        <w:t xml:space="preserve"> (HIV-1)</w:t>
      </w:r>
      <w:r w:rsidRPr="003F7539">
        <w:rPr>
          <w:color w:val="000000" w:themeColor="text1"/>
        </w:rPr>
        <w:t>, SAMHD1, restriction, myeloid cells, flow cytometry, retrovirus</w:t>
      </w:r>
      <w:r w:rsidR="00551D82" w:rsidRPr="003F7539">
        <w:rPr>
          <w:color w:val="000000" w:themeColor="text1"/>
        </w:rPr>
        <w:t>.</w:t>
      </w:r>
    </w:p>
    <w:p w14:paraId="3FB08D5A" w14:textId="77777777" w:rsidR="006E4797" w:rsidRPr="003F7539" w:rsidRDefault="006E4797">
      <w:pPr>
        <w:pBdr>
          <w:top w:val="nil"/>
          <w:left w:val="nil"/>
          <w:bottom w:val="nil"/>
          <w:right w:val="nil"/>
          <w:between w:val="nil"/>
        </w:pBdr>
        <w:rPr>
          <w:color w:val="000000"/>
        </w:rPr>
      </w:pPr>
    </w:p>
    <w:p w14:paraId="66BE8881" w14:textId="0D4AE918" w:rsidR="00750FDF" w:rsidRPr="003F7539" w:rsidRDefault="00551D82">
      <w:r w:rsidRPr="003F7539">
        <w:rPr>
          <w:b/>
        </w:rPr>
        <w:t>SUMMARY:</w:t>
      </w:r>
    </w:p>
    <w:p w14:paraId="3687A23E" w14:textId="0DDD0594" w:rsidR="006E4797" w:rsidRPr="003F7539" w:rsidRDefault="00563BB2">
      <w:pPr>
        <w:rPr>
          <w:color w:val="000000" w:themeColor="text1"/>
        </w:rPr>
      </w:pPr>
      <w:r w:rsidRPr="003F7539">
        <w:rPr>
          <w:color w:val="000000" w:themeColor="text1"/>
        </w:rPr>
        <w:t>Described here is</w:t>
      </w:r>
      <w:r w:rsidR="006C4059" w:rsidRPr="003F7539">
        <w:rPr>
          <w:color w:val="000000" w:themeColor="text1"/>
        </w:rPr>
        <w:t xml:space="preserve"> an established method to determine the extent of </w:t>
      </w:r>
      <w:r w:rsidR="00FE06BB" w:rsidRPr="003F7539">
        <w:rPr>
          <w:color w:val="000000" w:themeColor="text1"/>
        </w:rPr>
        <w:t>HIV-1 restriction by the cellular inhibitory protein SAMHD1. Human myeloid lineage U937 cells are transduced with a SAMHD1</w:t>
      </w:r>
      <w:r w:rsidR="003F38B4" w:rsidRPr="003F7539">
        <w:rPr>
          <w:color w:val="000000" w:themeColor="text1"/>
        </w:rPr>
        <w:t xml:space="preserve"> </w:t>
      </w:r>
      <w:r w:rsidR="00FE06BB" w:rsidRPr="003F7539">
        <w:rPr>
          <w:color w:val="000000" w:themeColor="text1"/>
        </w:rPr>
        <w:t>expres</w:t>
      </w:r>
      <w:r w:rsidR="001E61E5" w:rsidRPr="003F7539">
        <w:rPr>
          <w:color w:val="000000" w:themeColor="text1"/>
        </w:rPr>
        <w:t>sion vector</w:t>
      </w:r>
      <w:r w:rsidR="003F38B4" w:rsidRPr="003F7539">
        <w:rPr>
          <w:color w:val="000000" w:themeColor="text1"/>
        </w:rPr>
        <w:t xml:space="preserve"> co-expressing YFP</w:t>
      </w:r>
      <w:r w:rsidR="00FE06BB" w:rsidRPr="003F7539">
        <w:rPr>
          <w:color w:val="000000" w:themeColor="text1"/>
        </w:rPr>
        <w:t>, differentiated and then challenged with HIV-RFP. The level of restriction is determined by flow cytometry analysis.</w:t>
      </w:r>
    </w:p>
    <w:p w14:paraId="0C67F526" w14:textId="77777777" w:rsidR="006E4797" w:rsidRPr="003F7539" w:rsidRDefault="006E4797"/>
    <w:p w14:paraId="76D40C57" w14:textId="732BB9A8" w:rsidR="00750FDF" w:rsidRPr="003F7539" w:rsidRDefault="00551D82">
      <w:pPr>
        <w:rPr>
          <w:color w:val="808080"/>
        </w:rPr>
      </w:pPr>
      <w:r w:rsidRPr="003F7539">
        <w:rPr>
          <w:b/>
        </w:rPr>
        <w:t>ABSTRACT:</w:t>
      </w:r>
    </w:p>
    <w:p w14:paraId="3FEA527A" w14:textId="7D2231EB" w:rsidR="006C4059" w:rsidRPr="003F7539" w:rsidRDefault="00FD1BAB" w:rsidP="006C4059">
      <w:r w:rsidRPr="00C96363">
        <w:t>Sterile</w:t>
      </w:r>
      <w:r w:rsidR="00287731">
        <w:t xml:space="preserve"> </w:t>
      </w:r>
      <w:r w:rsidRPr="00C96363">
        <w:t>α-motif/histidine-aspartate domain-containing protein 1 (</w:t>
      </w:r>
      <w:r w:rsidR="006C4059" w:rsidRPr="003F7539">
        <w:t>SAMHD1</w:t>
      </w:r>
      <w:r w:rsidRPr="003F7539">
        <w:t>)</w:t>
      </w:r>
      <w:r w:rsidR="006C4059" w:rsidRPr="004A6846">
        <w:t xml:space="preserve"> inhibits replication of HIV-1 in quiescent </w:t>
      </w:r>
      <w:r w:rsidR="005521C2" w:rsidRPr="003F7539">
        <w:t xml:space="preserve">myeloid </w:t>
      </w:r>
      <w:r w:rsidR="006C4059" w:rsidRPr="003F7539">
        <w:t xml:space="preserve">cells. U937 cells are widely used as a convenient cell system for </w:t>
      </w:r>
      <w:r w:rsidR="00030C48" w:rsidRPr="003F7539">
        <w:t>analyzing</w:t>
      </w:r>
      <w:r w:rsidR="006C4059" w:rsidRPr="003F7539">
        <w:t xml:space="preserve"> SAMHD1 activity</w:t>
      </w:r>
      <w:r w:rsidR="005521C2" w:rsidRPr="003F7539">
        <w:t xml:space="preserve"> </w:t>
      </w:r>
      <w:r w:rsidR="006C4059" w:rsidRPr="003F7539">
        <w:t>due to a low level of SAMHD1 RNA expression</w:t>
      </w:r>
      <w:r w:rsidR="0036768F" w:rsidRPr="003F7539">
        <w:t>,</w:t>
      </w:r>
      <w:r w:rsidR="006C4059" w:rsidRPr="003F7539">
        <w:t xml:space="preserve"> </w:t>
      </w:r>
      <w:r w:rsidR="00DF6084" w:rsidRPr="003F7539">
        <w:t xml:space="preserve">leading to </w:t>
      </w:r>
      <w:r w:rsidR="00F83DF2" w:rsidRPr="003F7539">
        <w:t xml:space="preserve">undetectable </w:t>
      </w:r>
      <w:r w:rsidR="006C4059" w:rsidRPr="003F7539">
        <w:t>endogenous</w:t>
      </w:r>
      <w:r w:rsidR="00DF6084" w:rsidRPr="003F7539">
        <w:t xml:space="preserve"> </w:t>
      </w:r>
      <w:r w:rsidR="007427DB" w:rsidRPr="003F7539">
        <w:t xml:space="preserve">protein </w:t>
      </w:r>
      <w:r w:rsidR="00DF6084" w:rsidRPr="003F7539">
        <w:t>expression</w:t>
      </w:r>
      <w:r w:rsidR="006C4059" w:rsidRPr="003F7539">
        <w:t xml:space="preserve">. </w:t>
      </w:r>
      <w:r w:rsidR="00193FF6" w:rsidRPr="003F7539">
        <w:t>Based on</w:t>
      </w:r>
      <w:r w:rsidR="006C4059" w:rsidRPr="003F7539">
        <w:t xml:space="preserve"> similar assays developed in the </w:t>
      </w:r>
      <w:proofErr w:type="spellStart"/>
      <w:r w:rsidR="006C4059" w:rsidRPr="003F7539">
        <w:t>Stoye</w:t>
      </w:r>
      <w:proofErr w:type="spellEnd"/>
      <w:r w:rsidR="006C4059" w:rsidRPr="003F7539">
        <w:t xml:space="preserve"> laboratory to </w:t>
      </w:r>
      <w:r w:rsidR="00030C48" w:rsidRPr="003F7539">
        <w:t>characterize</w:t>
      </w:r>
      <w:r w:rsidR="006C4059" w:rsidRPr="003F7539">
        <w:t xml:space="preserve"> other retroviral restriction factors, the Bishop lab developed a </w:t>
      </w:r>
      <w:r w:rsidR="00030C48" w:rsidRPr="003F7539">
        <w:t>two-color</w:t>
      </w:r>
      <w:r w:rsidR="006C4059" w:rsidRPr="003F7539">
        <w:t xml:space="preserve"> restriction assay to </w:t>
      </w:r>
      <w:r w:rsidR="00030C48" w:rsidRPr="003F7539">
        <w:t>analyze</w:t>
      </w:r>
      <w:r w:rsidR="006C4059" w:rsidRPr="003F7539">
        <w:t xml:space="preserve"> SAMHD1 in U937 cells. Murine </w:t>
      </w:r>
      <w:proofErr w:type="spellStart"/>
      <w:r w:rsidR="006C4059" w:rsidRPr="003F7539">
        <w:t>Leukaemia</w:t>
      </w:r>
      <w:proofErr w:type="spellEnd"/>
      <w:r w:rsidR="00287731" w:rsidRPr="003F7539">
        <w:t xml:space="preserve"> virus-</w:t>
      </w:r>
      <w:r w:rsidR="006C4059" w:rsidRPr="003F7539">
        <w:t>like particles expressing SAMHD1</w:t>
      </w:r>
      <w:r w:rsidR="00D66BEA" w:rsidRPr="003F7539">
        <w:t>,</w:t>
      </w:r>
      <w:r w:rsidR="006C4059" w:rsidRPr="003F7539">
        <w:t xml:space="preserve"> alongside YFP expressed from an IRES</w:t>
      </w:r>
      <w:r w:rsidR="00D66BEA" w:rsidRPr="003F7539">
        <w:t>,</w:t>
      </w:r>
      <w:r w:rsidR="006C4059" w:rsidRPr="003F7539">
        <w:t xml:space="preserve"> are used to transduce U937 cells. Cells are then treated with phorbol myristate acetate to induce differentiation to a quiescent phenotype.</w:t>
      </w:r>
      <w:r w:rsidR="00563BB2" w:rsidRPr="003F7539">
        <w:t xml:space="preserve"> </w:t>
      </w:r>
      <w:r w:rsidR="006C4059" w:rsidRPr="003F7539">
        <w:t xml:space="preserve">Following differentiation, cells are infected with HIV-1 virus-like particles expressing a fluorescent reporter. </w:t>
      </w:r>
      <w:r w:rsidR="005521C2" w:rsidRPr="003F7539">
        <w:t>After 48 h</w:t>
      </w:r>
      <w:r w:rsidR="006C4059" w:rsidRPr="003F7539">
        <w:t xml:space="preserve">, cells are harvested and </w:t>
      </w:r>
      <w:r w:rsidR="00030C48" w:rsidRPr="003F7539">
        <w:t>analyzed</w:t>
      </w:r>
      <w:r w:rsidR="006C4059" w:rsidRPr="003F7539">
        <w:t xml:space="preserve"> by flow cytometry. The proportion of HIV-infected cells</w:t>
      </w:r>
      <w:r w:rsidR="00193FF6" w:rsidRPr="003F7539">
        <w:t xml:space="preserve"> in the</w:t>
      </w:r>
      <w:r w:rsidR="006C4059" w:rsidRPr="003F7539">
        <w:t xml:space="preserve"> </w:t>
      </w:r>
      <w:r w:rsidR="00193FF6" w:rsidRPr="003F7539">
        <w:t xml:space="preserve">SAMHD1-expressing population </w:t>
      </w:r>
      <w:r w:rsidR="006C4059" w:rsidRPr="003F7539">
        <w:t xml:space="preserve">is compared to </w:t>
      </w:r>
      <w:r w:rsidR="00193FF6" w:rsidRPr="003F7539">
        <w:t xml:space="preserve">that in </w:t>
      </w:r>
      <w:r w:rsidR="006C4059" w:rsidRPr="003F7539">
        <w:t xml:space="preserve">internal control cells lacking SAMHD1. This comparison reveals a restriction ratio. SAMHD1 </w:t>
      </w:r>
      <w:r w:rsidR="006C4059" w:rsidRPr="003F7539">
        <w:lastRenderedPageBreak/>
        <w:t xml:space="preserve">expression leads to a five-fold reduction in HIV infection, corresponding to a restriction ratio of 0.2. Our recent substitution of RFP for the original GFP </w:t>
      </w:r>
      <w:r w:rsidR="006B1882" w:rsidRPr="003F7539">
        <w:t xml:space="preserve">as the </w:t>
      </w:r>
      <w:r w:rsidR="006C4059" w:rsidRPr="003F7539">
        <w:t xml:space="preserve">reporter </w:t>
      </w:r>
      <w:r w:rsidR="006B1882" w:rsidRPr="003F7539">
        <w:t xml:space="preserve">gene for HIV infection </w:t>
      </w:r>
      <w:r w:rsidR="006C4059" w:rsidRPr="003F7539">
        <w:t>has facilitated flow cytometry analysis.</w:t>
      </w:r>
    </w:p>
    <w:p w14:paraId="31D351E1" w14:textId="77777777" w:rsidR="00B25886" w:rsidRPr="003F7539" w:rsidRDefault="00B25886" w:rsidP="006C4059"/>
    <w:p w14:paraId="6F85777A" w14:textId="113EF99F" w:rsidR="006E4797" w:rsidRPr="003F7539" w:rsidRDefault="006C4059">
      <w:r w:rsidRPr="003F7539">
        <w:t xml:space="preserve">This assay has been successfully used to </w:t>
      </w:r>
      <w:r w:rsidR="00563BB2" w:rsidRPr="003F7539">
        <w:t>characterize</w:t>
      </w:r>
      <w:r w:rsidRPr="003F7539">
        <w:t xml:space="preserve"> </w:t>
      </w:r>
      <w:r w:rsidR="006B1882" w:rsidRPr="003F7539">
        <w:t xml:space="preserve">the effect of </w:t>
      </w:r>
      <w:r w:rsidR="003F38B4" w:rsidRPr="003F7539">
        <w:t>amino acid substitutions</w:t>
      </w:r>
      <w:r w:rsidR="006B1882" w:rsidRPr="003F7539">
        <w:t xml:space="preserve"> on </w:t>
      </w:r>
      <w:r w:rsidRPr="003F7539">
        <w:t xml:space="preserve">SAMHD1 restriction by transducing with viruses encoding </w:t>
      </w:r>
      <w:r w:rsidR="003F38B4" w:rsidRPr="003F7539">
        <w:t>altered</w:t>
      </w:r>
      <w:r w:rsidRPr="003F7539">
        <w:t xml:space="preserve"> SAMHD1 proteins</w:t>
      </w:r>
      <w:r w:rsidR="005521C2" w:rsidRPr="003F7539">
        <w:t>,</w:t>
      </w:r>
      <w:r w:rsidRPr="003F7539">
        <w:t xml:space="preserve"> derived from site-directed mutagenesis of the expression vector. For example, the catalytic site substitutions HD206-7AA show a restriction phenotype of 1</w:t>
      </w:r>
      <w:r w:rsidR="006B1882" w:rsidRPr="003F7539">
        <w:t>, indicating a loss of restriction activity</w:t>
      </w:r>
      <w:r w:rsidRPr="003F7539">
        <w:t>. Equally</w:t>
      </w:r>
      <w:r w:rsidR="0021531E" w:rsidRPr="003F7539">
        <w:t>,</w:t>
      </w:r>
      <w:r w:rsidRPr="003F7539">
        <w:t xml:space="preserve"> the susceptibility of different tester viruses can be determined. The assay can be further adapted to incorporate the effect of differentiation status, metabolic status</w:t>
      </w:r>
      <w:r w:rsidR="0021531E" w:rsidRPr="003F7539">
        <w:t>,</w:t>
      </w:r>
      <w:r w:rsidRPr="003F7539">
        <w:t xml:space="preserve"> and SAMHD1 modifiers to better understand the relationship between SAMHD1, cell metabolic state</w:t>
      </w:r>
      <w:r w:rsidR="0021531E" w:rsidRPr="003F7539">
        <w:t>,</w:t>
      </w:r>
      <w:r w:rsidRPr="003F7539">
        <w:t xml:space="preserve"> and viral restriction.</w:t>
      </w:r>
    </w:p>
    <w:p w14:paraId="6E458638" w14:textId="77777777" w:rsidR="006E4797" w:rsidRPr="003F7539" w:rsidRDefault="006E4797"/>
    <w:p w14:paraId="7D668317" w14:textId="70F4589B" w:rsidR="00750FDF" w:rsidRPr="003F7539" w:rsidRDefault="00551D82">
      <w:pPr>
        <w:rPr>
          <w:color w:val="808080"/>
        </w:rPr>
      </w:pPr>
      <w:r w:rsidRPr="003F7539">
        <w:rPr>
          <w:b/>
        </w:rPr>
        <w:t>INTRODUCTION:</w:t>
      </w:r>
    </w:p>
    <w:p w14:paraId="63A6AB25" w14:textId="66055D10" w:rsidR="00B25886" w:rsidRPr="003F7539" w:rsidRDefault="00C877B2" w:rsidP="00062BA9">
      <w:r w:rsidRPr="00C96363">
        <w:t>Sterile</w:t>
      </w:r>
      <w:r w:rsidR="00287731">
        <w:t xml:space="preserve"> </w:t>
      </w:r>
      <w:r w:rsidRPr="00C96363">
        <w:t>α-motif/histidine-aspartate domain-containing protein 1 (</w:t>
      </w:r>
      <w:r w:rsidR="000375CF" w:rsidRPr="003F7539">
        <w:t>SAMHD1</w:t>
      </w:r>
      <w:r w:rsidRPr="003F7539">
        <w:t>)</w:t>
      </w:r>
      <w:r w:rsidR="000375CF" w:rsidRPr="004A6846">
        <w:t xml:space="preserve"> i</w:t>
      </w:r>
      <w:r w:rsidR="00C96AE4" w:rsidRPr="004A6846">
        <w:t>mpedes</w:t>
      </w:r>
      <w:r w:rsidR="000375CF" w:rsidRPr="003E0321">
        <w:t xml:space="preserve"> replication of </w:t>
      </w:r>
      <w:r w:rsidR="00F47935" w:rsidRPr="003F7539">
        <w:t>Human Immunodeficiency Virus type 1 (</w:t>
      </w:r>
      <w:r w:rsidR="000375CF" w:rsidRPr="003F7539">
        <w:t>HIV-1</w:t>
      </w:r>
      <w:r w:rsidR="00F47935" w:rsidRPr="003F7539">
        <w:t>)</w:t>
      </w:r>
      <w:r w:rsidR="000375CF" w:rsidRPr="003F7539">
        <w:t xml:space="preserve"> in quiescent cells of the myeloid lineage. </w:t>
      </w:r>
      <w:r w:rsidR="00BA02EB" w:rsidRPr="003F7539">
        <w:t xml:space="preserve">SAMHD1 blocks replication through its enzymatic activity as a dNTP </w:t>
      </w:r>
      <w:proofErr w:type="spellStart"/>
      <w:r w:rsidR="00BA02EB" w:rsidRPr="003F7539">
        <w:t>triphosphohydrolase</w:t>
      </w:r>
      <w:proofErr w:type="spellEnd"/>
      <w:r w:rsidR="00BA02EB" w:rsidRPr="003F7539">
        <w:t xml:space="preserve">, which results in decreased levels of intracellular dNTPs. As a result, HIV-1 cannot perform the process of reverse transcription efficiently. </w:t>
      </w:r>
      <w:r w:rsidR="00C96AE4" w:rsidRPr="003F7539">
        <w:t xml:space="preserve">Much progress has been made in the few years since this </w:t>
      </w:r>
      <w:r w:rsidR="006B1882" w:rsidRPr="003F7539">
        <w:t xml:space="preserve">initial </w:t>
      </w:r>
      <w:r w:rsidR="00D81F25" w:rsidRPr="003F7539">
        <w:t>observation</w:t>
      </w:r>
      <w:r w:rsidR="00C96AE4" w:rsidRPr="003F7539">
        <w:t xml:space="preserve">, particularly regarding the contribution of </w:t>
      </w:r>
      <w:r w:rsidR="00D81F25" w:rsidRPr="003F7539">
        <w:t>specific</w:t>
      </w:r>
      <w:r w:rsidR="00C96AE4" w:rsidRPr="003F7539">
        <w:t xml:space="preserve"> domains and amino acids to </w:t>
      </w:r>
      <w:r w:rsidR="001E61E5" w:rsidRPr="003F7539">
        <w:t>SAMHD1</w:t>
      </w:r>
      <w:r w:rsidR="00B909E3" w:rsidRPr="003F7539">
        <w:t>’s</w:t>
      </w:r>
      <w:r w:rsidR="001E61E5" w:rsidRPr="003F7539">
        <w:t xml:space="preserve"> </w:t>
      </w:r>
      <w:r w:rsidR="00C96AE4" w:rsidRPr="003F7539">
        <w:t xml:space="preserve">antiviral activity. </w:t>
      </w:r>
      <w:r w:rsidR="000A3E90" w:rsidRPr="003F7539">
        <w:t xml:space="preserve">These insights have been made using biochemical assays as well as cell systems mimicking the physiologically relevant quiescent myeloid environment. </w:t>
      </w:r>
      <w:r w:rsidR="000375CF" w:rsidRPr="003F7539">
        <w:t xml:space="preserve">U937 </w:t>
      </w:r>
      <w:r w:rsidR="00F8517B" w:rsidRPr="003F7539">
        <w:t>cells</w:t>
      </w:r>
      <w:r w:rsidR="00F8517B" w:rsidRPr="003F7539">
        <w:rPr>
          <w:vertAlign w:val="superscript"/>
        </w:rPr>
        <w:t>1</w:t>
      </w:r>
      <w:r w:rsidR="00F8517B" w:rsidRPr="003F7539">
        <w:t xml:space="preserve"> </w:t>
      </w:r>
      <w:r w:rsidR="000375CF" w:rsidRPr="003F7539">
        <w:t xml:space="preserve">are widely used as a convenient </w:t>
      </w:r>
      <w:r w:rsidR="00C96AE4" w:rsidRPr="003F7539">
        <w:t xml:space="preserve">myeloid </w:t>
      </w:r>
      <w:r w:rsidR="000375CF" w:rsidRPr="003F7539">
        <w:t xml:space="preserve">cell system for </w:t>
      </w:r>
      <w:r w:rsidR="00E5184F" w:rsidRPr="003F7539">
        <w:t>analyzing</w:t>
      </w:r>
      <w:r w:rsidR="000375CF" w:rsidRPr="003F7539">
        <w:t xml:space="preserve"> SAMHD1 activity. This is due to a lack of endogenous SAMHD1 expression</w:t>
      </w:r>
      <w:r w:rsidR="00F8517B" w:rsidRPr="003F7539">
        <w:t>, thought to be due to low RNA levels compared to SAMHD1-expressing cells (an area of ongoing research)</w:t>
      </w:r>
      <w:r w:rsidR="000375CF" w:rsidRPr="003F7539">
        <w:t xml:space="preserve">. </w:t>
      </w:r>
      <w:r w:rsidR="000A3E90" w:rsidRPr="003F7539">
        <w:t>Here</w:t>
      </w:r>
      <w:r w:rsidR="00B909E3" w:rsidRPr="003F7539">
        <w:t>,</w:t>
      </w:r>
      <w:r w:rsidR="000A3E90" w:rsidRPr="003F7539">
        <w:t xml:space="preserve"> </w:t>
      </w:r>
      <w:r w:rsidR="00E5184F" w:rsidRPr="003F7539">
        <w:t xml:space="preserve">the protocol </w:t>
      </w:r>
      <w:r w:rsidR="000A3E90" w:rsidRPr="003F7539">
        <w:t>describe</w:t>
      </w:r>
      <w:r w:rsidR="00E5184F" w:rsidRPr="003F7539">
        <w:t>s the</w:t>
      </w:r>
      <w:r w:rsidR="000A3E90" w:rsidRPr="003F7539">
        <w:t xml:space="preserve"> transient transduction of U937 cells with virus-like particles co-expressing SAMHD1 and a</w:t>
      </w:r>
      <w:r w:rsidR="00E5184F" w:rsidRPr="003F7539">
        <w:t xml:space="preserve"> </w:t>
      </w:r>
      <w:r w:rsidR="00C96363">
        <w:t>y</w:t>
      </w:r>
      <w:r w:rsidR="00E5184F" w:rsidRPr="003F7539">
        <w:t>ellow fluorescent protein</w:t>
      </w:r>
      <w:r w:rsidR="000A3E90" w:rsidRPr="003F7539">
        <w:t xml:space="preserve"> </w:t>
      </w:r>
      <w:r w:rsidR="00E5184F" w:rsidRPr="004A6846">
        <w:t>(</w:t>
      </w:r>
      <w:r w:rsidR="000A3E90" w:rsidRPr="003E0321">
        <w:t>YFP</w:t>
      </w:r>
      <w:r w:rsidR="00E5184F" w:rsidRPr="003E0321">
        <w:t>)</w:t>
      </w:r>
      <w:r w:rsidR="000A3E90" w:rsidRPr="003E0321">
        <w:t xml:space="preserve"> reporter to examine the mechanism of SAMHD1 restriction of HIV-1. </w:t>
      </w:r>
      <w:r w:rsidR="000A3E90" w:rsidRPr="003F7539">
        <w:t>Such</w:t>
      </w:r>
      <w:r w:rsidR="0032294D" w:rsidRPr="003F7539">
        <w:t xml:space="preserve"> transient </w:t>
      </w:r>
      <w:r w:rsidR="00E5184F" w:rsidRPr="003F7539">
        <w:t>two-color</w:t>
      </w:r>
      <w:r w:rsidR="000375CF" w:rsidRPr="003F7539">
        <w:t xml:space="preserve"> flow cytometry assay</w:t>
      </w:r>
      <w:r w:rsidR="00D81F25" w:rsidRPr="003F7539">
        <w:t>s</w:t>
      </w:r>
      <w:r w:rsidR="000375CF" w:rsidRPr="003F7539">
        <w:t xml:space="preserve"> to examine retroviral restriction</w:t>
      </w:r>
      <w:r w:rsidR="003A63A8" w:rsidRPr="003F7539">
        <w:t>s</w:t>
      </w:r>
      <w:r w:rsidR="000375CF" w:rsidRPr="003F7539">
        <w:t xml:space="preserve"> w</w:t>
      </w:r>
      <w:r w:rsidR="00D81F25" w:rsidRPr="003F7539">
        <w:t>ere</w:t>
      </w:r>
      <w:r w:rsidR="000375CF" w:rsidRPr="003F7539">
        <w:t xml:space="preserve"> first developed </w:t>
      </w:r>
      <w:r w:rsidR="00B909E3" w:rsidRPr="003F7539">
        <w:t xml:space="preserve">in </w:t>
      </w:r>
      <w:r w:rsidR="000375CF" w:rsidRPr="003F7539">
        <w:t xml:space="preserve">the </w:t>
      </w:r>
      <w:proofErr w:type="spellStart"/>
      <w:r w:rsidR="000375CF" w:rsidRPr="003F7539">
        <w:t>Stoye</w:t>
      </w:r>
      <w:proofErr w:type="spellEnd"/>
      <w:r w:rsidR="000375CF" w:rsidRPr="003F7539">
        <w:t xml:space="preserve"> </w:t>
      </w:r>
      <w:r w:rsidR="00F8517B" w:rsidRPr="003F7539">
        <w:t>laboratory</w:t>
      </w:r>
      <w:r w:rsidR="00F8517B" w:rsidRPr="003F7539">
        <w:rPr>
          <w:vertAlign w:val="superscript"/>
        </w:rPr>
        <w:t>2</w:t>
      </w:r>
      <w:r w:rsidR="00F8517B" w:rsidRPr="003F7539">
        <w:t xml:space="preserve"> </w:t>
      </w:r>
      <w:r w:rsidR="0032294D" w:rsidRPr="003F7539">
        <w:t xml:space="preserve">and have since been adapted to </w:t>
      </w:r>
      <w:r w:rsidR="00D81F25" w:rsidRPr="003F7539">
        <w:t>investigate</w:t>
      </w:r>
      <w:r w:rsidR="0032294D" w:rsidRPr="003F7539">
        <w:t xml:space="preserve"> other restriction factors</w:t>
      </w:r>
      <w:r w:rsidR="00D81F25" w:rsidRPr="003F7539">
        <w:t>,</w:t>
      </w:r>
      <w:r w:rsidR="0032294D" w:rsidRPr="003F7539">
        <w:t xml:space="preserve"> including the </w:t>
      </w:r>
      <w:r w:rsidR="0088759F" w:rsidRPr="003F7539">
        <w:t>t</w:t>
      </w:r>
      <w:r w:rsidR="00031BE5" w:rsidRPr="003F7539">
        <w:rPr>
          <w:bCs/>
        </w:rPr>
        <w:t>ripartite motif</w:t>
      </w:r>
      <w:r w:rsidR="0088759F" w:rsidRPr="003F7539">
        <w:rPr>
          <w:bCs/>
        </w:rPr>
        <w:t xml:space="preserve"> (</w:t>
      </w:r>
      <w:r w:rsidR="0032294D" w:rsidRPr="003F7539">
        <w:t>TRIM</w:t>
      </w:r>
      <w:r w:rsidR="0088759F" w:rsidRPr="003F7539">
        <w:t>)</w:t>
      </w:r>
      <w:r w:rsidR="0032294D" w:rsidRPr="003F7539">
        <w:t xml:space="preserve"> </w:t>
      </w:r>
      <w:r w:rsidR="00F8517B" w:rsidRPr="003F7539">
        <w:t>proteins</w:t>
      </w:r>
      <w:r w:rsidR="00F8517B" w:rsidRPr="003F7539">
        <w:rPr>
          <w:vertAlign w:val="superscript"/>
        </w:rPr>
        <w:t>3</w:t>
      </w:r>
      <w:r w:rsidR="0032294D" w:rsidRPr="003F7539">
        <w:t>. Inspired by these assays, t</w:t>
      </w:r>
      <w:r w:rsidR="000375CF" w:rsidRPr="003F7539">
        <w:t xml:space="preserve">he Bishop lab developed a </w:t>
      </w:r>
      <w:r w:rsidR="00E5184F" w:rsidRPr="003F7539">
        <w:t>two-color</w:t>
      </w:r>
      <w:r w:rsidR="000375CF" w:rsidRPr="003F7539">
        <w:t xml:space="preserve"> assay to </w:t>
      </w:r>
      <w:r w:rsidR="00030C48" w:rsidRPr="003F7539">
        <w:t>analyze</w:t>
      </w:r>
      <w:r w:rsidR="000375CF" w:rsidRPr="003F7539">
        <w:t xml:space="preserve"> SAMHD1 restriction in U937 cells.</w:t>
      </w:r>
    </w:p>
    <w:p w14:paraId="0B7DA8B8" w14:textId="77777777" w:rsidR="00B25886" w:rsidRPr="003F7539" w:rsidRDefault="00B25886" w:rsidP="00062BA9"/>
    <w:p w14:paraId="11F8FA07" w14:textId="2DC8542C" w:rsidR="00D81F25" w:rsidRPr="003F7539" w:rsidRDefault="00D81F25" w:rsidP="00062BA9">
      <w:r w:rsidRPr="003F7539">
        <w:t xml:space="preserve">The workflow for the experiment is shown in </w:t>
      </w:r>
      <w:r w:rsidRPr="003F7539">
        <w:rPr>
          <w:b/>
          <w:bCs/>
        </w:rPr>
        <w:t>Figure 1</w:t>
      </w:r>
      <w:r w:rsidRPr="003F7539">
        <w:t xml:space="preserve">. </w:t>
      </w:r>
      <w:r w:rsidR="000375CF" w:rsidRPr="003F7539">
        <w:t xml:space="preserve">Murine </w:t>
      </w:r>
      <w:proofErr w:type="spellStart"/>
      <w:r w:rsidR="000375CF" w:rsidRPr="003F7539">
        <w:t>Leukaemia</w:t>
      </w:r>
      <w:proofErr w:type="spellEnd"/>
      <w:r w:rsidR="000375CF" w:rsidRPr="003F7539">
        <w:t xml:space="preserve"> Virus</w:t>
      </w:r>
      <w:r w:rsidR="00FD1BAB" w:rsidRPr="003F7539">
        <w:t xml:space="preserve"> (MLV) </w:t>
      </w:r>
      <w:r w:rsidR="000375CF" w:rsidRPr="003F7539">
        <w:t>-</w:t>
      </w:r>
      <w:r w:rsidR="00FD1BAB" w:rsidRPr="003F7539">
        <w:t>l</w:t>
      </w:r>
      <w:r w:rsidR="000375CF" w:rsidRPr="003F7539">
        <w:t xml:space="preserve">ike particles </w:t>
      </w:r>
      <w:r w:rsidR="00B909E3" w:rsidRPr="003F7539">
        <w:t>containing a bi-</w:t>
      </w:r>
      <w:proofErr w:type="spellStart"/>
      <w:r w:rsidR="00B909E3" w:rsidRPr="003F7539">
        <w:t>cistronic</w:t>
      </w:r>
      <w:proofErr w:type="spellEnd"/>
      <w:r w:rsidR="00B909E3" w:rsidRPr="003F7539">
        <w:t xml:space="preserve"> message </w:t>
      </w:r>
      <w:r w:rsidR="006B1882" w:rsidRPr="003F7539">
        <w:t xml:space="preserve">encoding </w:t>
      </w:r>
      <w:r w:rsidR="000375CF" w:rsidRPr="003F7539">
        <w:t>SAMHD1 alongside YFP expressed from an IRES are used to transduce U937 cells. Cells are then treated with phorbol myristate acetate</w:t>
      </w:r>
      <w:r w:rsidR="00FD1BAB" w:rsidRPr="003F7539">
        <w:t xml:space="preserve"> (PMA)</w:t>
      </w:r>
      <w:r w:rsidR="000375CF" w:rsidRPr="003F7539">
        <w:t xml:space="preserve"> to induce differentiation to a quiescent phenotype. </w:t>
      </w:r>
      <w:r w:rsidRPr="003F7539">
        <w:t>C</w:t>
      </w:r>
      <w:r w:rsidR="000375CF" w:rsidRPr="003F7539">
        <w:t xml:space="preserve">ells are </w:t>
      </w:r>
      <w:r w:rsidR="006B1882" w:rsidRPr="003F7539">
        <w:t xml:space="preserve">next </w:t>
      </w:r>
      <w:r w:rsidR="000375CF" w:rsidRPr="003F7539">
        <w:t xml:space="preserve">infected with HIV-1 virus-like particles expressing </w:t>
      </w:r>
      <w:r w:rsidR="00E5184F" w:rsidRPr="003F7539">
        <w:t>red fluorescent protein (</w:t>
      </w:r>
      <w:r w:rsidRPr="003F7539">
        <w:t>RFP</w:t>
      </w:r>
      <w:r w:rsidR="00E5184F" w:rsidRPr="003F7539">
        <w:t>)</w:t>
      </w:r>
      <w:r w:rsidR="000375CF" w:rsidRPr="003F7539">
        <w:t xml:space="preserve">. </w:t>
      </w:r>
      <w:r w:rsidRPr="003F7539">
        <w:t>After 48 h</w:t>
      </w:r>
      <w:r w:rsidR="003A63A8" w:rsidRPr="003F7539">
        <w:t>,</w:t>
      </w:r>
      <w:r w:rsidRPr="003F7539">
        <w:t xml:space="preserve"> the cells are harvested and </w:t>
      </w:r>
      <w:r w:rsidR="00030C48" w:rsidRPr="003F7539">
        <w:t>analyzed</w:t>
      </w:r>
      <w:r w:rsidRPr="003F7539">
        <w:t xml:space="preserve"> by </w:t>
      </w:r>
      <w:r w:rsidR="00030C48" w:rsidRPr="003F7539">
        <w:t>two-color</w:t>
      </w:r>
      <w:r w:rsidRPr="003F7539">
        <w:t xml:space="preserve"> flow cytometry. </w:t>
      </w:r>
      <w:r w:rsidR="0036768F" w:rsidRPr="003F7539">
        <w:t>T</w:t>
      </w:r>
      <w:r w:rsidRPr="003F7539">
        <w:t xml:space="preserve">his assay </w:t>
      </w:r>
      <w:r w:rsidR="0036768F" w:rsidRPr="003F7539">
        <w:t>is also u</w:t>
      </w:r>
      <w:r w:rsidRPr="003F7539">
        <w:t xml:space="preserve">sed </w:t>
      </w:r>
      <w:r w:rsidR="0036768F" w:rsidRPr="003F7539">
        <w:t xml:space="preserve">with </w:t>
      </w:r>
      <w:r w:rsidRPr="003F7539">
        <w:t xml:space="preserve">YFP and </w:t>
      </w:r>
      <w:r w:rsidR="00E5184F" w:rsidRPr="003F7539">
        <w:t>green fluorescent protein (</w:t>
      </w:r>
      <w:r w:rsidRPr="003F7539">
        <w:t>GFP</w:t>
      </w:r>
      <w:r w:rsidR="00E5184F" w:rsidRPr="003F7539">
        <w:t>)</w:t>
      </w:r>
      <w:r w:rsidRPr="003F7539">
        <w:t xml:space="preserve">, </w:t>
      </w:r>
      <w:r w:rsidR="00D66BEA" w:rsidRPr="003F7539">
        <w:t>requiring less standard filter combinations</w:t>
      </w:r>
      <w:r w:rsidRPr="003F7539">
        <w:t xml:space="preserve"> for flow cytometry analysis. Use of HIV-RFP allows for more straightforward compensation and thus the assay is more easily accessible to less experienced flow cytometry users</w:t>
      </w:r>
      <w:r w:rsidR="00D66BEA" w:rsidRPr="003F7539">
        <w:t>,</w:t>
      </w:r>
      <w:r w:rsidRPr="003F7539">
        <w:t xml:space="preserve"> and achievable with most cytometers.</w:t>
      </w:r>
    </w:p>
    <w:p w14:paraId="179C9A43" w14:textId="77777777" w:rsidR="00D81F25" w:rsidRPr="003F7539" w:rsidRDefault="00D81F25" w:rsidP="00062BA9"/>
    <w:p w14:paraId="6DD6CD43" w14:textId="560EAB51" w:rsidR="000375CF" w:rsidRPr="003F7539" w:rsidRDefault="00D81F25" w:rsidP="00062BA9">
      <w:r w:rsidRPr="003F7539">
        <w:t>During analysis, t</w:t>
      </w:r>
      <w:r w:rsidR="000375CF" w:rsidRPr="003F7539">
        <w:t xml:space="preserve">he proportion of </w:t>
      </w:r>
      <w:r w:rsidR="00B909E3" w:rsidRPr="003F7539">
        <w:t xml:space="preserve">HIV infected cells is compared between </w:t>
      </w:r>
      <w:r w:rsidR="000375CF" w:rsidRPr="003F7539">
        <w:t xml:space="preserve">SAMHD1-expressing cells </w:t>
      </w:r>
      <w:r w:rsidR="00B909E3" w:rsidRPr="003F7539">
        <w:t>and</w:t>
      </w:r>
      <w:r w:rsidR="000375CF" w:rsidRPr="003F7539">
        <w:t xml:space="preserve"> </w:t>
      </w:r>
      <w:r w:rsidRPr="003F7539">
        <w:t>those</w:t>
      </w:r>
      <w:r w:rsidR="000375CF" w:rsidRPr="003F7539">
        <w:t xml:space="preserve"> lacking SAMHD1</w:t>
      </w:r>
      <w:r w:rsidR="00B64341" w:rsidRPr="003F7539">
        <w:t xml:space="preserve"> within the same well of cells</w:t>
      </w:r>
      <w:r w:rsidR="000375CF" w:rsidRPr="003F7539">
        <w:t xml:space="preserve">. </w:t>
      </w:r>
      <w:r w:rsidRPr="003F7539">
        <w:t xml:space="preserve">This affords an internal control in </w:t>
      </w:r>
      <w:r w:rsidRPr="003F7539">
        <w:lastRenderedPageBreak/>
        <w:t>well/flow cytometry tube</w:t>
      </w:r>
      <w:r w:rsidR="003A63A8" w:rsidRPr="003F7539">
        <w:t>,</w:t>
      </w:r>
      <w:r w:rsidRPr="003F7539">
        <w:t xml:space="preserve"> which is a </w:t>
      </w:r>
      <w:r w:rsidR="00750FDF" w:rsidRPr="003F7539">
        <w:t>key feature</w:t>
      </w:r>
      <w:r w:rsidRPr="003F7539">
        <w:t xml:space="preserve">. </w:t>
      </w:r>
      <w:r w:rsidR="000375CF" w:rsidRPr="003F7539">
        <w:t>Th</w:t>
      </w:r>
      <w:r w:rsidRPr="003F7539">
        <w:t>e</w:t>
      </w:r>
      <w:r w:rsidR="000375CF" w:rsidRPr="003F7539">
        <w:t xml:space="preserve"> comparison</w:t>
      </w:r>
      <w:r w:rsidRPr="003F7539">
        <w:t xml:space="preserve"> of infection levels in transduced and </w:t>
      </w:r>
      <w:proofErr w:type="spellStart"/>
      <w:r w:rsidRPr="003F7539">
        <w:t>untransduced</w:t>
      </w:r>
      <w:proofErr w:type="spellEnd"/>
      <w:r w:rsidRPr="003F7539">
        <w:t xml:space="preserve"> cells</w:t>
      </w:r>
      <w:r w:rsidR="000375CF" w:rsidRPr="003F7539">
        <w:t xml:space="preserve"> reveals a restriction ratio. </w:t>
      </w:r>
      <w:r w:rsidR="00B64341" w:rsidRPr="003F7539">
        <w:t>A ratio of 1.0 indicates that the tran</w:t>
      </w:r>
      <w:r w:rsidR="0036768F" w:rsidRPr="003F7539">
        <w:t>s</w:t>
      </w:r>
      <w:r w:rsidR="00B64341" w:rsidRPr="003F7539">
        <w:t xml:space="preserve">duced factor has no effect on infectivity. Wild type </w:t>
      </w:r>
      <w:r w:rsidR="000375CF" w:rsidRPr="003F7539">
        <w:t xml:space="preserve">SAMHD1 expression leads to a five-fold reduction in HIV infection in this assay, corresponding to a restriction ratio of 0.2. </w:t>
      </w:r>
      <w:r w:rsidR="003A63A8" w:rsidRPr="003F7539">
        <w:t xml:space="preserve">While </w:t>
      </w:r>
      <w:r w:rsidRPr="003F7539">
        <w:t xml:space="preserve">this effect is modest in comparison to more classic restriction factors such as TRIM5, the effect is nonetheless reproducible and allows the </w:t>
      </w:r>
      <w:r w:rsidR="00750FDF" w:rsidRPr="003F7539">
        <w:t>classification of modified SAMHD1 expressors into those that restrict in an equivalent manner to the wild-type protein, those that fail to restrict, and those with an intermediate phenotype.</w:t>
      </w:r>
    </w:p>
    <w:p w14:paraId="648D63C5" w14:textId="77777777" w:rsidR="000375CF" w:rsidRPr="003F7539" w:rsidRDefault="000375CF" w:rsidP="000375CF"/>
    <w:p w14:paraId="4C6DE4B8" w14:textId="33FC18FE" w:rsidR="00E5184F" w:rsidRPr="003F7539" w:rsidRDefault="000375CF" w:rsidP="000375CF">
      <w:pPr>
        <w:rPr>
          <w:b/>
        </w:rPr>
      </w:pPr>
      <w:r w:rsidRPr="003F7539">
        <w:t xml:space="preserve">This assay has been used </w:t>
      </w:r>
      <w:r w:rsidR="00750FDF" w:rsidRPr="003F7539">
        <w:t xml:space="preserve">successfully </w:t>
      </w:r>
      <w:r w:rsidRPr="003F7539">
        <w:t xml:space="preserve">to </w:t>
      </w:r>
      <w:r w:rsidR="00E5184F" w:rsidRPr="003F7539">
        <w:t>characterize</w:t>
      </w:r>
      <w:r w:rsidRPr="003F7539">
        <w:t xml:space="preserve"> SAMHD1 </w:t>
      </w:r>
      <w:r w:rsidR="00750FDF" w:rsidRPr="003F7539">
        <w:t xml:space="preserve">domain and amino acid </w:t>
      </w:r>
      <w:r w:rsidRPr="003F7539">
        <w:t xml:space="preserve">mutants’ restriction phenotypes by transducing with viruses encoding mutant SAMHD1 </w:t>
      </w:r>
      <w:r w:rsidR="00750FDF" w:rsidRPr="003F7539">
        <w:t>sequences</w:t>
      </w:r>
      <w:r w:rsidRPr="003F7539">
        <w:t xml:space="preserve">. For example, the catalytic site substitutions HD206-7AA </w:t>
      </w:r>
      <w:r w:rsidR="00750FDF" w:rsidRPr="003F7539">
        <w:t>fail to restrict in this assay</w:t>
      </w:r>
      <w:r w:rsidRPr="003F7539">
        <w:t xml:space="preserve">. </w:t>
      </w:r>
      <w:r w:rsidR="00304DF7" w:rsidRPr="003F7539">
        <w:t>Equally</w:t>
      </w:r>
      <w:r w:rsidR="003A63A8" w:rsidRPr="003F7539">
        <w:t>,</w:t>
      </w:r>
      <w:r w:rsidR="00304DF7" w:rsidRPr="003F7539">
        <w:t xml:space="preserve"> the susceptibility of different tester viruses can be determined. For example, HIV-1 reverse transcriptase mutants are more susceptible to SAMHD1-mediated restriction</w:t>
      </w:r>
      <w:r w:rsidR="00287731">
        <w:t xml:space="preserve"> (</w:t>
      </w:r>
      <w:r w:rsidR="00304DF7" w:rsidRPr="003F7539">
        <w:t>e.g.</w:t>
      </w:r>
      <w:r w:rsidR="0099129F" w:rsidRPr="003F7539">
        <w:t>,</w:t>
      </w:r>
      <w:r w:rsidR="00304DF7" w:rsidRPr="003F7539">
        <w:t xml:space="preserve"> 151V</w:t>
      </w:r>
      <w:r w:rsidR="00F8517B" w:rsidRPr="003F7539">
        <w:rPr>
          <w:vertAlign w:val="superscript"/>
        </w:rPr>
        <w:t>4</w:t>
      </w:r>
      <w:r w:rsidR="00287731">
        <w:t>)</w:t>
      </w:r>
      <w:r w:rsidR="00304DF7" w:rsidRPr="003F7539">
        <w:t xml:space="preserve">. </w:t>
      </w:r>
      <w:r w:rsidR="0000710E" w:rsidRPr="003F7539">
        <w:t>T</w:t>
      </w:r>
      <w:r w:rsidRPr="003F7539">
        <w:t>his protocol outline</w:t>
      </w:r>
      <w:r w:rsidR="0000710E" w:rsidRPr="003F7539">
        <w:t>s</w:t>
      </w:r>
      <w:r w:rsidRPr="003F7539">
        <w:t xml:space="preserve"> the details </w:t>
      </w:r>
      <w:r w:rsidR="00750FDF" w:rsidRPr="003F7539">
        <w:t>o</w:t>
      </w:r>
      <w:r w:rsidRPr="003F7539">
        <w:t xml:space="preserve">f </w:t>
      </w:r>
      <w:r w:rsidR="000F2134" w:rsidRPr="003F7539">
        <w:t>virus-like particle (</w:t>
      </w:r>
      <w:r w:rsidRPr="003F7539">
        <w:t>VLP</w:t>
      </w:r>
      <w:r w:rsidR="000F2134" w:rsidRPr="003F7539">
        <w:t>)</w:t>
      </w:r>
      <w:r w:rsidRPr="003F7539">
        <w:t xml:space="preserve"> production, transduction of U937 with SAMHD1 </w:t>
      </w:r>
      <w:r w:rsidR="00750FDF" w:rsidRPr="003F7539">
        <w:t>expression vectors,</w:t>
      </w:r>
      <w:r w:rsidRPr="003F7539">
        <w:t xml:space="preserve"> infection with HIV carrying a fluorescent reporter and the subsequent analysis by flow cytometry. </w:t>
      </w:r>
      <w:r w:rsidR="00496967" w:rsidRPr="003F7539">
        <w:t>This article</w:t>
      </w:r>
      <w:r w:rsidRPr="003F7539">
        <w:t xml:space="preserve"> discuss</w:t>
      </w:r>
      <w:r w:rsidR="001F6A46" w:rsidRPr="003F7539">
        <w:t>e</w:t>
      </w:r>
      <w:r w:rsidR="00496967" w:rsidRPr="003F7539">
        <w:t>s</w:t>
      </w:r>
      <w:r w:rsidRPr="003F7539">
        <w:t xml:space="preserve"> what data to expect and how to avoid suboptimal </w:t>
      </w:r>
      <w:r w:rsidR="00750FDF" w:rsidRPr="003F7539">
        <w:t>results</w:t>
      </w:r>
      <w:r w:rsidRPr="003F7539">
        <w:t>. Finally</w:t>
      </w:r>
      <w:r w:rsidR="00750FDF" w:rsidRPr="003F7539">
        <w:t>,</w:t>
      </w:r>
      <w:r w:rsidRPr="003F7539">
        <w:t xml:space="preserve"> alternative uses for the assay</w:t>
      </w:r>
      <w:r w:rsidR="001F6A46" w:rsidRPr="003F7539">
        <w:t xml:space="preserve"> are outlined</w:t>
      </w:r>
      <w:r w:rsidRPr="003F7539">
        <w:t xml:space="preserve">, </w:t>
      </w:r>
      <w:r w:rsidR="001D51DC" w:rsidRPr="003F7539">
        <w:t xml:space="preserve">in addition to </w:t>
      </w:r>
      <w:r w:rsidRPr="003F7539">
        <w:t xml:space="preserve">examining different SAMHD1 variants </w:t>
      </w:r>
      <w:r w:rsidR="00750FDF" w:rsidRPr="003F7539">
        <w:t>to</w:t>
      </w:r>
      <w:r w:rsidRPr="003F7539">
        <w:t xml:space="preserve"> </w:t>
      </w:r>
      <w:r w:rsidR="00750FDF" w:rsidRPr="003F7539">
        <w:t>understand the interplay between SAMHD1, dNTP levels and viral infection more thoroughly</w:t>
      </w:r>
      <w:r w:rsidRPr="003F7539">
        <w:t>.</w:t>
      </w:r>
      <w:r w:rsidR="007A3EB0" w:rsidRPr="003F7539">
        <w:t xml:space="preserve"> Given the role of SAMHD1 </w:t>
      </w:r>
      <w:r w:rsidR="00D66BEA" w:rsidRPr="003F7539">
        <w:t>at</w:t>
      </w:r>
      <w:r w:rsidR="007A3EB0" w:rsidRPr="003F7539">
        <w:t xml:space="preserve"> the </w:t>
      </w:r>
      <w:r w:rsidR="003A63A8" w:rsidRPr="003F7539">
        <w:t>center</w:t>
      </w:r>
      <w:r w:rsidR="007A3EB0" w:rsidRPr="003F7539">
        <w:t xml:space="preserve"> of cell</w:t>
      </w:r>
      <w:r w:rsidR="0009193D" w:rsidRPr="003F7539">
        <w:t xml:space="preserve"> </w:t>
      </w:r>
      <w:r w:rsidR="007A3EB0" w:rsidRPr="003F7539">
        <w:t xml:space="preserve">metabolism, with additional links </w:t>
      </w:r>
      <w:r w:rsidR="0009193D" w:rsidRPr="003F7539">
        <w:t>to cancer, this continues to be an area of intense interest.</w:t>
      </w:r>
    </w:p>
    <w:p w14:paraId="21AF0316" w14:textId="77777777" w:rsidR="00E5184F" w:rsidRPr="003F7539" w:rsidRDefault="00E5184F" w:rsidP="000375CF"/>
    <w:p w14:paraId="7A26F23D" w14:textId="26D4C7D6" w:rsidR="006E4797" w:rsidRPr="003F7539" w:rsidRDefault="00551D82">
      <w:r w:rsidRPr="003F7539">
        <w:rPr>
          <w:b/>
        </w:rPr>
        <w:t>PROTOCOL:</w:t>
      </w:r>
    </w:p>
    <w:p w14:paraId="6C262F0E" w14:textId="0FE814D7" w:rsidR="009D030B" w:rsidRPr="003F7539" w:rsidRDefault="009D030B">
      <w:pPr>
        <w:rPr>
          <w:color w:val="808080"/>
        </w:rPr>
      </w:pPr>
    </w:p>
    <w:p w14:paraId="55742D2F" w14:textId="386D7247" w:rsidR="009D030B" w:rsidRPr="003F7539" w:rsidRDefault="0037598D" w:rsidP="00851755">
      <w:pPr>
        <w:rPr>
          <w:color w:val="000000" w:themeColor="text1"/>
        </w:rPr>
      </w:pPr>
      <w:r w:rsidRPr="003F7539">
        <w:rPr>
          <w:color w:val="000000" w:themeColor="text1"/>
        </w:rPr>
        <w:t xml:space="preserve">This protocol does not contain any studies involving animals or human participants performed by any of the authors. </w:t>
      </w:r>
      <w:r w:rsidR="009D030B" w:rsidRPr="003F7539">
        <w:rPr>
          <w:color w:val="000000" w:themeColor="text1"/>
        </w:rPr>
        <w:t xml:space="preserve">All </w:t>
      </w:r>
      <w:r w:rsidR="0008624B" w:rsidRPr="003F7539">
        <w:rPr>
          <w:color w:val="000000" w:themeColor="text1"/>
        </w:rPr>
        <w:t xml:space="preserve">the </w:t>
      </w:r>
      <w:r w:rsidR="009D030B" w:rsidRPr="003F7539">
        <w:rPr>
          <w:color w:val="000000" w:themeColor="text1"/>
        </w:rPr>
        <w:t>steps of this protocol were performed following the guidelines and codes of practice of the institutions where they were carried out.</w:t>
      </w:r>
    </w:p>
    <w:p w14:paraId="4327F93C" w14:textId="77777777" w:rsidR="00E717EA" w:rsidRPr="00C96363" w:rsidRDefault="00E717EA" w:rsidP="00851755">
      <w:pPr>
        <w:pStyle w:val="NoSpacing"/>
        <w:jc w:val="both"/>
        <w:rPr>
          <w:rFonts w:cs="Calibri"/>
          <w:b/>
          <w:sz w:val="24"/>
          <w:szCs w:val="24"/>
          <w:lang w:val="en-US"/>
        </w:rPr>
      </w:pPr>
    </w:p>
    <w:p w14:paraId="6F913C00" w14:textId="0FF35962" w:rsidR="008A7469" w:rsidRPr="00C96363" w:rsidRDefault="008A7469" w:rsidP="00851755">
      <w:pPr>
        <w:pStyle w:val="NoSpacing"/>
        <w:numPr>
          <w:ilvl w:val="0"/>
          <w:numId w:val="32"/>
        </w:numPr>
        <w:ind w:left="0" w:firstLine="0"/>
        <w:jc w:val="both"/>
        <w:rPr>
          <w:rFonts w:cs="Calibri"/>
          <w:b/>
          <w:bCs/>
          <w:sz w:val="24"/>
          <w:szCs w:val="24"/>
          <w:lang w:val="en-US"/>
        </w:rPr>
      </w:pPr>
      <w:r w:rsidRPr="00C96363">
        <w:rPr>
          <w:rFonts w:cs="Calibri"/>
          <w:b/>
          <w:bCs/>
          <w:sz w:val="24"/>
          <w:szCs w:val="24"/>
          <w:lang w:val="en-US"/>
        </w:rPr>
        <w:t xml:space="preserve">Transfection of 293T cells for </w:t>
      </w:r>
      <w:r w:rsidR="003E733B" w:rsidRPr="00C96363">
        <w:rPr>
          <w:rFonts w:cs="Calibri"/>
          <w:b/>
          <w:bCs/>
          <w:sz w:val="24"/>
          <w:szCs w:val="24"/>
          <w:lang w:val="en-US"/>
        </w:rPr>
        <w:t>VLP</w:t>
      </w:r>
      <w:r w:rsidRPr="00C96363">
        <w:rPr>
          <w:rFonts w:cs="Calibri"/>
          <w:b/>
          <w:bCs/>
          <w:sz w:val="24"/>
          <w:szCs w:val="24"/>
          <w:lang w:val="en-US"/>
        </w:rPr>
        <w:t xml:space="preserve"> production</w:t>
      </w:r>
      <w:r w:rsidR="00376AD3" w:rsidRPr="00C96363">
        <w:rPr>
          <w:rFonts w:cs="Calibri"/>
          <w:b/>
          <w:bCs/>
          <w:sz w:val="24"/>
          <w:szCs w:val="24"/>
          <w:lang w:val="en-US"/>
        </w:rPr>
        <w:t xml:space="preserve"> (</w:t>
      </w:r>
      <w:r w:rsidR="00DB3A2C" w:rsidRPr="00C96363">
        <w:rPr>
          <w:rFonts w:cs="Calibri"/>
          <w:b/>
          <w:bCs/>
          <w:sz w:val="24"/>
          <w:szCs w:val="24"/>
          <w:lang w:val="en-US"/>
        </w:rPr>
        <w:t xml:space="preserve">both </w:t>
      </w:r>
      <w:r w:rsidR="00376AD3" w:rsidRPr="00C96363">
        <w:rPr>
          <w:rFonts w:cs="Calibri"/>
          <w:b/>
          <w:bCs/>
          <w:sz w:val="24"/>
          <w:szCs w:val="24"/>
          <w:lang w:val="en-US"/>
        </w:rPr>
        <w:t>SAMHD1-express</w:t>
      </w:r>
      <w:r w:rsidR="00DB3A2C" w:rsidRPr="00C96363">
        <w:rPr>
          <w:rFonts w:cs="Calibri"/>
          <w:b/>
          <w:bCs/>
          <w:sz w:val="24"/>
          <w:szCs w:val="24"/>
          <w:lang w:val="en-US"/>
        </w:rPr>
        <w:t>ion vectors</w:t>
      </w:r>
      <w:r w:rsidR="00376AD3" w:rsidRPr="00C96363">
        <w:rPr>
          <w:rFonts w:cs="Calibri"/>
          <w:b/>
          <w:bCs/>
          <w:sz w:val="24"/>
          <w:szCs w:val="24"/>
          <w:lang w:val="en-US"/>
        </w:rPr>
        <w:t xml:space="preserve"> and tester HIV particles)</w:t>
      </w:r>
    </w:p>
    <w:p w14:paraId="31B7B799" w14:textId="77777777" w:rsidR="00376AD3" w:rsidRPr="00C96363" w:rsidRDefault="00376AD3" w:rsidP="00851755">
      <w:pPr>
        <w:pStyle w:val="NoSpacing"/>
        <w:jc w:val="both"/>
        <w:rPr>
          <w:rFonts w:cs="Calibri"/>
          <w:sz w:val="24"/>
          <w:szCs w:val="24"/>
          <w:u w:val="single"/>
          <w:lang w:val="en-US"/>
        </w:rPr>
      </w:pPr>
    </w:p>
    <w:p w14:paraId="700B3C20" w14:textId="716856C0" w:rsidR="0053036F" w:rsidRPr="00C96363" w:rsidRDefault="00376AD3" w:rsidP="00851755">
      <w:pPr>
        <w:pStyle w:val="NoSpacing"/>
        <w:jc w:val="both"/>
        <w:rPr>
          <w:rFonts w:cs="Calibri"/>
          <w:sz w:val="24"/>
          <w:szCs w:val="24"/>
          <w:lang w:val="en-US"/>
        </w:rPr>
      </w:pPr>
      <w:r w:rsidRPr="00C96363">
        <w:rPr>
          <w:rFonts w:cs="Calibri"/>
          <w:sz w:val="24"/>
          <w:szCs w:val="24"/>
          <w:lang w:val="en-US"/>
        </w:rPr>
        <w:t xml:space="preserve">NOTE: </w:t>
      </w:r>
      <w:r w:rsidR="0053036F" w:rsidRPr="00C96363">
        <w:rPr>
          <w:rFonts w:cs="Calibri"/>
          <w:sz w:val="24"/>
          <w:szCs w:val="24"/>
          <w:lang w:val="en-US"/>
        </w:rPr>
        <w:t xml:space="preserve">The most significant contributor to the successful production of virus particles is </w:t>
      </w:r>
      <w:r w:rsidR="0008624B" w:rsidRPr="00C96363">
        <w:rPr>
          <w:rFonts w:cs="Calibri"/>
          <w:sz w:val="24"/>
          <w:szCs w:val="24"/>
          <w:lang w:val="en-US"/>
        </w:rPr>
        <w:t xml:space="preserve">the </w:t>
      </w:r>
      <w:r w:rsidR="0053036F" w:rsidRPr="00C96363">
        <w:rPr>
          <w:rFonts w:cs="Calibri"/>
          <w:sz w:val="24"/>
          <w:szCs w:val="24"/>
          <w:lang w:val="en-US"/>
        </w:rPr>
        <w:t xml:space="preserve">health of the producer 293T cells, confluency at transfection and time of harvest. Laboratories will typically have their preferred transfection reagents and protocol for retroviral particle production. The following protocol yields good quality infectious </w:t>
      </w:r>
      <w:r w:rsidR="00E74187" w:rsidRPr="00C96363">
        <w:rPr>
          <w:rFonts w:cs="Calibri"/>
          <w:sz w:val="24"/>
          <w:szCs w:val="24"/>
          <w:lang w:val="en-US"/>
        </w:rPr>
        <w:t>particles,</w:t>
      </w:r>
      <w:r w:rsidR="0053036F" w:rsidRPr="00C96363">
        <w:rPr>
          <w:rFonts w:cs="Calibri"/>
          <w:sz w:val="24"/>
          <w:szCs w:val="24"/>
          <w:lang w:val="en-US"/>
        </w:rPr>
        <w:t xml:space="preserve"> but equivalent protocols would also be suitable</w:t>
      </w:r>
      <w:r w:rsidRPr="00C96363">
        <w:rPr>
          <w:rFonts w:cs="Calibri"/>
          <w:sz w:val="24"/>
          <w:szCs w:val="24"/>
          <w:lang w:val="en-US"/>
        </w:rPr>
        <w:t xml:space="preserve"> for this application. </w:t>
      </w:r>
      <w:r w:rsidR="0053036F" w:rsidRPr="00C96363">
        <w:rPr>
          <w:rFonts w:cs="Calibri"/>
          <w:sz w:val="24"/>
          <w:szCs w:val="24"/>
          <w:lang w:val="en-US"/>
        </w:rPr>
        <w:t xml:space="preserve">To maintain good quality 293T cells, passage </w:t>
      </w:r>
      <w:r w:rsidR="00DB3A2C" w:rsidRPr="00C96363">
        <w:rPr>
          <w:rFonts w:cs="Calibri"/>
          <w:sz w:val="24"/>
          <w:szCs w:val="24"/>
          <w:lang w:val="en-US"/>
        </w:rPr>
        <w:t xml:space="preserve">at least </w:t>
      </w:r>
      <w:r w:rsidR="0053036F" w:rsidRPr="00C96363">
        <w:rPr>
          <w:rFonts w:cs="Calibri"/>
          <w:sz w:val="24"/>
          <w:szCs w:val="24"/>
          <w:lang w:val="en-US"/>
        </w:rPr>
        <w:t xml:space="preserve">three times per week to </w:t>
      </w:r>
      <w:r w:rsidR="00DB3A2C" w:rsidRPr="00C96363">
        <w:rPr>
          <w:rFonts w:cs="Calibri"/>
          <w:sz w:val="24"/>
          <w:szCs w:val="24"/>
          <w:lang w:val="en-US"/>
        </w:rPr>
        <w:t>maintain a constant growth rate</w:t>
      </w:r>
      <w:r w:rsidR="009F7DD8" w:rsidRPr="00C96363">
        <w:rPr>
          <w:rFonts w:cs="Calibri"/>
          <w:sz w:val="24"/>
          <w:szCs w:val="24"/>
          <w:lang w:val="en-US"/>
        </w:rPr>
        <w:t>. C</w:t>
      </w:r>
      <w:r w:rsidR="0053036F" w:rsidRPr="00C96363">
        <w:rPr>
          <w:rFonts w:cs="Calibri"/>
          <w:sz w:val="24"/>
          <w:szCs w:val="24"/>
          <w:lang w:val="en-US"/>
        </w:rPr>
        <w:t>ells should be</w:t>
      </w:r>
      <w:r w:rsidR="009F7DD8" w:rsidRPr="00C96363">
        <w:rPr>
          <w:rFonts w:cs="Calibri"/>
          <w:sz w:val="24"/>
          <w:szCs w:val="24"/>
          <w:lang w:val="en-US"/>
        </w:rPr>
        <w:t xml:space="preserve"> seeded</w:t>
      </w:r>
      <w:r w:rsidR="0053036F" w:rsidRPr="00C96363">
        <w:rPr>
          <w:rFonts w:cs="Calibri"/>
          <w:sz w:val="24"/>
          <w:szCs w:val="24"/>
          <w:lang w:val="en-US"/>
        </w:rPr>
        <w:t xml:space="preserve"> in the log phase of growth for efficient transfection</w:t>
      </w:r>
      <w:r w:rsidR="00DB3A2C" w:rsidRPr="00C96363">
        <w:rPr>
          <w:rFonts w:cs="Calibri"/>
          <w:sz w:val="24"/>
          <w:szCs w:val="24"/>
          <w:lang w:val="en-US"/>
        </w:rPr>
        <w:t>.</w:t>
      </w:r>
    </w:p>
    <w:p w14:paraId="7A0E85C4" w14:textId="77777777" w:rsidR="00376AD3" w:rsidRPr="00C96363" w:rsidRDefault="00376AD3" w:rsidP="00851755">
      <w:pPr>
        <w:pStyle w:val="NoSpacing"/>
        <w:jc w:val="both"/>
        <w:rPr>
          <w:rFonts w:cs="Calibri"/>
          <w:sz w:val="24"/>
          <w:szCs w:val="24"/>
          <w:lang w:val="en-US"/>
        </w:rPr>
      </w:pPr>
    </w:p>
    <w:p w14:paraId="1A2EB102" w14:textId="3AC536C2" w:rsidR="008A7469" w:rsidRPr="003F7539" w:rsidRDefault="008A7469" w:rsidP="00851755">
      <w:pPr>
        <w:pStyle w:val="ListParagraph"/>
        <w:numPr>
          <w:ilvl w:val="1"/>
          <w:numId w:val="32"/>
        </w:numPr>
        <w:ind w:left="0" w:firstLine="0"/>
        <w:rPr>
          <w:bCs/>
        </w:rPr>
      </w:pPr>
      <w:r w:rsidRPr="003F7539">
        <w:rPr>
          <w:bCs/>
        </w:rPr>
        <w:t xml:space="preserve">Day 1: Seed </w:t>
      </w:r>
      <w:r w:rsidR="00E5184F" w:rsidRPr="003F7539">
        <w:rPr>
          <w:bCs/>
        </w:rPr>
        <w:t xml:space="preserve">the </w:t>
      </w:r>
      <w:r w:rsidRPr="004A6846">
        <w:rPr>
          <w:bCs/>
        </w:rPr>
        <w:t xml:space="preserve">required number of 10 cm </w:t>
      </w:r>
      <w:r w:rsidR="009F7DD8" w:rsidRPr="003E0321">
        <w:rPr>
          <w:bCs/>
        </w:rPr>
        <w:t>dishes with a</w:t>
      </w:r>
      <w:r w:rsidRPr="003E0321">
        <w:rPr>
          <w:bCs/>
        </w:rPr>
        <w:t xml:space="preserve"> </w:t>
      </w:r>
      <w:r w:rsidR="00D66BEA" w:rsidRPr="003E0321">
        <w:rPr>
          <w:bCs/>
        </w:rPr>
        <w:t>1/4</w:t>
      </w:r>
      <w:r w:rsidR="009F7DD8" w:rsidRPr="003E0321">
        <w:rPr>
          <w:bCs/>
        </w:rPr>
        <w:t xml:space="preserve"> split from a near-confluent plate </w:t>
      </w:r>
      <w:r w:rsidRPr="003F7539">
        <w:rPr>
          <w:bCs/>
        </w:rPr>
        <w:t>of 293T cells</w:t>
      </w:r>
      <w:r w:rsidR="009F7DD8" w:rsidRPr="003F7539">
        <w:rPr>
          <w:bCs/>
        </w:rPr>
        <w:t xml:space="preserve"> to yield around 60% confluency the following day</w:t>
      </w:r>
      <w:r w:rsidR="0051610B" w:rsidRPr="003F7539">
        <w:rPr>
          <w:bCs/>
        </w:rPr>
        <w:t xml:space="preserve"> (approximately 5 x 10</w:t>
      </w:r>
      <w:r w:rsidR="0036768F" w:rsidRPr="003F7539">
        <w:rPr>
          <w:bCs/>
          <w:vertAlign w:val="superscript"/>
        </w:rPr>
        <w:t>5</w:t>
      </w:r>
      <w:r w:rsidR="0051610B" w:rsidRPr="003F7539">
        <w:rPr>
          <w:bCs/>
        </w:rPr>
        <w:t xml:space="preserve"> cells/m</w:t>
      </w:r>
      <w:r w:rsidR="008130A8" w:rsidRPr="003F7539">
        <w:rPr>
          <w:bCs/>
        </w:rPr>
        <w:t>L</w:t>
      </w:r>
      <w:r w:rsidR="0051610B" w:rsidRPr="003F7539">
        <w:rPr>
          <w:bCs/>
        </w:rPr>
        <w:t>)</w:t>
      </w:r>
      <w:r w:rsidR="009F7DD8" w:rsidRPr="003F7539">
        <w:rPr>
          <w:bCs/>
        </w:rPr>
        <w:t xml:space="preserve">. </w:t>
      </w:r>
      <w:r w:rsidR="00D535F8" w:rsidRPr="003F7539">
        <w:rPr>
          <w:bCs/>
        </w:rPr>
        <w:t>S</w:t>
      </w:r>
      <w:r w:rsidR="009F7DD8" w:rsidRPr="003F7539">
        <w:rPr>
          <w:bCs/>
        </w:rPr>
        <w:t xml:space="preserve">everal densities </w:t>
      </w:r>
      <w:r w:rsidR="00D535F8" w:rsidRPr="003F7539">
        <w:rPr>
          <w:bCs/>
        </w:rPr>
        <w:t xml:space="preserve">may need </w:t>
      </w:r>
      <w:r w:rsidR="009F7DD8" w:rsidRPr="003F7539">
        <w:rPr>
          <w:bCs/>
        </w:rPr>
        <w:t xml:space="preserve">to </w:t>
      </w:r>
      <w:r w:rsidR="00D535F8" w:rsidRPr="003F7539">
        <w:rPr>
          <w:bCs/>
        </w:rPr>
        <w:t xml:space="preserve">be seeded to </w:t>
      </w:r>
      <w:r w:rsidR="009F7DD8" w:rsidRPr="003F7539">
        <w:rPr>
          <w:bCs/>
        </w:rPr>
        <w:t>achieve an appropriate density for transfection the following day</w:t>
      </w:r>
      <w:r w:rsidR="00376AD3" w:rsidRPr="003F7539">
        <w:rPr>
          <w:bCs/>
        </w:rPr>
        <w:t xml:space="preserve"> </w:t>
      </w:r>
      <w:r w:rsidR="004870A8" w:rsidRPr="003F7539">
        <w:rPr>
          <w:bCs/>
        </w:rPr>
        <w:t>when working with a new</w:t>
      </w:r>
      <w:r w:rsidR="00376AD3" w:rsidRPr="003F7539">
        <w:rPr>
          <w:bCs/>
        </w:rPr>
        <w:t xml:space="preserve"> cell stock.</w:t>
      </w:r>
    </w:p>
    <w:p w14:paraId="0C49567F" w14:textId="77777777" w:rsidR="00376AD3" w:rsidRPr="003F7539" w:rsidRDefault="00376AD3" w:rsidP="00851755">
      <w:pPr>
        <w:rPr>
          <w:bCs/>
        </w:rPr>
      </w:pPr>
    </w:p>
    <w:p w14:paraId="74880586" w14:textId="28E3485E" w:rsidR="003E733B" w:rsidRPr="003F7539" w:rsidRDefault="008A7469" w:rsidP="00851755">
      <w:pPr>
        <w:pStyle w:val="ListParagraph"/>
        <w:numPr>
          <w:ilvl w:val="1"/>
          <w:numId w:val="32"/>
        </w:numPr>
        <w:ind w:left="0" w:firstLine="0"/>
      </w:pPr>
      <w:r w:rsidRPr="003F7539">
        <w:rPr>
          <w:bCs/>
        </w:rPr>
        <w:lastRenderedPageBreak/>
        <w:t>Day 2</w:t>
      </w:r>
      <w:r w:rsidR="00426A48" w:rsidRPr="003F7539">
        <w:t xml:space="preserve"> (morning): </w:t>
      </w:r>
      <w:r w:rsidR="00E5184F" w:rsidRPr="003F7539">
        <w:t>C</w:t>
      </w:r>
      <w:r w:rsidR="009F7DD8" w:rsidRPr="003F7539">
        <w:t xml:space="preserve">heck </w:t>
      </w:r>
      <w:r w:rsidR="00B87CC5" w:rsidRPr="003F7539">
        <w:t xml:space="preserve">for </w:t>
      </w:r>
      <w:r w:rsidR="000C6CC7" w:rsidRPr="003F7539">
        <w:t xml:space="preserve">approximately </w:t>
      </w:r>
      <w:r w:rsidR="00591270" w:rsidRPr="003F7539">
        <w:t>60% confluency</w:t>
      </w:r>
      <w:r w:rsidR="009F7DD8" w:rsidRPr="003F7539">
        <w:t xml:space="preserve"> </w:t>
      </w:r>
      <w:r w:rsidR="00B87CC5" w:rsidRPr="003F7539">
        <w:t xml:space="preserve">by </w:t>
      </w:r>
      <w:r w:rsidR="009F7DD8" w:rsidRPr="003F7539">
        <w:t xml:space="preserve">microscopy and gently </w:t>
      </w:r>
      <w:r w:rsidR="00426A48" w:rsidRPr="003F7539">
        <w:t>replace media on cells with 10 m</w:t>
      </w:r>
      <w:r w:rsidR="00A642B5" w:rsidRPr="003F7539">
        <w:t>L</w:t>
      </w:r>
      <w:r w:rsidR="00426A48" w:rsidRPr="003F7539">
        <w:t xml:space="preserve"> </w:t>
      </w:r>
      <w:r w:rsidR="00287731">
        <w:t xml:space="preserve">of </w:t>
      </w:r>
      <w:r w:rsidR="00426A48" w:rsidRPr="003F7539">
        <w:t xml:space="preserve">fresh </w:t>
      </w:r>
      <w:r w:rsidR="00FD1BAB" w:rsidRPr="003F7539">
        <w:t>Dulbecco's Modified Eagle Medium (</w:t>
      </w:r>
      <w:r w:rsidR="00426A48" w:rsidRPr="003F7539">
        <w:t>DMEM</w:t>
      </w:r>
      <w:r w:rsidR="00FD1BAB" w:rsidRPr="003F7539">
        <w:t>).</w:t>
      </w:r>
    </w:p>
    <w:p w14:paraId="2148D925" w14:textId="77777777" w:rsidR="003E733B" w:rsidRPr="003F7539" w:rsidRDefault="003E733B" w:rsidP="00851755">
      <w:pPr>
        <w:pStyle w:val="ListParagraph"/>
        <w:ind w:left="0"/>
        <w:rPr>
          <w:b/>
        </w:rPr>
      </w:pPr>
    </w:p>
    <w:p w14:paraId="02BF36D6" w14:textId="4C0335AF" w:rsidR="00376AD3" w:rsidRPr="003F7539" w:rsidRDefault="00426A48" w:rsidP="00851755">
      <w:pPr>
        <w:pStyle w:val="ListParagraph"/>
        <w:numPr>
          <w:ilvl w:val="1"/>
          <w:numId w:val="32"/>
        </w:numPr>
        <w:ind w:left="0" w:firstLine="0"/>
      </w:pPr>
      <w:r w:rsidRPr="003F7539">
        <w:rPr>
          <w:bCs/>
        </w:rPr>
        <w:t>Day 2</w:t>
      </w:r>
      <w:r w:rsidRPr="003F7539">
        <w:rPr>
          <w:b/>
        </w:rPr>
        <w:t xml:space="preserve"> </w:t>
      </w:r>
      <w:r w:rsidRPr="003F7539">
        <w:rPr>
          <w:bCs/>
        </w:rPr>
        <w:t>(afternoon, at least 4 h after media change):</w:t>
      </w:r>
      <w:r w:rsidRPr="003F7539">
        <w:rPr>
          <w:b/>
        </w:rPr>
        <w:t xml:space="preserve"> </w:t>
      </w:r>
      <w:r w:rsidR="008A7469" w:rsidRPr="003F7539">
        <w:t>Transfect</w:t>
      </w:r>
      <w:r w:rsidRPr="003F7539">
        <w:t xml:space="preserve"> for VLP production</w:t>
      </w:r>
      <w:r w:rsidR="0008624B" w:rsidRPr="003F7539">
        <w:t>.</w:t>
      </w:r>
    </w:p>
    <w:p w14:paraId="7CA773C6" w14:textId="77777777" w:rsidR="00376AD3" w:rsidRPr="003F7539" w:rsidRDefault="00376AD3" w:rsidP="00851755"/>
    <w:p w14:paraId="3F117070" w14:textId="61C50646" w:rsidR="00376AD3" w:rsidRPr="003F7539" w:rsidRDefault="00376AD3" w:rsidP="00851755">
      <w:pPr>
        <w:pStyle w:val="ListParagraph"/>
        <w:numPr>
          <w:ilvl w:val="2"/>
          <w:numId w:val="32"/>
        </w:numPr>
        <w:ind w:left="0" w:firstLine="0"/>
      </w:pPr>
      <w:r w:rsidRPr="003F7539">
        <w:t xml:space="preserve">Make up </w:t>
      </w:r>
      <w:r w:rsidR="00D91AAE" w:rsidRPr="003F7539">
        <w:t xml:space="preserve">the </w:t>
      </w:r>
      <w:r w:rsidRPr="003F7539">
        <w:t>DNA dilution mix</w:t>
      </w:r>
      <w:r w:rsidR="00157F83" w:rsidRPr="003F7539">
        <w:t xml:space="preserve"> containing 3 µg each of </w:t>
      </w:r>
      <w:r w:rsidR="00157F83" w:rsidRPr="003F7539">
        <w:rPr>
          <w:i/>
        </w:rPr>
        <w:t>gag-pol</w:t>
      </w:r>
      <w:r w:rsidR="00157F83" w:rsidRPr="003F7539">
        <w:t xml:space="preserve"> expressor plasmid, Long-terminal repeat (LTR)-driven reporter plasmid and Vesicular Stomatitis Virus G protein (VSV-G) expressor plasmid (total 9 µg</w:t>
      </w:r>
      <w:r w:rsidR="00D66BEA" w:rsidRPr="003F7539">
        <w:t xml:space="preserve">, see </w:t>
      </w:r>
      <w:r w:rsidR="00D91AAE" w:rsidRPr="003F7539">
        <w:t>NOTE</w:t>
      </w:r>
      <w:r w:rsidR="00157F83" w:rsidRPr="003F7539">
        <w:t>)</w:t>
      </w:r>
      <w:r w:rsidRPr="003F7539">
        <w:t xml:space="preserve"> in 600 </w:t>
      </w:r>
      <w:r w:rsidR="00A0271E" w:rsidRPr="003F7539">
        <w:t>µL</w:t>
      </w:r>
      <w:r w:rsidRPr="003F7539">
        <w:t xml:space="preserve"> </w:t>
      </w:r>
      <w:r w:rsidR="00287731">
        <w:t xml:space="preserve">of </w:t>
      </w:r>
      <w:r w:rsidRPr="003F7539">
        <w:t>serum-free DMEM</w:t>
      </w:r>
      <w:r w:rsidR="00287731">
        <w:t>. V</w:t>
      </w:r>
      <w:r w:rsidR="003E733B" w:rsidRPr="003F7539">
        <w:t>ortex</w:t>
      </w:r>
      <w:r w:rsidR="00287731">
        <w:t xml:space="preserve"> and</w:t>
      </w:r>
      <w:r w:rsidR="00287731" w:rsidRPr="003F7539">
        <w:t xml:space="preserve"> </w:t>
      </w:r>
      <w:r w:rsidR="003E733B" w:rsidRPr="003F7539">
        <w:t>centrifuge briefly</w:t>
      </w:r>
      <w:r w:rsidR="00304DF7" w:rsidRPr="003F7539">
        <w:t xml:space="preserve"> (15 s, &gt;500 x </w:t>
      </w:r>
      <w:r w:rsidR="00304DF7" w:rsidRPr="003F7539">
        <w:rPr>
          <w:i/>
          <w:iCs/>
        </w:rPr>
        <w:t>g</w:t>
      </w:r>
      <w:r w:rsidR="00304DF7" w:rsidRPr="003F7539">
        <w:t>)</w:t>
      </w:r>
      <w:r w:rsidR="00851755" w:rsidRPr="003F7539">
        <w:t>.</w:t>
      </w:r>
    </w:p>
    <w:p w14:paraId="4E0BE06C" w14:textId="77777777" w:rsidR="003E733B" w:rsidRPr="003F7539" w:rsidRDefault="003E733B" w:rsidP="00851755">
      <w:pPr>
        <w:pStyle w:val="ListParagraph"/>
        <w:ind w:left="0"/>
      </w:pPr>
    </w:p>
    <w:p w14:paraId="54210F29" w14:textId="78EF6F6C" w:rsidR="00376AD3" w:rsidRPr="003F7539" w:rsidRDefault="00376AD3" w:rsidP="00851755">
      <w:pPr>
        <w:pStyle w:val="ListParagraph"/>
        <w:numPr>
          <w:ilvl w:val="2"/>
          <w:numId w:val="32"/>
        </w:numPr>
        <w:ind w:left="0" w:firstLine="0"/>
      </w:pPr>
      <w:r w:rsidRPr="003F7539">
        <w:t xml:space="preserve">Add </w:t>
      </w:r>
      <w:r w:rsidR="0051610B" w:rsidRPr="003F7539">
        <w:t>2</w:t>
      </w:r>
      <w:r w:rsidRPr="003F7539">
        <w:t>0 µL</w:t>
      </w:r>
      <w:r w:rsidR="008C5825" w:rsidRPr="003F7539">
        <w:t xml:space="preserve"> </w:t>
      </w:r>
      <w:r w:rsidR="00287731">
        <w:t xml:space="preserve">of </w:t>
      </w:r>
      <w:r w:rsidR="00D91AAE" w:rsidRPr="003F7539">
        <w:t xml:space="preserve">transfection reagent (see </w:t>
      </w:r>
      <w:r w:rsidR="00D91AAE" w:rsidRPr="003F7539">
        <w:rPr>
          <w:b/>
          <w:bCs/>
        </w:rPr>
        <w:t>Table of Materials</w:t>
      </w:r>
      <w:r w:rsidR="00D91AAE" w:rsidRPr="003F7539">
        <w:t>)</w:t>
      </w:r>
      <w:r w:rsidR="00D66BEA" w:rsidRPr="003F7539">
        <w:t>,</w:t>
      </w:r>
      <w:r w:rsidRPr="003F7539">
        <w:t xml:space="preserve"> vortex (do</w:t>
      </w:r>
      <w:r w:rsidR="003E733B" w:rsidRPr="003F7539">
        <w:t xml:space="preserve"> not</w:t>
      </w:r>
      <w:r w:rsidRPr="003F7539">
        <w:t xml:space="preserve"> </w:t>
      </w:r>
      <w:r w:rsidR="003E733B" w:rsidRPr="003F7539">
        <w:t>centrifuge</w:t>
      </w:r>
      <w:r w:rsidRPr="003F7539">
        <w:t>)</w:t>
      </w:r>
      <w:r w:rsidR="00157F83" w:rsidRPr="003F7539">
        <w:t xml:space="preserve"> and </w:t>
      </w:r>
      <w:r w:rsidRPr="003F7539">
        <w:t xml:space="preserve">incubate at </w:t>
      </w:r>
      <w:r w:rsidR="003E733B" w:rsidRPr="003F7539">
        <w:t xml:space="preserve">20 </w:t>
      </w:r>
      <w:r w:rsidR="00D91AAE" w:rsidRPr="003F7539">
        <w:t>°</w:t>
      </w:r>
      <w:r w:rsidR="003E733B" w:rsidRPr="003F7539">
        <w:t>C</w:t>
      </w:r>
      <w:r w:rsidRPr="003F7539">
        <w:t xml:space="preserve"> for </w:t>
      </w:r>
      <w:r w:rsidR="0051610B" w:rsidRPr="003F7539">
        <w:t>15</w:t>
      </w:r>
      <w:r w:rsidR="00D91AAE" w:rsidRPr="003F7539">
        <w:t>–</w:t>
      </w:r>
      <w:r w:rsidR="0051610B" w:rsidRPr="003F7539">
        <w:t>2</w:t>
      </w:r>
      <w:r w:rsidRPr="003F7539">
        <w:t>0 min</w:t>
      </w:r>
      <w:r w:rsidR="00157F83" w:rsidRPr="003F7539">
        <w:t xml:space="preserve">. </w:t>
      </w:r>
      <w:r w:rsidRPr="003F7539">
        <w:t>Add</w:t>
      </w:r>
      <w:r w:rsidR="00157F83" w:rsidRPr="003F7539">
        <w:t xml:space="preserve"> the</w:t>
      </w:r>
      <w:r w:rsidRPr="003F7539">
        <w:t xml:space="preserve"> transfection mix dropwise to the plate</w:t>
      </w:r>
      <w:r w:rsidR="003E733B" w:rsidRPr="003F7539">
        <w:t>,</w:t>
      </w:r>
      <w:r w:rsidRPr="003F7539">
        <w:t xml:space="preserve"> swirl gently to mix</w:t>
      </w:r>
      <w:r w:rsidR="00157F83" w:rsidRPr="003F7539">
        <w:t>,</w:t>
      </w:r>
      <w:r w:rsidR="003E733B" w:rsidRPr="003F7539">
        <w:t xml:space="preserve"> and return to </w:t>
      </w:r>
      <w:r w:rsidR="0008624B" w:rsidRPr="003F7539">
        <w:t xml:space="preserve">the </w:t>
      </w:r>
      <w:r w:rsidR="003E733B" w:rsidRPr="003F7539">
        <w:t>incubator</w:t>
      </w:r>
      <w:r w:rsidR="00157F83" w:rsidRPr="003F7539">
        <w:t>.</w:t>
      </w:r>
    </w:p>
    <w:p w14:paraId="134F8BF6" w14:textId="77777777" w:rsidR="003E733B" w:rsidRPr="003F7539" w:rsidRDefault="003E733B" w:rsidP="00851755">
      <w:pPr>
        <w:pStyle w:val="ListParagraph"/>
        <w:ind w:left="0"/>
      </w:pPr>
    </w:p>
    <w:p w14:paraId="6DB91DB4" w14:textId="68635858" w:rsidR="003E733B" w:rsidRPr="003F7539" w:rsidRDefault="003E733B" w:rsidP="00851755">
      <w:r w:rsidRPr="00C96363">
        <w:t>NOTE</w:t>
      </w:r>
      <w:r w:rsidRPr="003F7539">
        <w:t>: For MLV VLP expressing SAMHD1 use KB4</w:t>
      </w:r>
      <w:r w:rsidR="00FD71F4" w:rsidRPr="003F7539">
        <w:fldChar w:fldCharType="begin" w:fldLock="1"/>
      </w:r>
      <w:r w:rsidR="00D0611B" w:rsidRPr="003F7539">
        <w:instrText>ADDIN CSL_CITATION {"citationItems":[{"id":"ITEM-1","itemData":{"DOI":"10.1186/1742-4690-7-10","ISSN":"17424690","abstract":"Background: Detection of a retrovirus, xenotropic murine leukaemia virus-related virus (XMRV), has recently been reported in 67% of patients with chronic fatigue syndrome. We have studied a total of 170 samples from chronic fatigue syndrome patients from two UK cohorts and 395 controls for evidence of XMRV infection by looking either for the presence of viral nucleic acids using quantitative PCR (limit of detection  &lt; 16 viral copies) or for the presence of serological responses using a virus neutralisation assay.Results: We have not identified XMRV DNA in any samples by PCR (0/299). Some serum samples showed XMRV neutralising activity (26/565) but only one of these positive sera came from a CFS patient. Most of the positive sera were also able to neutralise MLV particles pseudotyped with envelope proteins from other viruses, including vesicular stomatitis virus, indicating significant cross-reactivity in serological responses. Four positive samples were specific for XMRV.Conclusions: No association between XMRV infection and CFS was observed in the samples tested, either by PCR or serological methodologies. The non-specific neutralisation observed in multiple serum samples suggests that it is unlikely that these responses were elicited by XMRV and highlights the danger of over-estimating XMRV frequency based on serological assays. In spite of this, we believe that the detection of neutralising activity that did not inhibit VSV-G pseudotyped MLV in at least four human serum samples indicates that XMRV infection may occur in the general population, although with currently uncertain outcomes. © 2010 Groom et al; licensee BioMed Central Ltd.","author":[{"dropping-particle":"","family":"Groom","given":"H.C.T.","non-dropping-particle":"","parse-names":false,"suffix":""},{"dropping-particle":"","family":"Boucherit","given":"V.C.","non-dropping-particle":"","parse-names":false,"suffix":""},{"dropping-particle":"","family":"Makinson","given":"K.","non-dropping-particle":"","parse-names":false,"suffix":""},{"dropping-particle":"","family":"Randal","given":"E.","non-dropping-particle":"","parse-names":false,"suffix":""},{"dropping-particle":"","family":"Baptista","given":"S.","non-dropping-particle":"","parse-names":false,"suffix":""},{"dropping-particle":"","family":"Hagan","given":"S.","non-dropping-particle":"","parse-names":false,"suffix":""},{"dropping-particle":"","family":"Gow","given":"J.W.","non-dropping-particle":"","parse-names":false,"suffix":""},{"dropping-particle":"","family":"Mattes","given":"F.M.","non-dropping-particle":"","parse-names":false,"suffix":""},{"dropping-particle":"","family":"Breuer","given":"J.","non-dropping-particle":"","parse-names":false,"suffix":""},{"dropping-particle":"","family":"Kerr","given":"J.R.","non-dropping-particle":"","parse-names":false,"suffix":""},{"dropping-particle":"","family":"Stoye","given":"J.P.","non-dropping-particle":"","parse-names":false,"suffix":""},{"dropping-particle":"","family":"Bishop","given":"K.N.","non-dropping-particle":"","parse-names":false,"suffix":""}],"container-title":"Retrovirology","id":"ITEM-1","issued":{"date-parts":[["2010"]]},"title":"Absence of xenotropic murine leukaemia virus-related virus in UK patients with chronic fatigue syndrome","type":"article-journal","volume":"7"},"uris":["http://www.mendeley.com/documents/?uuid=7bd69133-f31d-3d91-af5d-862d756d65a9"]},{"id":"ITEM-2","itemData":{"DOI":"S0092-8674(00)00170-7 [pii]","ISBN":"0092-8674 (Print)\r0092-8674 (Linking)","PMID":"11106737","abstract":"Avian leukosis virus (ALV) has been used as a model system to understand the mechanism of pH-independent viral entry involving receptor-induced conformational changes in the viral envelope (Env) glycoprotein that lead to membrane fusion. Here, we report the unexpected finding that ALV entry depends on a critical low pH step that was overlooked when this virus was directly compared to the classical pH-dependent influenza A virus. In contrast to influenza A virus, receptor interaction plays an essential role in priming ALV Env for subsequent low pH triggering. Our results reveal a novel principle in viral entry, namely that receptor interaction can convert a pH-insensitive viral glycoprotein to a form that is responsive to low pH.","author":[{"dropping-particle":"","family":"Mothes","given":"W","non-dropping-particle":"","parse-names":false,"suffix":""},{"dropping-particle":"","family":"Boerger","given":"A L","non-dropping-particle":"","parse-names":false,"suffix":""},{"dropping-particle":"","family":"Narayan","given":"S","non-dropping-particle":"","parse-names":false,"suffix":""},{"dropping-particle":"","family":"Cunningham","given":"J M","non-dropping-particle":"","parse-names":false,"suffix":""},{"dropping-particle":"","family":"Young","given":"J A","non-dropping-particle":"","parse-names":false,"suffix":""}],"container-title":"Cell","edition":"2000/12/07","id":"ITEM-2","issue":"4","issued":{"date-parts":[["2000"]]},"language":"eng","note":"Mothes, W\nBoerger, A L\nNarayan, S\nCunningham, J M\nYoung, J A\nCA70810/CA/NCI NIH HHS/United States\nResearch Support, Non-U.S. Gov't\nResearch Support, U.S. Gov't, P.H.S.\nUnited states\nCell\nCell. 2000 Nov 10;103(4):679-89.","page":"679-689","title":"Retroviral entry mediated by receptor priming and low pH triggering of an envelope glycoprotein","type":"article-journal","volume":"103"},"uris":["http://www.mendeley.com/documents/?uuid=ac24ce91-793b-4efc-a504-4917e8a47c2f"]}],"mendeley":{"formattedCitation":"&lt;sup&gt;5, 6&lt;/sup&gt;","plainTextFormattedCitation":"5, 6","previouslyFormattedCitation":"&lt;sup&gt;5, 6&lt;/sup&gt;"},"properties":{"noteIndex":0},"schema":"https://github.com/citation-style-language/schema/raw/master/csl-citation.json"}</w:instrText>
      </w:r>
      <w:r w:rsidR="00FD71F4" w:rsidRPr="003F7539">
        <w:fldChar w:fldCharType="separate"/>
      </w:r>
      <w:r w:rsidR="00D0611B" w:rsidRPr="00C96363">
        <w:rPr>
          <w:vertAlign w:val="superscript"/>
        </w:rPr>
        <w:t>5,6</w:t>
      </w:r>
      <w:r w:rsidR="00FD71F4" w:rsidRPr="003F7539">
        <w:fldChar w:fldCharType="end"/>
      </w:r>
      <w:r w:rsidR="00FC47EC" w:rsidRPr="003F7539">
        <w:t xml:space="preserve"> </w:t>
      </w:r>
      <w:r w:rsidR="00D140DB" w:rsidRPr="003F7539">
        <w:t>(</w:t>
      </w:r>
      <w:r w:rsidR="00D140DB" w:rsidRPr="004A6846">
        <w:rPr>
          <w:i/>
        </w:rPr>
        <w:t>gag-pol</w:t>
      </w:r>
      <w:r w:rsidR="00D140DB" w:rsidRPr="004A6846">
        <w:t xml:space="preserve"> expressor</w:t>
      </w:r>
      <w:r w:rsidR="00D140DB" w:rsidRPr="003E0321">
        <w:t xml:space="preserve"> plasmid)</w:t>
      </w:r>
      <w:r w:rsidRPr="003E0321">
        <w:t>, pLGatewaySAMHD1IeYFP</w:t>
      </w:r>
      <w:r w:rsidR="00D0611B" w:rsidRPr="004A6846">
        <w:fldChar w:fldCharType="begin" w:fldLock="1"/>
      </w:r>
      <w:r w:rsidR="00D0611B" w:rsidRPr="003F7539">
        <w:instrText>ADDIN CSL_CITATION {"citationItems":[{"id":"ITEM-1","itemData":{"DOI":"10.1371/journal.ppat.1005194","ISSN":"15537374","author":[{"dropping-particle":"","family":"Arnold","given":"Laurence H","non-dropping-particle":"","parse-names":false,"suffix":""},{"dropping-particle":"","family":"Groom","given":"Harriet C T.","non-dropping-particle":"","parse-names":false,"suffix":""},{"dropping-particle":"","family":"Kunzelmann","given":"Simone","non-dropping-particle":"","parse-names":false,"suffix":""},{"dropping-particle":"","family":"Schwefel","given":"David","non-dropping-particle":"","parse-names":false,"suffix":""},{"dropping-particle":"","family":"Caswell","given":"Sarah J","non-dropping-particle":"","parse-names":false,"suffix":""},{"dropping-particle":"","family":"Ordonez","given":"Paula","non-dropping-particle":"","parse-names":false,"suffix":""},{"dropping-particle":"","family":"Mann","given":"Melanie C","non-dropping-particle":"","parse-names":false,"suffix":""},{"dropping-particle":"","family":"Rueschenbaum","given":"Sabrina","non-dropping-particle":"","parse-names":false,"suffix":""},{"dropping-particle":"","family":"Goldstone","given":"David C","non-dropping-particle":"","parse-names":false,"suffix":""},{"dropping-particle":"","family":"Pennell","given":"Simon","non-dropping-particle":"","parse-names":false,"suffix":""},{"dropping-particle":"","family":"Howell","given":"Steven A","non-dropping-particle":"","parse-names":false,"suffix":""},{"dropping-particle":"","family":"Stoye","given":"Jonathan P","non-dropping-particle":"","parse-names":false,"suffix":""},{"dropping-particle":"","family":"Webb","given":"Michelle","non-dropping-particle":"","parse-names":false,"suffix":""},{"dropping-particle":"","family":"Taylor","given":"Ian A","non-dropping-particle":"","parse-names":false,"suffix":""},{"dropping-particle":"","family":"Bishop","given":"Kate N","non-dropping-particle":"","parse-names":false,"suffix":""}],"container-title":"PLoS Pathogens","id":"ITEM-1","issued":{"date-parts":[["2015"]]},"page":"e1005194","title":"Phospho-dependent Regulation of SAMHD1 Oligomerisation Couples Catalysis and Restriction","type":"article-journal","volume":"11"},"uris":["http://www.mendeley.com/documents/?uuid=63e4409f-b168-43e3-a5a0-4e87d0bf5355"]}],"mendeley":{"formattedCitation":"&lt;sup&gt;1&lt;/sup&gt;","plainTextFormattedCitation":"1","previouslyFormattedCitation":"&lt;sup&gt;1&lt;/sup&gt;"},"properties":{"noteIndex":0},"schema":"https://github.com/citation-style-language/schema/raw/master/csl-citation.json"}</w:instrText>
      </w:r>
      <w:r w:rsidR="00D0611B" w:rsidRPr="004A6846">
        <w:fldChar w:fldCharType="separate"/>
      </w:r>
      <w:r w:rsidR="00D0611B" w:rsidRPr="00C96363">
        <w:rPr>
          <w:vertAlign w:val="superscript"/>
        </w:rPr>
        <w:t>1</w:t>
      </w:r>
      <w:r w:rsidR="00D0611B" w:rsidRPr="004A6846">
        <w:fldChar w:fldCharType="end"/>
      </w:r>
      <w:r w:rsidRPr="003F7539">
        <w:t xml:space="preserve"> </w:t>
      </w:r>
      <w:r w:rsidR="00D140DB" w:rsidRPr="004A6846">
        <w:t xml:space="preserve">(LTR-driven reporter plasmid) </w:t>
      </w:r>
      <w:r w:rsidRPr="004A6846">
        <w:t>and p</w:t>
      </w:r>
      <w:r w:rsidR="00FD71F4" w:rsidRPr="003E0321">
        <w:t>cz</w:t>
      </w:r>
      <w:r w:rsidRPr="003E0321">
        <w:t>VSV-G</w:t>
      </w:r>
      <w:r w:rsidR="00D0611B" w:rsidRPr="004A6846">
        <w:fldChar w:fldCharType="begin" w:fldLock="1"/>
      </w:r>
      <w:r w:rsidR="00D0611B" w:rsidRPr="003F7539">
        <w:instrText>ADDIN CSL_CITATION {"citationItems":[{"id":"ITEM-1","itemData":{"DOI":"10.1128/jvi.73.4.2613-2621.1999","ISSN":"0022-538X","PMID":"10074106","abstract":" Unlike other subclasses of the Retroviridae the Spumavirinae , its prototype member being the so-called human foamy virus (HFV), require the expression of the envelope (Env) glycoprotein for viral particle egress. Both the murine leukemia virus (MuLV) Env and the vesicular stomatitis virus G protein, which efficiently pseudotype other retrovirus capsids, were not able to support export of HFV particles. Analysis of deletion and point mutants of the HFV Env protein revealed that the HFV Env cytoplasmic domain (CyD) is dispensable for HFV particle envelopment, release, and infectivity, whereas deletion of the membrane-spanning-domain (MSD) led to an accumulation of naked capsids in the cytoplasm. Neither alternative membrane association of HFV Env deletion mutants lacking the MSD and CyD via phosphoglycolipid anchor nor domain swapping mutants, with the MSD or CyD of MuLV Env and VSV-G exchanged against the corresponding HFV domains, could restore particle envelopment and the release defect of pseudotypes. However, replacement of the HFV MSD with that of MuLV led to budding of HFV capsids at the intracellular membranes. These virions were of apparently wild-type morphology but were not naturally released into the supernatant and they were noninfectious. ","author":[{"dropping-particle":"","family":"Pietschmann","given":"Thomas","non-dropping-particle":"","parse-names":false,"suffix":""},{"dropping-particle":"","family":"Heinkelein","given":"Martin","non-dropping-particle":"","parse-names":false,"suffix":""},{"dropping-particle":"","family":"Heldmann","given":"Martina","non-dropping-particle":"","parse-names":false,"suffix":""},{"dropping-particle":"","family":"Zentgraf","given":"Hanswalter","non-dropping-particle":"","parse-names":false,"suffix":""},{"dropping-particle":"","family":"Rethwilm","given":"Axel","non-dropping-particle":"","parse-names":false,"suffix":""},{"dropping-particle":"","family":"Lindemann","given":"Dirk","non-dropping-particle":"","parse-names":false,"suffix":""}],"container-title":"Journal of Virology","id":"ITEM-1","issued":{"date-parts":[["1999"]]},"title":"Foamy Virus Capsids Require the Cognate Envelope Protein for Particle Export","type":"article-journal"},"uris":["http://www.mendeley.com/documents/?uuid=959eba22-d20a-415c-8221-54b7f2bded70"]}],"mendeley":{"formattedCitation":"&lt;sup&gt;7&lt;/sup&gt;","plainTextFormattedCitation":"7"},"properties":{"noteIndex":0},"schema":"https://github.com/citation-style-language/schema/raw/master/csl-citation.json"}</w:instrText>
      </w:r>
      <w:r w:rsidR="00D0611B" w:rsidRPr="004A6846">
        <w:fldChar w:fldCharType="separate"/>
      </w:r>
      <w:r w:rsidR="00D0611B" w:rsidRPr="00C96363">
        <w:rPr>
          <w:vertAlign w:val="superscript"/>
        </w:rPr>
        <w:t>7</w:t>
      </w:r>
      <w:r w:rsidR="00D0611B" w:rsidRPr="004A6846">
        <w:fldChar w:fldCharType="end"/>
      </w:r>
      <w:r w:rsidRPr="003F7539">
        <w:t>. For HIV-RFP VLP, use p8.91</w:t>
      </w:r>
      <w:r w:rsidR="00D0611B" w:rsidRPr="004A6846">
        <w:fldChar w:fldCharType="begin" w:fldLock="1"/>
      </w:r>
      <w:r w:rsidR="00D0611B" w:rsidRPr="003F7539">
        <w:instrText>ADDIN CSL_CITATION {"citationItems":[{"id":"ITEM-1","itemData":{"PMID":"8602510","abstract":"A retroviral vector system based on the human immunodeficiency virus (HIV) was developed that, in contrast to a murine leukemia virus-based counterpart, transduced heterologous sequences into HeLa cells and rat fibroblasts blocked in the cell cycle, as well as into human primary macrophages. Additionally, the HIV vector could mediate stable in vivo gene transfer into terminally differentiated neurons. The ability of HIV-based viral vectors to deliver genes in vivo into nondividing cells could increase the applicability of retroviral vectors in human gene therapy.","author":[{"dropping-particle":"","family":"Naldini","given":"L","non-dropping-particle":"","parse-names":false,"suffix":""},{"dropping-particle":"","family":"Blomer","given":"U","non-dropping-particle":"","parse-names":false,"suffix":""},{"dropping-particle":"","family":"Gallay","given":"P","non-dropping-particle":"","parse-names":false,"suffix":""},{"dropping-particle":"","family":"Ory","given":"D","non-dropping-particle":"","parse-names":false,"suffix":""},{"dropping-particle":"","family":"Mulligan","given":"R","non-dropping-particle":"","parse-names":false,"suffix":""},{"dropping-particle":"","family":"Gage","given":"F H","non-dropping-particle":"","parse-names":false,"suffix":""},{"dropping-particle":"","family":"Verma","given":"I M","non-dropping-particle":"","parse-names":false,"suffix":""},{"dropping-particle":"","family":"Trono","given":"D","non-dropping-particle":"","parse-names":false,"suffix":""}],"container-title":"Science","id":"ITEM-1","issue":"5259","issued":{"date-parts":[["1996"]]},"note":"0036-8075 (Print)\nJournal Article\nResearch Support, Non-U.S. Gov't\nResearch Support, U.S. Gov't, P.H.S.","page":"263-267","title":"In vivo gene delivery and stable transduction of nondividing cells by a lentiviral vector","type":"article-journal","volume":"272"},"uris":["http://www.mendeley.com/documents/?uuid=d56c4365-fc0e-4daf-8a5b-5446d093f315"]},{"id":"ITEM-2","itemData":{"DOI":"10.1038/sj.gt.3301574","ISBN":"0969-7128 (Print)\r0969-7128 (Linking)","PMID":"11895005","abstract":"We have evaluated the transduction profiles of an HIV-based lentiviral vector delivered regionally to ocular tissues in vivo. Following subretinal injection, a green fluorescent protein (GFP) reporter gene was efficiently and stably expressed in retinal pigment epithelial (RPE) cells. Limited transduction of adjacent photoreceptors occurred in newborn mice, but was inefficient in adult animals. Injection of the vector into the anterior chamber resulted in efficient and stable transduction of corneal endothelial cells. Efficient in vivo gene transfer into cells of the corneal endothelium and retinal pigment epithelium by lentiviral vectors may therefore offer a valuable approach to the treatment of disorders of the cornea and outer retina.","author":[{"dropping-particle":"","family":"Bainbridge","given":"J W","non-dropping-particle":"","parse-names":false,"suffix":""},{"dropping-particle":"","family":"Stephens","given":"C","non-dropping-particle":"","parse-names":false,"suffix":""},{"dropping-particle":"","family":"Parsley","given":"K","non-dropping-particle":"","parse-names":false,"suffix":""},{"dropping-particle":"","family":"Demaison","given":"C","non-dropping-particle":"","parse-names":false,"suffix":""},{"dropping-particle":"","family":"Halfyard","given":"A","non-dropping-particle":"","parse-names":false,"suffix":""},{"dropping-particle":"","family":"Thrasher","given":"A J","non-dropping-particle":"","parse-names":false,"suffix":""},{"dropping-particle":"","family":"Ali","given":"R R","non-dropping-particle":"","parse-names":false,"suffix":""}],"container-title":"Gene Ther","edition":"2002/03/16","id":"ITEM-2","issue":"21","issued":{"date-parts":[["2001"]]},"language":"eng","note":"Bainbridge, J W\nStephens, C\nParsley, K\nDemaison, C\nHalfyard, A\nThrasher, A J\nAli, R R\nEngland\nGene Ther. 2001 Nov;8(21):1665-8.","page":"1665-1668","title":"In vivo gene transfer to the mouse eye using an HIV-based lentiviral vector; efficient long-term transduction of corneal endothelium and retinal pigment epithelium","type":"article-journal","volume":"8"},"uris":["http://www.mendeley.com/documents/?uuid=0207bf0d-4e4f-46fc-b4b3-b812b04e9c92"]}],"mendeley":{"formattedCitation":"&lt;sup&gt;8, 9&lt;/sup&gt;","plainTextFormattedCitation":"8, 9","previouslyFormattedCitation":"&lt;sup&gt;7, 8&lt;/sup&gt;"},"properties":{"noteIndex":0},"schema":"https://github.com/citation-style-language/schema/raw/master/csl-citation.json"}</w:instrText>
      </w:r>
      <w:r w:rsidR="00D0611B" w:rsidRPr="004A6846">
        <w:fldChar w:fldCharType="separate"/>
      </w:r>
      <w:r w:rsidR="00D0611B" w:rsidRPr="00C96363">
        <w:rPr>
          <w:vertAlign w:val="superscript"/>
        </w:rPr>
        <w:t>8,9</w:t>
      </w:r>
      <w:r w:rsidR="00D0611B" w:rsidRPr="004A6846">
        <w:fldChar w:fldCharType="end"/>
      </w:r>
      <w:r w:rsidR="00D140DB" w:rsidRPr="003F7539">
        <w:t xml:space="preserve"> (</w:t>
      </w:r>
      <w:r w:rsidR="00D140DB" w:rsidRPr="004A6846">
        <w:rPr>
          <w:i/>
        </w:rPr>
        <w:t>gag-pol</w:t>
      </w:r>
      <w:r w:rsidR="00D140DB" w:rsidRPr="004A6846">
        <w:t xml:space="preserve"> expressor plasmid)</w:t>
      </w:r>
      <w:r w:rsidRPr="003E0321">
        <w:t>, SCRPSY</w:t>
      </w:r>
      <w:r w:rsidR="00D0611B" w:rsidRPr="004A6846">
        <w:fldChar w:fldCharType="begin" w:fldLock="1"/>
      </w:r>
      <w:r w:rsidR="00D0611B" w:rsidRPr="003F7539">
        <w:instrText>ADDIN CSL_CITATION {"citationItems":[{"id":"ITEM-1","itemData":{"DOI":"10.1016/j.chom.2016.08.005","ISSN":"19346069","PMID":"27631702","abstract":"Interferons (IFNs) exert their anti-viral effects by inducing the expression of hundreds of IFN-stimulated genes (ISGs). The activity of known ISGs is insufficient to account for the antiretroviral effects of IFN, suggesting that ISGs with antiretroviral activity are yet to be described. We constructed an arrayed library of ISGs from rhesus macaques and tested the ability of hundreds of individual macaque and human ISGs to inhibit early and late replication steps for 11 members of the retroviridae from various host species. These screens uncovered numerous ISGs with antiretroviral activity at both the early and late stages of virus replication. Detailed analyses of two antiretroviral ISGs indicate that indoleamine 2,3-dioxygenase 1 (IDO1) can inhibit retroviral replication by metabolite depletion while tripartite motif-56 (TRIM56) accentuates ISG induction by IFNα and inhibits the expression of late HIV-1 genes. Overall, these studies reveal numerous host proteins that mediate the antiretroviral activity of IFNs.","author":[{"dropping-particle":"","family":"Kane","given":"Melissa","non-dropping-particle":"","parse-names":false,"suffix":""},{"dropping-particle":"","family":"Zang","given":"Trinity M.","non-dropping-particle":"","parse-names":false,"suffix":""},{"dropping-particle":"","family":"Rihn","given":"Suzannah J.","non-dropping-particle":"","parse-names":false,"suffix":""},{"dropping-particle":"","family":"Zhang","given":"Fengwen","non-dropping-particle":"","parse-names":false,"suffix":""},{"dropping-particle":"","family":"Kueck","given":"Tonya","non-dropping-particle":"","parse-names":false,"suffix":""},{"dropping-particle":"","family":"Alim","given":"Mudathir","non-dropping-particle":"","parse-names":false,"suffix":""},{"dropping-particle":"","family":"Schoggins","given":"John","non-dropping-particle":"","parse-names":false,"suffix":""},{"dropping-particle":"","family":"Rice","given":"Charles M.","non-dropping-particle":"","parse-names":false,"suffix":""},{"dropping-particle":"","family":"Wilson","given":"Sam J.","non-dropping-particle":"","parse-names":false,"suffix":""},{"dropping-particle":"","family":"Bieniasz","given":"Paul D.","non-dropping-particle":"","parse-names":false,"suffix":""}],"container-title":"Cell Host and Microbe","id":"ITEM-1","issued":{"date-parts":[["2016"]]},"title":"Identification of Interferon-Stimulated Genes with Antiretroviral Activity","type":"article-journal"},"uris":["http://www.mendeley.com/documents/?uuid=341ad490-ef4e-40ff-b9e5-4cf8ca0d7258"]}],"mendeley":{"formattedCitation":"&lt;sup&gt;10&lt;/sup&gt;","plainTextFormattedCitation":"10","previouslyFormattedCitation":"&lt;sup&gt;9&lt;/sup&gt;"},"properties":{"noteIndex":0},"schema":"https://github.com/citation-style-language/schema/raw/master/csl-citation.json"}</w:instrText>
      </w:r>
      <w:r w:rsidR="00D0611B" w:rsidRPr="004A6846">
        <w:fldChar w:fldCharType="separate"/>
      </w:r>
      <w:r w:rsidR="00D0611B" w:rsidRPr="00C96363">
        <w:rPr>
          <w:vertAlign w:val="superscript"/>
        </w:rPr>
        <w:t>10</w:t>
      </w:r>
      <w:r w:rsidR="00D0611B" w:rsidRPr="004A6846">
        <w:fldChar w:fldCharType="end"/>
      </w:r>
      <w:r w:rsidRPr="003F7539">
        <w:t xml:space="preserve"> </w:t>
      </w:r>
      <w:r w:rsidR="00D140DB" w:rsidRPr="004A6846">
        <w:t>(LTR-driven reporter plasmid)</w:t>
      </w:r>
      <w:r w:rsidR="0008624B" w:rsidRPr="003E0321">
        <w:t>,</w:t>
      </w:r>
      <w:r w:rsidR="00D140DB" w:rsidRPr="003E0321">
        <w:t xml:space="preserve"> </w:t>
      </w:r>
      <w:r w:rsidRPr="003E0321">
        <w:t xml:space="preserve">and </w:t>
      </w:r>
      <w:proofErr w:type="spellStart"/>
      <w:r w:rsidR="00BC649B" w:rsidRPr="003E0321">
        <w:t>p</w:t>
      </w:r>
      <w:r w:rsidR="00FD71F4" w:rsidRPr="003E0321">
        <w:t>cz</w:t>
      </w:r>
      <w:r w:rsidRPr="003E0321">
        <w:t>VSV</w:t>
      </w:r>
      <w:proofErr w:type="spellEnd"/>
      <w:r w:rsidRPr="003E0321">
        <w:t xml:space="preserve">-G. Alternatives are discussed in the </w:t>
      </w:r>
      <w:r w:rsidR="00D91AAE" w:rsidRPr="003F7539">
        <w:rPr>
          <w:b/>
          <w:bCs/>
        </w:rPr>
        <w:t>Table of Materials</w:t>
      </w:r>
      <w:r w:rsidRPr="003F7539">
        <w:t xml:space="preserve">. </w:t>
      </w:r>
      <w:r w:rsidR="00BC649B" w:rsidRPr="003F7539">
        <w:t>Plasmid ratios may need to be optimized for different plasmid/transfection systems.</w:t>
      </w:r>
    </w:p>
    <w:p w14:paraId="71B56B36" w14:textId="77777777" w:rsidR="00376AD3" w:rsidRPr="003F7539" w:rsidRDefault="00376AD3" w:rsidP="00851755"/>
    <w:p w14:paraId="57DEFB50" w14:textId="0C287505" w:rsidR="008A7469" w:rsidRPr="003F7539" w:rsidRDefault="008A7469" w:rsidP="00851755">
      <w:pPr>
        <w:pStyle w:val="ListParagraph"/>
        <w:numPr>
          <w:ilvl w:val="1"/>
          <w:numId w:val="32"/>
        </w:numPr>
        <w:ind w:left="0" w:firstLine="0"/>
      </w:pPr>
      <w:r w:rsidRPr="003F7539">
        <w:rPr>
          <w:bCs/>
        </w:rPr>
        <w:t xml:space="preserve">Day </w:t>
      </w:r>
      <w:r w:rsidR="000E709A" w:rsidRPr="003F7539">
        <w:rPr>
          <w:bCs/>
        </w:rPr>
        <w:t>3</w:t>
      </w:r>
      <w:r w:rsidR="000E709A" w:rsidRPr="003F7539">
        <w:rPr>
          <w:b/>
        </w:rPr>
        <w:t xml:space="preserve"> </w:t>
      </w:r>
      <w:r w:rsidR="000E709A" w:rsidRPr="003F7539">
        <w:rPr>
          <w:bCs/>
        </w:rPr>
        <w:t>(</w:t>
      </w:r>
      <w:r w:rsidRPr="003F7539">
        <w:t>late morning</w:t>
      </w:r>
      <w:r w:rsidR="000E709A" w:rsidRPr="003F7539">
        <w:t xml:space="preserve">): </w:t>
      </w:r>
      <w:r w:rsidR="00D91AAE" w:rsidRPr="003F7539">
        <w:t>R</w:t>
      </w:r>
      <w:r w:rsidRPr="003F7539">
        <w:t xml:space="preserve">emove </w:t>
      </w:r>
      <w:r w:rsidR="00D91AAE" w:rsidRPr="003F7539">
        <w:t xml:space="preserve">the </w:t>
      </w:r>
      <w:r w:rsidRPr="003F7539">
        <w:t>media carefully from cells</w:t>
      </w:r>
      <w:r w:rsidR="003E733B" w:rsidRPr="003F7539">
        <w:t xml:space="preserve"> by pipetting</w:t>
      </w:r>
      <w:r w:rsidRPr="003F7539">
        <w:t xml:space="preserve">, wash with 5 mL </w:t>
      </w:r>
      <w:r w:rsidR="00D05890">
        <w:t xml:space="preserve">of </w:t>
      </w:r>
      <w:r w:rsidRPr="003F7539">
        <w:t xml:space="preserve">fresh </w:t>
      </w:r>
      <w:r w:rsidR="003E733B" w:rsidRPr="003F7539">
        <w:t>DMEM</w:t>
      </w:r>
      <w:r w:rsidRPr="003F7539">
        <w:t xml:space="preserve">, </w:t>
      </w:r>
      <w:r w:rsidR="00D05890">
        <w:t xml:space="preserve">and </w:t>
      </w:r>
      <w:r w:rsidRPr="003F7539">
        <w:t xml:space="preserve">replace with 5 mL </w:t>
      </w:r>
      <w:r w:rsidR="00D91AAE" w:rsidRPr="003F7539">
        <w:t xml:space="preserve">of </w:t>
      </w:r>
      <w:r w:rsidRPr="003F7539">
        <w:t xml:space="preserve">fresh </w:t>
      </w:r>
      <w:r w:rsidR="003E733B" w:rsidRPr="003F7539">
        <w:t>DMEM</w:t>
      </w:r>
      <w:r w:rsidR="00157F83" w:rsidRPr="003F7539">
        <w:t>.</w:t>
      </w:r>
    </w:p>
    <w:p w14:paraId="205C2047" w14:textId="77777777" w:rsidR="00376AD3" w:rsidRPr="003F7539" w:rsidRDefault="00376AD3" w:rsidP="00851755"/>
    <w:p w14:paraId="094F1312" w14:textId="5A84722C" w:rsidR="008A7469" w:rsidRPr="003F7539" w:rsidRDefault="008A7469" w:rsidP="00851755">
      <w:pPr>
        <w:pStyle w:val="ListParagraph"/>
        <w:numPr>
          <w:ilvl w:val="1"/>
          <w:numId w:val="32"/>
        </w:numPr>
        <w:ind w:left="0" w:firstLine="0"/>
      </w:pPr>
      <w:r w:rsidRPr="003F7539">
        <w:rPr>
          <w:bCs/>
        </w:rPr>
        <w:t>Day 4</w:t>
      </w:r>
      <w:r w:rsidRPr="003F7539">
        <w:t xml:space="preserve"> </w:t>
      </w:r>
      <w:r w:rsidR="009F7DD8" w:rsidRPr="003F7539">
        <w:t>(</w:t>
      </w:r>
      <w:r w:rsidRPr="003F7539">
        <w:t>morning</w:t>
      </w:r>
      <w:r w:rsidR="009F7DD8" w:rsidRPr="003F7539">
        <w:t xml:space="preserve">): </w:t>
      </w:r>
      <w:r w:rsidRPr="003F7539">
        <w:t>Harvest</w:t>
      </w:r>
      <w:r w:rsidR="00D91AAE" w:rsidRPr="003F7539">
        <w:t xml:space="preserve"> the</w:t>
      </w:r>
      <w:r w:rsidRPr="003F7539">
        <w:t xml:space="preserve"> virus by </w:t>
      </w:r>
      <w:r w:rsidR="00D140DB" w:rsidRPr="003F7539">
        <w:t xml:space="preserve">collecting </w:t>
      </w:r>
      <w:r w:rsidR="00D91AAE" w:rsidRPr="003F7539">
        <w:t xml:space="preserve">the </w:t>
      </w:r>
      <w:r w:rsidRPr="003F7539">
        <w:t>supernatant</w:t>
      </w:r>
      <w:r w:rsidR="009F7DD8" w:rsidRPr="003F7539">
        <w:t xml:space="preserve"> </w:t>
      </w:r>
      <w:r w:rsidR="00D140DB" w:rsidRPr="003F7539">
        <w:t xml:space="preserve">from </w:t>
      </w:r>
      <w:r w:rsidR="00D91AAE" w:rsidRPr="003F7539">
        <w:t xml:space="preserve">the </w:t>
      </w:r>
      <w:r w:rsidR="00D140DB" w:rsidRPr="003F7539">
        <w:t xml:space="preserve">cells </w:t>
      </w:r>
      <w:r w:rsidR="009F7DD8" w:rsidRPr="003F7539">
        <w:t>and</w:t>
      </w:r>
      <w:r w:rsidRPr="003F7539">
        <w:t xml:space="preserve"> </w:t>
      </w:r>
      <w:r w:rsidR="009F7DD8" w:rsidRPr="003F7539">
        <w:t>replace with 5 mL</w:t>
      </w:r>
      <w:r w:rsidR="00D91AAE" w:rsidRPr="003F7539">
        <w:t xml:space="preserve"> of</w:t>
      </w:r>
      <w:r w:rsidR="009F7DD8" w:rsidRPr="003F7539">
        <w:t xml:space="preserve"> fresh </w:t>
      </w:r>
      <w:r w:rsidR="003E733B" w:rsidRPr="003F7539">
        <w:t>DMEM</w:t>
      </w:r>
      <w:r w:rsidR="009F7DD8" w:rsidRPr="003F7539">
        <w:t>. P</w:t>
      </w:r>
      <w:r w:rsidRPr="003F7539">
        <w:t>ass</w:t>
      </w:r>
      <w:r w:rsidR="009F7DD8" w:rsidRPr="003F7539">
        <w:t xml:space="preserve"> the VLP</w:t>
      </w:r>
      <w:r w:rsidR="00D140DB" w:rsidRPr="003F7539">
        <w:t>-containing supernatant</w:t>
      </w:r>
      <w:r w:rsidRPr="003F7539">
        <w:t xml:space="preserve"> through a 0.45 nm filter, aliquot and transfer to -</w:t>
      </w:r>
      <w:r w:rsidR="007E6526" w:rsidRPr="003F7539">
        <w:t>7</w:t>
      </w:r>
      <w:r w:rsidRPr="003F7539">
        <w:t xml:space="preserve">0 </w:t>
      </w:r>
      <w:r w:rsidR="00D91AAE" w:rsidRPr="003F7539">
        <w:t>°C</w:t>
      </w:r>
      <w:r w:rsidR="009F7DD8" w:rsidRPr="003F7539">
        <w:t xml:space="preserve"> for storage. Ensure that </w:t>
      </w:r>
      <w:r w:rsidR="00D91AAE" w:rsidRPr="003F7539">
        <w:t xml:space="preserve">the </w:t>
      </w:r>
      <w:r w:rsidR="009F7DD8" w:rsidRPr="003F7539">
        <w:t>aliquots are</w:t>
      </w:r>
      <w:r w:rsidR="003F03DF" w:rsidRPr="003F7539">
        <w:t xml:space="preserve"> of a size suitable for planned experiments</w:t>
      </w:r>
      <w:r w:rsidR="009F7DD8" w:rsidRPr="003F7539">
        <w:t xml:space="preserve"> (250 </w:t>
      </w:r>
      <w:r w:rsidR="00476E69" w:rsidRPr="003F7539">
        <w:t>µ</w:t>
      </w:r>
      <w:r w:rsidR="00A642B5" w:rsidRPr="003F7539">
        <w:t>L</w:t>
      </w:r>
      <w:r w:rsidR="009F7DD8" w:rsidRPr="003F7539">
        <w:t xml:space="preserve"> as a suggestion)</w:t>
      </w:r>
      <w:r w:rsidR="008A5782" w:rsidRPr="003F7539">
        <w:t xml:space="preserve"> as repeated freeze-thaw cycles will result in a loss of viral </w:t>
      </w:r>
      <w:r w:rsidR="0008624B" w:rsidRPr="003F7539">
        <w:t>titer</w:t>
      </w:r>
      <w:r w:rsidR="003E733B" w:rsidRPr="003F7539">
        <w:t>.</w:t>
      </w:r>
    </w:p>
    <w:p w14:paraId="399B53C2" w14:textId="77777777" w:rsidR="00376AD3" w:rsidRPr="003F7539" w:rsidRDefault="00376AD3" w:rsidP="00851755"/>
    <w:p w14:paraId="16E9187D" w14:textId="261CF214" w:rsidR="003E733B" w:rsidRPr="003F7539" w:rsidRDefault="008A7469" w:rsidP="00851755">
      <w:pPr>
        <w:pStyle w:val="ListParagraph"/>
        <w:numPr>
          <w:ilvl w:val="1"/>
          <w:numId w:val="32"/>
        </w:numPr>
        <w:ind w:left="0" w:firstLine="0"/>
      </w:pPr>
      <w:r w:rsidRPr="003F7539">
        <w:rPr>
          <w:bCs/>
        </w:rPr>
        <w:t>Day 5</w:t>
      </w:r>
      <w:r w:rsidRPr="003F7539">
        <w:t xml:space="preserve"> </w:t>
      </w:r>
      <w:r w:rsidR="009F7DD8" w:rsidRPr="003F7539">
        <w:t>(</w:t>
      </w:r>
      <w:r w:rsidRPr="003F7539">
        <w:t>morning</w:t>
      </w:r>
      <w:r w:rsidR="009F7DD8" w:rsidRPr="003F7539">
        <w:t>)</w:t>
      </w:r>
      <w:r w:rsidR="00D140DB" w:rsidRPr="003F7539">
        <w:t>:</w:t>
      </w:r>
      <w:r w:rsidR="00376AD3" w:rsidRPr="003F7539">
        <w:t xml:space="preserve"> </w:t>
      </w:r>
      <w:r w:rsidR="00D140DB" w:rsidRPr="003F7539">
        <w:t>Harvest</w:t>
      </w:r>
      <w:r w:rsidR="00D91AAE" w:rsidRPr="003F7539">
        <w:t xml:space="preserve"> the</w:t>
      </w:r>
      <w:r w:rsidR="00D140DB" w:rsidRPr="003F7539">
        <w:t xml:space="preserve"> virus as in</w:t>
      </w:r>
      <w:r w:rsidRPr="003F7539">
        <w:t xml:space="preserve"> </w:t>
      </w:r>
      <w:r w:rsidR="0036768F" w:rsidRPr="003F7539">
        <w:t>1.5 but</w:t>
      </w:r>
      <w:r w:rsidRPr="003F7539">
        <w:t xml:space="preserve"> discard</w:t>
      </w:r>
      <w:r w:rsidR="00D91AAE" w:rsidRPr="003F7539">
        <w:t xml:space="preserve"> the</w:t>
      </w:r>
      <w:r w:rsidR="00D140DB" w:rsidRPr="003F7539">
        <w:t xml:space="preserve"> plates after collecting </w:t>
      </w:r>
      <w:r w:rsidR="00D91AAE" w:rsidRPr="003F7539">
        <w:t xml:space="preserve">the </w:t>
      </w:r>
      <w:r w:rsidR="00D140DB" w:rsidRPr="003F7539">
        <w:t>supernatant</w:t>
      </w:r>
      <w:r w:rsidR="003E733B" w:rsidRPr="003F7539">
        <w:t>.</w:t>
      </w:r>
    </w:p>
    <w:p w14:paraId="1D810EEE" w14:textId="77777777" w:rsidR="005666DD" w:rsidRPr="003F7539" w:rsidRDefault="005666DD" w:rsidP="00851755">
      <w:pPr>
        <w:rPr>
          <w:i/>
          <w:iCs/>
        </w:rPr>
      </w:pPr>
    </w:p>
    <w:p w14:paraId="7B26822B" w14:textId="77777777" w:rsidR="005666DD" w:rsidRPr="003F7539" w:rsidRDefault="005666DD" w:rsidP="00851755">
      <w:pPr>
        <w:pStyle w:val="ListParagraph"/>
        <w:numPr>
          <w:ilvl w:val="0"/>
          <w:numId w:val="32"/>
        </w:numPr>
        <w:ind w:left="0" w:firstLine="0"/>
        <w:rPr>
          <w:b/>
          <w:bCs/>
        </w:rPr>
      </w:pPr>
      <w:proofErr w:type="spellStart"/>
      <w:r w:rsidRPr="003F7539">
        <w:rPr>
          <w:b/>
          <w:bCs/>
        </w:rPr>
        <w:t>Titering</w:t>
      </w:r>
      <w:proofErr w:type="spellEnd"/>
      <w:r w:rsidRPr="003F7539">
        <w:rPr>
          <w:b/>
          <w:bCs/>
        </w:rPr>
        <w:t xml:space="preserve"> new </w:t>
      </w:r>
      <w:r w:rsidR="00BC649B" w:rsidRPr="003F7539">
        <w:rPr>
          <w:b/>
          <w:bCs/>
        </w:rPr>
        <w:t>VLP</w:t>
      </w:r>
      <w:r w:rsidRPr="003F7539">
        <w:rPr>
          <w:b/>
          <w:bCs/>
        </w:rPr>
        <w:t xml:space="preserve"> prior to use</w:t>
      </w:r>
    </w:p>
    <w:p w14:paraId="0F5CB74A" w14:textId="77777777" w:rsidR="00BC649B" w:rsidRPr="003F7539" w:rsidRDefault="00BC649B" w:rsidP="00851755">
      <w:pPr>
        <w:pStyle w:val="ListParagraph"/>
        <w:ind w:left="0"/>
        <w:rPr>
          <w:b/>
          <w:bCs/>
        </w:rPr>
      </w:pPr>
    </w:p>
    <w:p w14:paraId="72F05B89" w14:textId="3F7FB8EA" w:rsidR="005666DD" w:rsidRPr="003F7539" w:rsidRDefault="00E91F34" w:rsidP="00851755">
      <w:pPr>
        <w:pStyle w:val="ListParagraph"/>
        <w:numPr>
          <w:ilvl w:val="1"/>
          <w:numId w:val="32"/>
        </w:numPr>
        <w:ind w:left="0" w:firstLine="0"/>
      </w:pPr>
      <w:r w:rsidRPr="003F7539">
        <w:t xml:space="preserve">Day 1: </w:t>
      </w:r>
      <w:r w:rsidR="005666DD" w:rsidRPr="003F7539">
        <w:t xml:space="preserve">Seed 293T at </w:t>
      </w:r>
      <w:r w:rsidR="0036768F" w:rsidRPr="003F7539">
        <w:t>2</w:t>
      </w:r>
      <w:r w:rsidR="00D91AAE" w:rsidRPr="003F7539">
        <w:t xml:space="preserve"> </w:t>
      </w:r>
      <w:r w:rsidR="0036768F" w:rsidRPr="003F7539">
        <w:t>x</w:t>
      </w:r>
      <w:r w:rsidR="00D91AAE" w:rsidRPr="003F7539">
        <w:t xml:space="preserve"> </w:t>
      </w:r>
      <w:r w:rsidR="0036768F" w:rsidRPr="003F7539">
        <w:t>10</w:t>
      </w:r>
      <w:r w:rsidR="0036768F" w:rsidRPr="003F7539">
        <w:rPr>
          <w:vertAlign w:val="superscript"/>
        </w:rPr>
        <w:t>5</w:t>
      </w:r>
      <w:r w:rsidR="005666DD" w:rsidRPr="003F7539">
        <w:t xml:space="preserve"> cells per well of a 24</w:t>
      </w:r>
      <w:r w:rsidR="0008624B" w:rsidRPr="003F7539">
        <w:t>-</w:t>
      </w:r>
      <w:r w:rsidR="003F38B4" w:rsidRPr="003F7539">
        <w:t>well plate</w:t>
      </w:r>
      <w:r w:rsidR="003F38B4" w:rsidRPr="003F7539">
        <w:rPr>
          <w:rStyle w:val="CommentReference"/>
          <w:sz w:val="24"/>
          <w:szCs w:val="24"/>
        </w:rPr>
        <w:t xml:space="preserve"> </w:t>
      </w:r>
      <w:r w:rsidR="005666DD" w:rsidRPr="003F7539">
        <w:t>– 4 wells per virus to be titrated</w:t>
      </w:r>
      <w:r w:rsidR="00BC649B" w:rsidRPr="003F7539">
        <w:t>, including a virus of known infectivity for each backbone.</w:t>
      </w:r>
      <w:r w:rsidR="0036768F" w:rsidRPr="003F7539">
        <w:t xml:space="preserve"> </w:t>
      </w:r>
      <w:r w:rsidR="00D91AAE" w:rsidRPr="003F7539">
        <w:t>Optimize the</w:t>
      </w:r>
      <w:r w:rsidR="0036768F" w:rsidRPr="003F7539">
        <w:t xml:space="preserve"> seeding density for </w:t>
      </w:r>
      <w:r w:rsidR="00D90B34" w:rsidRPr="003F7539">
        <w:t>a given</w:t>
      </w:r>
      <w:r w:rsidR="0036768F" w:rsidRPr="003F7539">
        <w:t xml:space="preserve"> cell stock.</w:t>
      </w:r>
    </w:p>
    <w:p w14:paraId="09F485D1" w14:textId="77777777" w:rsidR="00BC649B" w:rsidRPr="003F7539" w:rsidRDefault="00BC649B" w:rsidP="00851755">
      <w:pPr>
        <w:pStyle w:val="ListParagraph"/>
        <w:ind w:left="0"/>
      </w:pPr>
    </w:p>
    <w:p w14:paraId="226ACBD0" w14:textId="20AC0AED" w:rsidR="00BC649B" w:rsidRPr="003F7539" w:rsidRDefault="00E91F34" w:rsidP="00851755">
      <w:pPr>
        <w:pStyle w:val="ListParagraph"/>
        <w:numPr>
          <w:ilvl w:val="1"/>
          <w:numId w:val="32"/>
        </w:numPr>
        <w:ind w:left="0" w:firstLine="0"/>
      </w:pPr>
      <w:r w:rsidRPr="003F7539">
        <w:t>Day 2</w:t>
      </w:r>
      <w:r w:rsidR="00157F83" w:rsidRPr="003F7539">
        <w:t>: O</w:t>
      </w:r>
      <w:r w:rsidR="005666DD" w:rsidRPr="003F7539">
        <w:t xml:space="preserve">bserve </w:t>
      </w:r>
      <w:r w:rsidR="00D91AAE" w:rsidRPr="003F7539">
        <w:t xml:space="preserve">the </w:t>
      </w:r>
      <w:r w:rsidR="005666DD" w:rsidRPr="003F7539">
        <w:t>plate to check confluency</w:t>
      </w:r>
      <w:r w:rsidR="004870A8" w:rsidRPr="003F7539">
        <w:t xml:space="preserve"> (ideally </w:t>
      </w:r>
      <w:r w:rsidR="00D91AAE" w:rsidRPr="003F7539">
        <w:t>~</w:t>
      </w:r>
      <w:r w:rsidR="005666DD" w:rsidRPr="003F7539">
        <w:t>70%</w:t>
      </w:r>
      <w:r w:rsidR="004870A8" w:rsidRPr="003F7539">
        <w:t>)</w:t>
      </w:r>
      <w:r w:rsidR="005666DD" w:rsidRPr="003F7539">
        <w:t xml:space="preserve">. </w:t>
      </w:r>
      <w:r w:rsidR="00591270" w:rsidRPr="003F7539">
        <w:t>Thaw</w:t>
      </w:r>
      <w:r w:rsidR="00D91AAE" w:rsidRPr="003F7539">
        <w:t xml:space="preserve"> the</w:t>
      </w:r>
      <w:r w:rsidR="00591270" w:rsidRPr="003F7539">
        <w:t xml:space="preserve"> virus-containing</w:t>
      </w:r>
      <w:r w:rsidR="00D05890">
        <w:t>-</w:t>
      </w:r>
      <w:r w:rsidR="00591270" w:rsidRPr="003F7539">
        <w:t xml:space="preserve">supernatant from steps 1.5 and 1.6. </w:t>
      </w:r>
      <w:r w:rsidR="0036768F" w:rsidRPr="003F7539">
        <w:t>A</w:t>
      </w:r>
      <w:r w:rsidR="005666DD" w:rsidRPr="003F7539">
        <w:t xml:space="preserve">dd </w:t>
      </w:r>
      <w:r w:rsidR="00BC649B" w:rsidRPr="003F7539">
        <w:t xml:space="preserve">0, </w:t>
      </w:r>
      <w:r w:rsidR="005666DD" w:rsidRPr="003F7539">
        <w:t>10, 25</w:t>
      </w:r>
      <w:r w:rsidR="0008624B" w:rsidRPr="003F7539">
        <w:t>,</w:t>
      </w:r>
      <w:r w:rsidR="005666DD" w:rsidRPr="003F7539">
        <w:t xml:space="preserve"> or 100 </w:t>
      </w:r>
      <w:r w:rsidR="00476E69" w:rsidRPr="003F7539">
        <w:t>µ</w:t>
      </w:r>
      <w:r w:rsidR="00A642B5" w:rsidRPr="003F7539">
        <w:t>L</w:t>
      </w:r>
      <w:r w:rsidR="005666DD" w:rsidRPr="003F7539">
        <w:t xml:space="preserve"> to each well</w:t>
      </w:r>
      <w:r w:rsidR="00BC649B" w:rsidRPr="003F7539">
        <w:t>.</w:t>
      </w:r>
    </w:p>
    <w:p w14:paraId="7619B7E3" w14:textId="77777777" w:rsidR="00BC649B" w:rsidRPr="003F7539" w:rsidRDefault="00BC649B" w:rsidP="00851755"/>
    <w:p w14:paraId="53B06AB0" w14:textId="36CF878D" w:rsidR="00E91F34" w:rsidRPr="003F7539" w:rsidRDefault="00E91F34" w:rsidP="00851755">
      <w:pPr>
        <w:pStyle w:val="ListParagraph"/>
        <w:numPr>
          <w:ilvl w:val="1"/>
          <w:numId w:val="32"/>
        </w:numPr>
        <w:ind w:left="0" w:firstLine="0"/>
      </w:pPr>
      <w:r w:rsidRPr="003F7539">
        <w:t xml:space="preserve">Day 4 </w:t>
      </w:r>
      <w:r w:rsidR="0036768F" w:rsidRPr="003F7539">
        <w:t>(</w:t>
      </w:r>
      <w:r w:rsidRPr="003F7539">
        <w:t>Morning</w:t>
      </w:r>
      <w:r w:rsidR="0036768F" w:rsidRPr="003F7539">
        <w:t>):</w:t>
      </w:r>
      <w:r w:rsidRPr="003F7539">
        <w:t xml:space="preserve"> </w:t>
      </w:r>
      <w:r w:rsidR="0036768F" w:rsidRPr="003F7539">
        <w:t>H</w:t>
      </w:r>
      <w:r w:rsidRPr="003F7539">
        <w:t xml:space="preserve">arvest </w:t>
      </w:r>
      <w:r w:rsidR="00D91AAE" w:rsidRPr="003F7539">
        <w:t xml:space="preserve">the </w:t>
      </w:r>
      <w:r w:rsidRPr="003F7539">
        <w:t>cells for analysis by flow cytometry.</w:t>
      </w:r>
    </w:p>
    <w:p w14:paraId="776BDE83" w14:textId="77777777" w:rsidR="008D6FA0" w:rsidRPr="003F7539" w:rsidRDefault="008D6FA0" w:rsidP="008D6FA0">
      <w:pPr>
        <w:pStyle w:val="ListParagraph"/>
        <w:ind w:left="0"/>
      </w:pPr>
    </w:p>
    <w:p w14:paraId="2B06D4A1" w14:textId="52187EC2" w:rsidR="00D91AAE" w:rsidRPr="003F7539" w:rsidRDefault="00E91F34" w:rsidP="00D66BEA">
      <w:pPr>
        <w:pStyle w:val="ListParagraph"/>
        <w:numPr>
          <w:ilvl w:val="2"/>
          <w:numId w:val="32"/>
        </w:numPr>
        <w:ind w:left="0" w:firstLine="0"/>
      </w:pPr>
      <w:r w:rsidRPr="003F7539">
        <w:t>Remove</w:t>
      </w:r>
      <w:r w:rsidR="00D91AAE" w:rsidRPr="003F7539">
        <w:t xml:space="preserve"> the</w:t>
      </w:r>
      <w:r w:rsidRPr="003F7539">
        <w:t xml:space="preserve"> media by careful pipetting or aspiration</w:t>
      </w:r>
      <w:r w:rsidR="00157F83" w:rsidRPr="003F7539">
        <w:t xml:space="preserve">. </w:t>
      </w:r>
      <w:r w:rsidRPr="003F7539">
        <w:t xml:space="preserve">Wash </w:t>
      </w:r>
      <w:r w:rsidR="00D91AAE" w:rsidRPr="003F7539">
        <w:t xml:space="preserve">the </w:t>
      </w:r>
      <w:r w:rsidRPr="003F7539">
        <w:t xml:space="preserve">cells gently with 250 </w:t>
      </w:r>
      <w:r w:rsidR="00A0271E" w:rsidRPr="003F7539">
        <w:t>µL</w:t>
      </w:r>
      <w:r w:rsidRPr="003F7539">
        <w:t xml:space="preserve"> </w:t>
      </w:r>
      <w:r w:rsidR="00D05890">
        <w:t xml:space="preserve">of </w:t>
      </w:r>
      <w:r w:rsidR="009416E8" w:rsidRPr="003F7539">
        <w:lastRenderedPageBreak/>
        <w:t>phosphate buffered saline (</w:t>
      </w:r>
      <w:r w:rsidRPr="003F7539">
        <w:t>PB</w:t>
      </w:r>
      <w:r w:rsidR="00841A8B" w:rsidRPr="003F7539">
        <w:t>S</w:t>
      </w:r>
      <w:r w:rsidR="009416E8" w:rsidRPr="003F7539">
        <w:t>)</w:t>
      </w:r>
      <w:r w:rsidR="00157F83" w:rsidRPr="003F7539">
        <w:t xml:space="preserve">. </w:t>
      </w:r>
      <w:r w:rsidR="00BC649B" w:rsidRPr="003F7539">
        <w:t>Remove</w:t>
      </w:r>
      <w:r w:rsidR="00D91AAE" w:rsidRPr="003F7539">
        <w:t xml:space="preserve"> the</w:t>
      </w:r>
      <w:r w:rsidR="00BC649B" w:rsidRPr="003F7539">
        <w:t xml:space="preserve"> cells from the plate by pipetting </w:t>
      </w:r>
      <w:r w:rsidR="00D140DB" w:rsidRPr="003F7539">
        <w:t xml:space="preserve">up and down </w:t>
      </w:r>
      <w:r w:rsidR="00BC649B" w:rsidRPr="003F7539">
        <w:t>with 2</w:t>
      </w:r>
      <w:r w:rsidR="00D66BEA" w:rsidRPr="003F7539">
        <w:t>5</w:t>
      </w:r>
      <w:r w:rsidR="00BC649B" w:rsidRPr="003F7539">
        <w:t xml:space="preserve">0 </w:t>
      </w:r>
      <w:r w:rsidR="00476E69" w:rsidRPr="003F7539">
        <w:t>µ</w:t>
      </w:r>
      <w:r w:rsidR="00A642B5" w:rsidRPr="003F7539">
        <w:t>L</w:t>
      </w:r>
      <w:r w:rsidR="00BC649B" w:rsidRPr="003F7539">
        <w:t xml:space="preserve"> PBS, </w:t>
      </w:r>
      <w:r w:rsidR="00D05890">
        <w:t xml:space="preserve">and </w:t>
      </w:r>
      <w:r w:rsidR="00BC649B" w:rsidRPr="003F7539">
        <w:t xml:space="preserve">transfer to a microcentrifuge tube. Add 250 </w:t>
      </w:r>
      <w:r w:rsidR="00190C94" w:rsidRPr="003F7539">
        <w:t>µ</w:t>
      </w:r>
      <w:r w:rsidR="00A642B5" w:rsidRPr="003F7539">
        <w:t>L</w:t>
      </w:r>
      <w:r w:rsidR="00BC649B" w:rsidRPr="003F7539">
        <w:t xml:space="preserve"> </w:t>
      </w:r>
      <w:r w:rsidR="00D05890">
        <w:t xml:space="preserve">of </w:t>
      </w:r>
      <w:r w:rsidR="00BC649B" w:rsidRPr="003F7539">
        <w:t>4% paraformaldehyde (taking final concentration to 2%)</w:t>
      </w:r>
      <w:r w:rsidR="00157F83" w:rsidRPr="003F7539">
        <w:t>.</w:t>
      </w:r>
    </w:p>
    <w:p w14:paraId="2AD5528E" w14:textId="01B504B9" w:rsidR="00E67CE0" w:rsidRPr="003F7539" w:rsidRDefault="00E67CE0" w:rsidP="0099129F">
      <w:pPr>
        <w:pStyle w:val="ListParagraph"/>
        <w:ind w:left="0"/>
      </w:pPr>
    </w:p>
    <w:p w14:paraId="49400945" w14:textId="70BD58DC" w:rsidR="00A6785F" w:rsidRPr="003F7539" w:rsidRDefault="00BC649B" w:rsidP="00747A19">
      <w:pPr>
        <w:pStyle w:val="ListParagraph"/>
        <w:ind w:left="0"/>
      </w:pPr>
      <w:r w:rsidRPr="003F7539">
        <w:t>CAUTION</w:t>
      </w:r>
      <w:r w:rsidR="00157F83" w:rsidRPr="003F7539">
        <w:t>:</w:t>
      </w:r>
      <w:r w:rsidRPr="003F7539">
        <w:t xml:space="preserve"> </w:t>
      </w:r>
      <w:r w:rsidR="00157F83" w:rsidRPr="003F7539">
        <w:t>P</w:t>
      </w:r>
      <w:r w:rsidRPr="003F7539">
        <w:t>araformaldehyde is toxic</w:t>
      </w:r>
      <w:r w:rsidR="008A5782" w:rsidRPr="003F7539">
        <w:t>.</w:t>
      </w:r>
      <w:r w:rsidRPr="003F7539">
        <w:t xml:space="preserve"> </w:t>
      </w:r>
      <w:r w:rsidR="008A5782" w:rsidRPr="003F7539">
        <w:t>It</w:t>
      </w:r>
      <w:r w:rsidRPr="003F7539">
        <w:t xml:space="preserve"> should not be mixed with chlorine-based disinfectants</w:t>
      </w:r>
      <w:r w:rsidR="008C5825" w:rsidRPr="003F7539">
        <w:t>.</w:t>
      </w:r>
    </w:p>
    <w:p w14:paraId="38B06C3E" w14:textId="77777777" w:rsidR="00A6785F" w:rsidRPr="003F7539" w:rsidRDefault="00A6785F" w:rsidP="00851755">
      <w:pPr>
        <w:pStyle w:val="ListParagraph"/>
        <w:ind w:left="0"/>
      </w:pPr>
    </w:p>
    <w:p w14:paraId="75987D4F" w14:textId="15163AE5" w:rsidR="00841A8B" w:rsidRPr="003F7539" w:rsidRDefault="00841A8B" w:rsidP="00851755">
      <w:pPr>
        <w:pStyle w:val="ListParagraph"/>
        <w:numPr>
          <w:ilvl w:val="2"/>
          <w:numId w:val="32"/>
        </w:numPr>
        <w:ind w:left="0" w:firstLine="0"/>
      </w:pPr>
      <w:r w:rsidRPr="003F7539">
        <w:t xml:space="preserve">Pellet </w:t>
      </w:r>
      <w:r w:rsidR="00D91AAE" w:rsidRPr="003F7539">
        <w:t xml:space="preserve">the </w:t>
      </w:r>
      <w:r w:rsidRPr="003F7539">
        <w:t>cells by centrifugation at 500 x</w:t>
      </w:r>
      <w:r w:rsidR="00D66BEA" w:rsidRPr="003F7539">
        <w:t xml:space="preserve"> </w:t>
      </w:r>
      <w:r w:rsidRPr="003F7539">
        <w:rPr>
          <w:i/>
          <w:iCs/>
        </w:rPr>
        <w:t>g</w:t>
      </w:r>
      <w:r w:rsidRPr="003F7539">
        <w:t xml:space="preserve"> for 5 min, discard </w:t>
      </w:r>
      <w:r w:rsidR="00D91AAE" w:rsidRPr="003F7539">
        <w:t xml:space="preserve">the </w:t>
      </w:r>
      <w:r w:rsidRPr="003F7539">
        <w:t xml:space="preserve">supernatant and resuspend </w:t>
      </w:r>
      <w:r w:rsidR="00D91AAE" w:rsidRPr="003F7539">
        <w:t xml:space="preserve">the </w:t>
      </w:r>
      <w:r w:rsidRPr="003F7539">
        <w:t xml:space="preserve">cell pellet in 200 </w:t>
      </w:r>
      <w:r w:rsidR="00A0271E" w:rsidRPr="003F7539">
        <w:t>µL</w:t>
      </w:r>
      <w:r w:rsidR="00D91AAE" w:rsidRPr="003F7539">
        <w:t xml:space="preserve"> of</w:t>
      </w:r>
      <w:r w:rsidRPr="003F7539">
        <w:t xml:space="preserve"> PBS or alternative flow cytometry buffer</w:t>
      </w:r>
      <w:r w:rsidR="00157F83" w:rsidRPr="003F7539">
        <w:t xml:space="preserve">. </w:t>
      </w:r>
      <w:r w:rsidR="00D91AAE" w:rsidRPr="003F7539">
        <w:t>Analyze</w:t>
      </w:r>
      <w:r w:rsidRPr="003F7539">
        <w:t xml:space="preserve"> for RFP or </w:t>
      </w:r>
      <w:r w:rsidR="00DC3B12" w:rsidRPr="003F7539">
        <w:t>Y</w:t>
      </w:r>
      <w:r w:rsidRPr="003F7539">
        <w:t>FP as appropriate by flow cytometry</w:t>
      </w:r>
      <w:r w:rsidR="00157F83" w:rsidRPr="003F7539">
        <w:t xml:space="preserve">. </w:t>
      </w:r>
      <w:r w:rsidR="00D91AAE" w:rsidRPr="003F7539">
        <w:t>Normalize</w:t>
      </w:r>
      <w:r w:rsidRPr="003F7539">
        <w:t xml:space="preserve"> </w:t>
      </w:r>
      <w:r w:rsidR="00D05890">
        <w:t xml:space="preserve">the </w:t>
      </w:r>
      <w:r w:rsidRPr="003F7539">
        <w:t xml:space="preserve">infectivity of a given virus stock against values for </w:t>
      </w:r>
      <w:r w:rsidR="00D90B34" w:rsidRPr="003F7539">
        <w:t>a s</w:t>
      </w:r>
      <w:r w:rsidRPr="003F7539">
        <w:t>tock</w:t>
      </w:r>
      <w:r w:rsidR="00D90B34" w:rsidRPr="003F7539">
        <w:t xml:space="preserve"> of known infectivity</w:t>
      </w:r>
      <w:r w:rsidRPr="003F7539">
        <w:t>.</w:t>
      </w:r>
    </w:p>
    <w:p w14:paraId="760C34CF" w14:textId="77777777" w:rsidR="00841A8B" w:rsidRPr="003F7539" w:rsidRDefault="00841A8B" w:rsidP="00851755"/>
    <w:p w14:paraId="4D52E5CE" w14:textId="0A450A8F" w:rsidR="00841A8B" w:rsidRPr="003F7539" w:rsidRDefault="00841A8B" w:rsidP="00851755">
      <w:r w:rsidRPr="003F7539">
        <w:t xml:space="preserve">NOTE: VLP can also be normalized by p24 </w:t>
      </w:r>
      <w:r w:rsidR="008C5825" w:rsidRPr="003F7539">
        <w:t>enzyme-linked immunosorbent assay (</w:t>
      </w:r>
      <w:r w:rsidRPr="003F7539">
        <w:t>ELISA</w:t>
      </w:r>
      <w:r w:rsidR="008C5825" w:rsidRPr="003F7539">
        <w:t>)</w:t>
      </w:r>
      <w:r w:rsidR="00C74614" w:rsidRPr="003F7539">
        <w:t>;</w:t>
      </w:r>
      <w:r w:rsidRPr="003F7539">
        <w:t xml:space="preserve"> however, this is not necessarily a good indicator of VLP infectivity, especially where VLP stocks are prepared in different transfections. Published </w:t>
      </w:r>
      <w:r w:rsidR="008C5825" w:rsidRPr="003F7539">
        <w:t>median tissue culture infectious dose or multiplicity of infection (</w:t>
      </w:r>
      <w:r w:rsidRPr="003F7539">
        <w:t>TCID50/MOI</w:t>
      </w:r>
      <w:r w:rsidR="008C5825" w:rsidRPr="003F7539">
        <w:t>)</w:t>
      </w:r>
      <w:r w:rsidRPr="003F7539">
        <w:t xml:space="preserve"> methods</w:t>
      </w:r>
      <w:r w:rsidR="001D7028" w:rsidRPr="004A6846">
        <w:fldChar w:fldCharType="begin" w:fldLock="1"/>
      </w:r>
      <w:r w:rsidR="00D0611B" w:rsidRPr="003F7539">
        <w:instrText>ADDIN CSL_CITATION {"citationItems":[{"id":"ITEM-1","itemData":{"DOI":"10.1007/978-1-59745-170-3_3","ISBN":"978-1-59745-170-3","abstract":"Studies of HIV-1 replication kinetics and fitness require an accurate determination of the level of infectious HIV-1 present in virus stocks. The standard technique for measuring the level of replication-competent infectious virus in culture supernatants or patient samples is the tissue culture dose for 50% infectivity (TCID50), which provides an accurate assessment of the level of infectious HIV-1. However, it is a time-consuming technique which typically takes two or more weeks to complete and requires PHA-stimulated PBMC from HIV-1 seronegative donors or an appropriate cell line. Thus rapid, cell-free surrogate measures for TCID50 are desirable. Here, we introduce the virtual TCID50 technique: a new cell-free method estimating a surrogate of infectious titer by comparing the reverse transcriptase activity in virus stock to that of reference viruses with a known TCID50 value. We have demonstrated that the virtual TCID50 obtained through this technique is comparable to the actual infectious TCID50. This method greatly simplifies the process of accurate HIV-1 titration and is particularly beneficial for studies which require titration of large number of HIV-1 isolates.","author":[{"dropping-particle":"","family":"Gao","given":"Yong","non-dropping-particle":"","parse-names":false,"suffix":""},{"dropping-particle":"","family":"Nankya","given":"Immaculate","non-dropping-particle":"","parse-names":false,"suffix":""},{"dropping-particle":"","family":"Abraha","given":"Awet","non-dropping-particle":"","parse-names":false,"suffix":""},{"dropping-particle":"","family":"Troyer","given":"Ryan M","non-dropping-particle":"","parse-names":false,"suffix":""},{"dropping-particle":"","family":"Nelson","given":"Kenneth N","non-dropping-particle":"","parse-names":false,"suffix":""},{"dropping-particle":"","family":"Rubio","given":"Andrea","non-dropping-particle":"","parse-names":false,"suffix":""},{"dropping-particle":"","family":"Arts","given":"Eric J","non-dropping-particle":"","parse-names":false,"suffix":""}],"container-title":"HIV Protocols","editor":[{"dropping-particle":"","family":"Prasad","given":"Vinayaka R","non-dropping-particle":"","parse-names":false,"suffix":""},{"dropping-particle":"V","family":"Kalpana","given":"Ganjam","non-dropping-particle":"","parse-names":false,"suffix":""}],"id":"ITEM-1","issued":{"date-parts":[["2009"]]},"page":"27-35","publisher":"Humana Press","publisher-place":"Totowa, NJ","title":"Calculating HIV-1 Infectious Titre Using a Virtual TCID50 Method","type":"chapter"},"uris":["http://www.mendeley.com/documents/?uuid=e32f905f-c0e2-48c0-8a15-e32aaed74aa9"]}],"mendeley":{"formattedCitation":"&lt;sup&gt;11&lt;/sup&gt;","plainTextFormattedCitation":"11","previouslyFormattedCitation":"&lt;sup&gt;10&lt;/sup&gt;"},"properties":{"noteIndex":0},"schema":"https://github.com/citation-style-language/schema/raw/master/csl-citation.json"}</w:instrText>
      </w:r>
      <w:r w:rsidR="001D7028" w:rsidRPr="004A6846">
        <w:fldChar w:fldCharType="separate"/>
      </w:r>
      <w:r w:rsidR="00D0611B" w:rsidRPr="00C96363">
        <w:rPr>
          <w:vertAlign w:val="superscript"/>
        </w:rPr>
        <w:t>11</w:t>
      </w:r>
      <w:r w:rsidR="001D7028" w:rsidRPr="004A6846">
        <w:fldChar w:fldCharType="end"/>
      </w:r>
      <w:r w:rsidRPr="003F7539">
        <w:t xml:space="preserve"> can also provide relative quantitation, although these are not well established for MLV.</w:t>
      </w:r>
      <w:r w:rsidR="001D7028" w:rsidRPr="004A6846">
        <w:t xml:space="preserve"> Relative fluorescence provides a cost-eff</w:t>
      </w:r>
      <w:r w:rsidR="001D7028" w:rsidRPr="003E0321">
        <w:t xml:space="preserve">ective alternative to commercial </w:t>
      </w:r>
      <w:r w:rsidR="008C5825" w:rsidRPr="003F7539">
        <w:t>reverse transcriptase</w:t>
      </w:r>
      <w:r w:rsidR="001D7028" w:rsidRPr="003F7539">
        <w:t xml:space="preserve"> ELISA methods.</w:t>
      </w:r>
    </w:p>
    <w:p w14:paraId="0046EC60" w14:textId="77777777" w:rsidR="008A7469" w:rsidRPr="00C96363" w:rsidRDefault="008A7469" w:rsidP="00851755">
      <w:pPr>
        <w:pStyle w:val="NoSpacing"/>
        <w:jc w:val="both"/>
        <w:rPr>
          <w:rFonts w:cs="Calibri"/>
          <w:sz w:val="24"/>
          <w:szCs w:val="24"/>
          <w:u w:val="single"/>
          <w:lang w:val="en-US"/>
        </w:rPr>
      </w:pPr>
    </w:p>
    <w:p w14:paraId="3BE6DEDD" w14:textId="77777777" w:rsidR="00E717EA" w:rsidRPr="00C96363" w:rsidRDefault="00E717EA" w:rsidP="00851755">
      <w:pPr>
        <w:pStyle w:val="NoSpacing"/>
        <w:numPr>
          <w:ilvl w:val="0"/>
          <w:numId w:val="32"/>
        </w:numPr>
        <w:ind w:left="0" w:firstLine="0"/>
        <w:jc w:val="both"/>
        <w:rPr>
          <w:rFonts w:cs="Calibri"/>
          <w:b/>
          <w:bCs/>
          <w:sz w:val="24"/>
          <w:szCs w:val="24"/>
          <w:lang w:val="en-US"/>
        </w:rPr>
      </w:pPr>
      <w:r w:rsidRPr="00C96363">
        <w:rPr>
          <w:rFonts w:cs="Calibri"/>
          <w:b/>
          <w:bCs/>
          <w:sz w:val="24"/>
          <w:szCs w:val="24"/>
          <w:lang w:val="en-US"/>
        </w:rPr>
        <w:t xml:space="preserve">Transduction of U937 with </w:t>
      </w:r>
      <w:r w:rsidR="003A4558" w:rsidRPr="00C96363">
        <w:rPr>
          <w:rFonts w:cs="Calibri"/>
          <w:b/>
          <w:bCs/>
          <w:sz w:val="24"/>
          <w:szCs w:val="24"/>
          <w:lang w:val="en-US"/>
        </w:rPr>
        <w:t xml:space="preserve">VLP expressing SAMHD1 and </w:t>
      </w:r>
      <w:proofErr w:type="gramStart"/>
      <w:r w:rsidR="003A4558" w:rsidRPr="00C96363">
        <w:rPr>
          <w:rFonts w:cs="Calibri"/>
          <w:b/>
          <w:bCs/>
          <w:sz w:val="24"/>
          <w:szCs w:val="24"/>
          <w:lang w:val="en-US"/>
        </w:rPr>
        <w:t>YFP</w:t>
      </w:r>
      <w:proofErr w:type="gramEnd"/>
    </w:p>
    <w:p w14:paraId="2300A2C6" w14:textId="77777777" w:rsidR="00213C4E" w:rsidRPr="00C96363" w:rsidRDefault="00213C4E" w:rsidP="00851755">
      <w:pPr>
        <w:pStyle w:val="NoSpacing"/>
        <w:jc w:val="both"/>
        <w:rPr>
          <w:rFonts w:cs="Calibri"/>
          <w:b/>
          <w:bCs/>
          <w:sz w:val="24"/>
          <w:szCs w:val="24"/>
          <w:lang w:val="en-US"/>
        </w:rPr>
      </w:pPr>
    </w:p>
    <w:p w14:paraId="6A7149AA" w14:textId="533E0421" w:rsidR="00213C4E" w:rsidRPr="00C96363" w:rsidRDefault="00213C4E" w:rsidP="00851755">
      <w:pPr>
        <w:pStyle w:val="NoSpacing"/>
        <w:jc w:val="both"/>
        <w:rPr>
          <w:rFonts w:cs="Calibri"/>
          <w:sz w:val="24"/>
          <w:szCs w:val="24"/>
          <w:lang w:val="en-US"/>
        </w:rPr>
      </w:pPr>
      <w:r w:rsidRPr="00C96363">
        <w:rPr>
          <w:rFonts w:cs="Calibri"/>
          <w:sz w:val="24"/>
          <w:szCs w:val="24"/>
          <w:lang w:val="en-US"/>
        </w:rPr>
        <w:t>NOTE</w:t>
      </w:r>
      <w:r w:rsidR="00D91AAE" w:rsidRPr="00C96363">
        <w:rPr>
          <w:rFonts w:cs="Calibri"/>
          <w:sz w:val="24"/>
          <w:szCs w:val="24"/>
          <w:lang w:val="en-US"/>
        </w:rPr>
        <w:t>:</w:t>
      </w:r>
      <w:r w:rsidRPr="00C96363">
        <w:rPr>
          <w:rFonts w:cs="Calibri"/>
          <w:sz w:val="24"/>
          <w:szCs w:val="24"/>
          <w:lang w:val="en-US"/>
        </w:rPr>
        <w:t xml:space="preserve"> </w:t>
      </w:r>
      <w:r w:rsidR="00D91AAE" w:rsidRPr="00C96363">
        <w:rPr>
          <w:rFonts w:cs="Calibri"/>
          <w:sz w:val="24"/>
          <w:szCs w:val="24"/>
          <w:lang w:val="en-US"/>
        </w:rPr>
        <w:t>S</w:t>
      </w:r>
      <w:r w:rsidRPr="00C96363">
        <w:rPr>
          <w:rFonts w:cs="Calibri"/>
          <w:sz w:val="24"/>
          <w:szCs w:val="24"/>
          <w:lang w:val="en-US"/>
        </w:rPr>
        <w:t>teps 3</w:t>
      </w:r>
      <w:r w:rsidR="00D91AAE" w:rsidRPr="00C96363">
        <w:rPr>
          <w:rFonts w:cs="Calibri"/>
          <w:sz w:val="24"/>
          <w:szCs w:val="24"/>
          <w:lang w:val="en-US"/>
        </w:rPr>
        <w:t>–</w:t>
      </w:r>
      <w:r w:rsidRPr="00C96363">
        <w:rPr>
          <w:rFonts w:cs="Calibri"/>
          <w:sz w:val="24"/>
          <w:szCs w:val="24"/>
          <w:lang w:val="en-US"/>
        </w:rPr>
        <w:t>6 constitute the restriction experiment. Days are numbered</w:t>
      </w:r>
      <w:r w:rsidR="004A4A05" w:rsidRPr="00C96363">
        <w:rPr>
          <w:rFonts w:cs="Calibri"/>
          <w:sz w:val="24"/>
          <w:szCs w:val="24"/>
          <w:lang w:val="en-US"/>
        </w:rPr>
        <w:t xml:space="preserve"> </w:t>
      </w:r>
      <w:r w:rsidRPr="00C96363">
        <w:rPr>
          <w:rFonts w:cs="Calibri"/>
          <w:sz w:val="24"/>
          <w:szCs w:val="24"/>
          <w:lang w:val="en-US"/>
        </w:rPr>
        <w:t>for ease</w:t>
      </w:r>
      <w:r w:rsidR="004A4A05" w:rsidRPr="00C96363">
        <w:rPr>
          <w:rFonts w:cs="Calibri"/>
          <w:sz w:val="24"/>
          <w:szCs w:val="24"/>
          <w:lang w:val="en-US"/>
        </w:rPr>
        <w:t xml:space="preserve"> of planning</w:t>
      </w:r>
      <w:r w:rsidRPr="00C96363">
        <w:rPr>
          <w:rFonts w:cs="Calibri"/>
          <w:sz w:val="24"/>
          <w:szCs w:val="24"/>
          <w:lang w:val="en-US"/>
        </w:rPr>
        <w:t>.</w:t>
      </w:r>
    </w:p>
    <w:p w14:paraId="1723E064" w14:textId="77777777" w:rsidR="00A6785F" w:rsidRPr="00C96363" w:rsidRDefault="00A6785F" w:rsidP="00851755">
      <w:pPr>
        <w:pStyle w:val="NoSpacing"/>
        <w:jc w:val="both"/>
        <w:rPr>
          <w:rFonts w:cs="Calibri"/>
          <w:b/>
          <w:bCs/>
          <w:sz w:val="24"/>
          <w:szCs w:val="24"/>
          <w:lang w:val="en-US"/>
        </w:rPr>
      </w:pPr>
    </w:p>
    <w:p w14:paraId="277AFE1D" w14:textId="77777777" w:rsidR="00D05890" w:rsidRDefault="00D676C2" w:rsidP="00851755">
      <w:pPr>
        <w:pStyle w:val="NoSpacing"/>
        <w:numPr>
          <w:ilvl w:val="1"/>
          <w:numId w:val="32"/>
        </w:numPr>
        <w:ind w:left="0" w:firstLine="0"/>
        <w:jc w:val="both"/>
        <w:rPr>
          <w:rFonts w:cs="Calibri"/>
          <w:sz w:val="24"/>
          <w:szCs w:val="24"/>
          <w:lang w:val="en-US"/>
        </w:rPr>
      </w:pPr>
      <w:r w:rsidRPr="00C96363">
        <w:rPr>
          <w:rFonts w:cs="Calibri"/>
          <w:sz w:val="24"/>
          <w:szCs w:val="24"/>
          <w:lang w:val="en-US"/>
        </w:rPr>
        <w:t>Day 1 (afternoon)</w:t>
      </w:r>
      <w:r w:rsidR="00D91AAE" w:rsidRPr="00C96363">
        <w:rPr>
          <w:rFonts w:cs="Calibri"/>
          <w:sz w:val="24"/>
          <w:szCs w:val="24"/>
          <w:lang w:val="en-US"/>
        </w:rPr>
        <w:t>:</w:t>
      </w:r>
      <w:r w:rsidRPr="00C96363">
        <w:rPr>
          <w:rFonts w:cs="Calibri"/>
          <w:sz w:val="24"/>
          <w:szCs w:val="24"/>
          <w:lang w:val="en-US"/>
        </w:rPr>
        <w:t xml:space="preserve"> </w:t>
      </w:r>
      <w:r w:rsidR="00E717EA" w:rsidRPr="00C96363">
        <w:rPr>
          <w:rFonts w:cs="Calibri"/>
          <w:sz w:val="24"/>
          <w:szCs w:val="24"/>
          <w:lang w:val="en-US"/>
        </w:rPr>
        <w:t xml:space="preserve">Thaw </w:t>
      </w:r>
      <w:r w:rsidR="000D32A6" w:rsidRPr="00C96363">
        <w:rPr>
          <w:rFonts w:cs="Calibri"/>
          <w:sz w:val="24"/>
          <w:szCs w:val="24"/>
          <w:lang w:val="en-US"/>
        </w:rPr>
        <w:t xml:space="preserve">VLP </w:t>
      </w:r>
      <w:r w:rsidR="00E717EA" w:rsidRPr="00C96363">
        <w:rPr>
          <w:rFonts w:cs="Calibri"/>
          <w:sz w:val="24"/>
          <w:szCs w:val="24"/>
          <w:lang w:val="en-US"/>
        </w:rPr>
        <w:t>for transduction</w:t>
      </w:r>
      <w:r w:rsidR="00157F83" w:rsidRPr="00C96363">
        <w:rPr>
          <w:rFonts w:cs="Calibri"/>
          <w:sz w:val="24"/>
          <w:szCs w:val="24"/>
          <w:lang w:val="en-US"/>
        </w:rPr>
        <w:t xml:space="preserve"> including </w:t>
      </w:r>
      <w:r w:rsidR="00E74187" w:rsidRPr="00C96363">
        <w:rPr>
          <w:rFonts w:cs="Calibri"/>
          <w:sz w:val="24"/>
          <w:szCs w:val="24"/>
          <w:lang w:val="en-US"/>
        </w:rPr>
        <w:t xml:space="preserve">MLV-Wild-type </w:t>
      </w:r>
      <w:r w:rsidR="00E717EA" w:rsidRPr="00C96363">
        <w:rPr>
          <w:rFonts w:cs="Calibri"/>
          <w:sz w:val="24"/>
          <w:szCs w:val="24"/>
          <w:lang w:val="en-US"/>
        </w:rPr>
        <w:t>SAMHD1-YFP (positive control)</w:t>
      </w:r>
      <w:r w:rsidR="00157F83" w:rsidRPr="00C96363">
        <w:rPr>
          <w:rFonts w:cs="Calibri"/>
          <w:sz w:val="24"/>
          <w:szCs w:val="24"/>
          <w:lang w:val="en-US"/>
        </w:rPr>
        <w:t xml:space="preserve">, </w:t>
      </w:r>
      <w:r w:rsidR="00E74187" w:rsidRPr="00C96363">
        <w:rPr>
          <w:rFonts w:cs="Calibri"/>
          <w:sz w:val="24"/>
          <w:szCs w:val="24"/>
          <w:lang w:val="en-US"/>
        </w:rPr>
        <w:t>MLV-</w:t>
      </w:r>
      <w:r w:rsidR="00E717EA" w:rsidRPr="00C96363">
        <w:rPr>
          <w:rFonts w:cs="Calibri"/>
          <w:sz w:val="24"/>
          <w:szCs w:val="24"/>
          <w:lang w:val="en-US"/>
        </w:rPr>
        <w:t xml:space="preserve">SAMHD1(HD206-7AA)-YFP </w:t>
      </w:r>
      <w:r w:rsidR="000D32A6" w:rsidRPr="00C96363">
        <w:rPr>
          <w:rFonts w:cs="Calibri"/>
          <w:sz w:val="24"/>
          <w:szCs w:val="24"/>
          <w:lang w:val="en-US"/>
        </w:rPr>
        <w:t>(</w:t>
      </w:r>
      <w:r w:rsidR="00E717EA" w:rsidRPr="00C96363">
        <w:rPr>
          <w:rFonts w:cs="Calibri"/>
          <w:sz w:val="24"/>
          <w:szCs w:val="24"/>
          <w:lang w:val="en-US"/>
        </w:rPr>
        <w:t>negative control</w:t>
      </w:r>
      <w:r w:rsidR="000D32A6" w:rsidRPr="00C96363">
        <w:rPr>
          <w:rFonts w:cs="Calibri"/>
          <w:sz w:val="24"/>
          <w:szCs w:val="24"/>
          <w:lang w:val="en-US"/>
        </w:rPr>
        <w:t>)</w:t>
      </w:r>
      <w:r w:rsidR="00157F83" w:rsidRPr="00C96363">
        <w:rPr>
          <w:rFonts w:cs="Calibri"/>
          <w:sz w:val="24"/>
          <w:szCs w:val="24"/>
          <w:lang w:val="en-US"/>
        </w:rPr>
        <w:t xml:space="preserve"> and variant </w:t>
      </w:r>
      <w:r w:rsidR="000D32A6" w:rsidRPr="00C96363">
        <w:rPr>
          <w:rFonts w:cs="Calibri"/>
          <w:sz w:val="24"/>
          <w:szCs w:val="24"/>
          <w:lang w:val="en-US"/>
        </w:rPr>
        <w:t>MLV-</w:t>
      </w:r>
      <w:r w:rsidR="00A6785F" w:rsidRPr="00C96363">
        <w:rPr>
          <w:rFonts w:cs="Calibri"/>
          <w:sz w:val="24"/>
          <w:szCs w:val="24"/>
          <w:lang w:val="en-US"/>
        </w:rPr>
        <w:t>SAMHD1</w:t>
      </w:r>
      <w:r w:rsidR="000D32A6" w:rsidRPr="00C96363">
        <w:rPr>
          <w:rFonts w:cs="Calibri"/>
          <w:sz w:val="24"/>
          <w:szCs w:val="24"/>
          <w:lang w:val="en-US"/>
        </w:rPr>
        <w:t>-YFP</w:t>
      </w:r>
      <w:r w:rsidR="00E717EA" w:rsidRPr="00C96363">
        <w:rPr>
          <w:rFonts w:cs="Calibri"/>
          <w:sz w:val="24"/>
          <w:szCs w:val="24"/>
          <w:lang w:val="en-US"/>
        </w:rPr>
        <w:t xml:space="preserve"> </w:t>
      </w:r>
      <w:r w:rsidR="000D32A6" w:rsidRPr="00C96363">
        <w:rPr>
          <w:rFonts w:cs="Calibri"/>
          <w:sz w:val="24"/>
          <w:szCs w:val="24"/>
          <w:lang w:val="en-US"/>
        </w:rPr>
        <w:t>(experimental samples)</w:t>
      </w:r>
      <w:r w:rsidR="00157F83" w:rsidRPr="00C96363">
        <w:rPr>
          <w:rFonts w:cs="Calibri"/>
          <w:sz w:val="24"/>
          <w:szCs w:val="24"/>
          <w:lang w:val="en-US"/>
        </w:rPr>
        <w:t xml:space="preserve">. </w:t>
      </w:r>
      <w:r w:rsidR="00E717EA" w:rsidRPr="00C96363">
        <w:rPr>
          <w:rFonts w:cs="Calibri"/>
          <w:sz w:val="24"/>
          <w:szCs w:val="24"/>
          <w:lang w:val="en-US"/>
        </w:rPr>
        <w:t xml:space="preserve">Dilute </w:t>
      </w:r>
      <w:r w:rsidR="00D91AAE" w:rsidRPr="00C96363">
        <w:rPr>
          <w:rFonts w:cs="Calibri"/>
          <w:sz w:val="24"/>
          <w:szCs w:val="24"/>
          <w:lang w:val="en-US"/>
        </w:rPr>
        <w:t xml:space="preserve">the </w:t>
      </w:r>
      <w:r w:rsidR="00C74614" w:rsidRPr="00C96363">
        <w:rPr>
          <w:rFonts w:cs="Calibri"/>
          <w:sz w:val="24"/>
          <w:szCs w:val="24"/>
          <w:lang w:val="en-US"/>
        </w:rPr>
        <w:t xml:space="preserve">normalized </w:t>
      </w:r>
      <w:r w:rsidR="000D32A6" w:rsidRPr="00C96363">
        <w:rPr>
          <w:rFonts w:cs="Calibri"/>
          <w:sz w:val="24"/>
          <w:szCs w:val="24"/>
          <w:lang w:val="en-US"/>
        </w:rPr>
        <w:t xml:space="preserve">VLP </w:t>
      </w:r>
      <w:r w:rsidR="00E717EA" w:rsidRPr="00C96363">
        <w:rPr>
          <w:rFonts w:cs="Calibri"/>
          <w:sz w:val="24"/>
          <w:szCs w:val="24"/>
          <w:lang w:val="en-US"/>
        </w:rPr>
        <w:t>to a final volume of 500 µ</w:t>
      </w:r>
      <w:r w:rsidR="00A642B5" w:rsidRPr="00C96363">
        <w:rPr>
          <w:rFonts w:cs="Calibri"/>
          <w:sz w:val="24"/>
          <w:szCs w:val="24"/>
          <w:lang w:val="en-US"/>
        </w:rPr>
        <w:t>L</w:t>
      </w:r>
      <w:r w:rsidR="00E717EA" w:rsidRPr="00C96363">
        <w:rPr>
          <w:rFonts w:cs="Calibri"/>
          <w:sz w:val="24"/>
          <w:szCs w:val="24"/>
          <w:lang w:val="en-US"/>
        </w:rPr>
        <w:t xml:space="preserve"> with </w:t>
      </w:r>
      <w:r w:rsidR="008C5825" w:rsidRPr="00C96363">
        <w:rPr>
          <w:rFonts w:cs="Calibri"/>
          <w:sz w:val="24"/>
          <w:szCs w:val="24"/>
          <w:lang w:val="en-US"/>
        </w:rPr>
        <w:t>Roswell Park Memorial Institute 1640 media (</w:t>
      </w:r>
      <w:r w:rsidR="00E717EA" w:rsidRPr="00C96363">
        <w:rPr>
          <w:rFonts w:cs="Calibri"/>
          <w:sz w:val="24"/>
          <w:szCs w:val="24"/>
          <w:lang w:val="en-US"/>
        </w:rPr>
        <w:t>RPMI</w:t>
      </w:r>
      <w:r w:rsidR="008C5825" w:rsidRPr="00C96363">
        <w:rPr>
          <w:rFonts w:cs="Calibri"/>
          <w:sz w:val="24"/>
          <w:szCs w:val="24"/>
          <w:lang w:val="en-US"/>
        </w:rPr>
        <w:t>)</w:t>
      </w:r>
      <w:r w:rsidR="00E717EA" w:rsidRPr="00C96363">
        <w:rPr>
          <w:rFonts w:cs="Calibri"/>
          <w:sz w:val="24"/>
          <w:szCs w:val="24"/>
          <w:lang w:val="en-US"/>
        </w:rPr>
        <w:t xml:space="preserve"> in a microfuge tube and add 0.5 µ</w:t>
      </w:r>
      <w:r w:rsidR="00A642B5" w:rsidRPr="00C96363">
        <w:rPr>
          <w:rFonts w:cs="Calibri"/>
          <w:sz w:val="24"/>
          <w:szCs w:val="24"/>
          <w:lang w:val="en-US"/>
        </w:rPr>
        <w:t>L</w:t>
      </w:r>
      <w:r w:rsidR="00E717EA" w:rsidRPr="00C96363">
        <w:rPr>
          <w:rFonts w:cs="Calibri"/>
          <w:sz w:val="24"/>
          <w:szCs w:val="24"/>
          <w:lang w:val="en-US"/>
        </w:rPr>
        <w:t xml:space="preserve"> </w:t>
      </w:r>
      <w:r w:rsidR="00D05890">
        <w:t xml:space="preserve">of </w:t>
      </w:r>
      <w:r w:rsidR="00E717EA" w:rsidRPr="00C96363">
        <w:rPr>
          <w:rFonts w:cs="Calibri"/>
          <w:sz w:val="24"/>
          <w:szCs w:val="24"/>
          <w:lang w:val="en-US"/>
        </w:rPr>
        <w:t>polybrene (10 mg/m</w:t>
      </w:r>
      <w:r w:rsidR="00A642B5" w:rsidRPr="00C96363">
        <w:rPr>
          <w:rFonts w:cs="Calibri"/>
          <w:sz w:val="24"/>
          <w:szCs w:val="24"/>
          <w:lang w:val="en-US"/>
        </w:rPr>
        <w:t>L</w:t>
      </w:r>
      <w:r w:rsidR="00E717EA" w:rsidRPr="00C96363">
        <w:rPr>
          <w:rFonts w:cs="Calibri"/>
          <w:sz w:val="24"/>
          <w:szCs w:val="24"/>
          <w:lang w:val="en-US"/>
        </w:rPr>
        <w:t xml:space="preserve">, mix by flicking). </w:t>
      </w:r>
    </w:p>
    <w:p w14:paraId="3C9F3C3E" w14:textId="77777777" w:rsidR="00D05890" w:rsidRDefault="00D05890" w:rsidP="001E1DCF">
      <w:pPr>
        <w:pStyle w:val="NoSpacing"/>
        <w:jc w:val="both"/>
        <w:rPr>
          <w:rFonts w:cs="Calibri"/>
          <w:sz w:val="24"/>
          <w:szCs w:val="24"/>
          <w:lang w:val="en-US"/>
        </w:rPr>
      </w:pPr>
    </w:p>
    <w:p w14:paraId="023A8F41" w14:textId="1C5E1C14" w:rsidR="00E717EA" w:rsidRPr="00C96363" w:rsidRDefault="00F0693C" w:rsidP="001E1DCF">
      <w:pPr>
        <w:pStyle w:val="NoSpacing"/>
        <w:numPr>
          <w:ilvl w:val="2"/>
          <w:numId w:val="32"/>
        </w:numPr>
        <w:ind w:left="0" w:firstLine="0"/>
        <w:jc w:val="both"/>
        <w:rPr>
          <w:rFonts w:cs="Calibri"/>
          <w:sz w:val="24"/>
          <w:szCs w:val="24"/>
          <w:lang w:val="en-US"/>
        </w:rPr>
      </w:pPr>
      <w:r w:rsidRPr="00C96363">
        <w:rPr>
          <w:rFonts w:cs="Calibri"/>
          <w:sz w:val="24"/>
          <w:szCs w:val="24"/>
          <w:lang w:val="en-US"/>
        </w:rPr>
        <w:t>If VLP cannot be titrated beforehand</w:t>
      </w:r>
      <w:r w:rsidR="00C74614" w:rsidRPr="00C96363">
        <w:rPr>
          <w:rFonts w:cs="Calibri"/>
          <w:sz w:val="24"/>
          <w:szCs w:val="24"/>
          <w:lang w:val="en-US"/>
        </w:rPr>
        <w:t>,</w:t>
      </w:r>
      <w:r w:rsidRPr="00C96363">
        <w:rPr>
          <w:rFonts w:cs="Calibri"/>
          <w:sz w:val="24"/>
          <w:szCs w:val="24"/>
          <w:lang w:val="en-US"/>
        </w:rPr>
        <w:t xml:space="preserve"> then </w:t>
      </w:r>
      <w:r w:rsidR="00D91AAE" w:rsidRPr="00C96363">
        <w:rPr>
          <w:rFonts w:cs="Calibri"/>
          <w:sz w:val="24"/>
          <w:szCs w:val="24"/>
          <w:lang w:val="en-US"/>
        </w:rPr>
        <w:t xml:space="preserve">use </w:t>
      </w:r>
      <w:r w:rsidRPr="00C96363">
        <w:rPr>
          <w:rFonts w:cs="Calibri"/>
          <w:sz w:val="24"/>
          <w:szCs w:val="24"/>
          <w:lang w:val="en-US"/>
        </w:rPr>
        <w:t>100 µ</w:t>
      </w:r>
      <w:r w:rsidR="00A642B5" w:rsidRPr="00C96363">
        <w:rPr>
          <w:rFonts w:cs="Calibri"/>
          <w:sz w:val="24"/>
          <w:szCs w:val="24"/>
          <w:lang w:val="en-US"/>
        </w:rPr>
        <w:t>L</w:t>
      </w:r>
      <w:r w:rsidRPr="00C96363">
        <w:rPr>
          <w:rFonts w:cs="Calibri"/>
          <w:sz w:val="24"/>
          <w:szCs w:val="24"/>
          <w:lang w:val="en-US"/>
        </w:rPr>
        <w:t xml:space="preserve"> in the first instance. </w:t>
      </w:r>
      <w:r w:rsidR="00506525" w:rsidRPr="00C96363">
        <w:rPr>
          <w:rFonts w:cs="Calibri"/>
          <w:sz w:val="24"/>
          <w:szCs w:val="24"/>
          <w:lang w:val="en-US"/>
        </w:rPr>
        <w:t>Use a</w:t>
      </w:r>
      <w:r w:rsidRPr="00C96363">
        <w:rPr>
          <w:rFonts w:cs="Calibri"/>
          <w:sz w:val="24"/>
          <w:szCs w:val="24"/>
          <w:lang w:val="en-US"/>
        </w:rPr>
        <w:t xml:space="preserve"> maximum 1:1 ratio of VLP to RPMI to limit VLP-induced toxicity.</w:t>
      </w:r>
      <w:r w:rsidR="00F16CDB" w:rsidRPr="00C96363">
        <w:rPr>
          <w:rFonts w:cs="Calibri"/>
          <w:sz w:val="24"/>
          <w:szCs w:val="24"/>
          <w:lang w:val="en-US"/>
        </w:rPr>
        <w:t xml:space="preserve"> </w:t>
      </w:r>
      <w:r w:rsidR="00506525" w:rsidRPr="00C96363">
        <w:rPr>
          <w:rFonts w:cs="Calibri"/>
          <w:sz w:val="24"/>
          <w:szCs w:val="24"/>
          <w:lang w:val="en-US"/>
        </w:rPr>
        <w:t>A</w:t>
      </w:r>
      <w:r w:rsidR="00F16CDB" w:rsidRPr="00C96363">
        <w:rPr>
          <w:rFonts w:cs="Calibri"/>
          <w:sz w:val="24"/>
          <w:szCs w:val="24"/>
          <w:lang w:val="en-US"/>
        </w:rPr>
        <w:t>im</w:t>
      </w:r>
      <w:r w:rsidR="00506525" w:rsidRPr="00C96363">
        <w:rPr>
          <w:rFonts w:cs="Calibri"/>
          <w:sz w:val="24"/>
          <w:szCs w:val="24"/>
          <w:lang w:val="en-US"/>
        </w:rPr>
        <w:t xml:space="preserve"> </w:t>
      </w:r>
      <w:r w:rsidR="00F16CDB" w:rsidRPr="00C96363">
        <w:rPr>
          <w:rFonts w:cs="Calibri"/>
          <w:sz w:val="24"/>
          <w:szCs w:val="24"/>
          <w:lang w:val="en-US"/>
        </w:rPr>
        <w:t>for approximately 30% transduction.</w:t>
      </w:r>
    </w:p>
    <w:p w14:paraId="1B9668F6" w14:textId="77777777" w:rsidR="00A6785F" w:rsidRPr="00C96363" w:rsidRDefault="00A6785F" w:rsidP="00851755">
      <w:pPr>
        <w:pStyle w:val="NoSpacing"/>
        <w:jc w:val="both"/>
        <w:rPr>
          <w:rFonts w:cs="Calibri"/>
          <w:sz w:val="24"/>
          <w:szCs w:val="24"/>
          <w:lang w:val="en-US"/>
        </w:rPr>
      </w:pPr>
    </w:p>
    <w:p w14:paraId="08651EE7" w14:textId="4CDE6A9C" w:rsidR="00D66BEA" w:rsidRPr="00C96363" w:rsidRDefault="00A6785F" w:rsidP="00851755">
      <w:pPr>
        <w:pStyle w:val="NoSpacing"/>
        <w:numPr>
          <w:ilvl w:val="1"/>
          <w:numId w:val="32"/>
        </w:numPr>
        <w:ind w:left="0" w:firstLine="0"/>
        <w:jc w:val="both"/>
        <w:rPr>
          <w:rFonts w:cs="Calibri"/>
          <w:sz w:val="24"/>
          <w:szCs w:val="24"/>
          <w:lang w:val="en-US"/>
        </w:rPr>
      </w:pPr>
      <w:r w:rsidRPr="00C96363">
        <w:rPr>
          <w:rFonts w:cs="Calibri"/>
          <w:sz w:val="24"/>
          <w:szCs w:val="24"/>
          <w:lang w:val="en-US"/>
        </w:rPr>
        <w:t>A</w:t>
      </w:r>
      <w:r w:rsidR="00E717EA" w:rsidRPr="00C96363">
        <w:rPr>
          <w:rFonts w:cs="Calibri"/>
          <w:sz w:val="24"/>
          <w:szCs w:val="24"/>
          <w:lang w:val="en-US"/>
        </w:rPr>
        <w:t>liquot 5</w:t>
      </w:r>
      <w:r w:rsidR="00506525" w:rsidRPr="00C96363">
        <w:rPr>
          <w:rFonts w:cs="Calibri"/>
          <w:sz w:val="24"/>
          <w:szCs w:val="24"/>
          <w:lang w:val="en-US"/>
        </w:rPr>
        <w:t xml:space="preserve"> </w:t>
      </w:r>
      <w:r w:rsidR="00E717EA" w:rsidRPr="00C96363">
        <w:rPr>
          <w:rFonts w:cs="Calibri"/>
          <w:sz w:val="24"/>
          <w:szCs w:val="24"/>
          <w:lang w:val="en-US"/>
        </w:rPr>
        <w:t>x</w:t>
      </w:r>
      <w:r w:rsidR="00506525" w:rsidRPr="00C96363">
        <w:rPr>
          <w:rFonts w:cs="Calibri"/>
          <w:sz w:val="24"/>
          <w:szCs w:val="24"/>
          <w:lang w:val="en-US"/>
        </w:rPr>
        <w:t xml:space="preserve"> </w:t>
      </w:r>
      <w:r w:rsidR="00E717EA" w:rsidRPr="00C96363">
        <w:rPr>
          <w:rFonts w:cs="Calibri"/>
          <w:sz w:val="24"/>
          <w:szCs w:val="24"/>
          <w:lang w:val="en-US"/>
        </w:rPr>
        <w:t>10</w:t>
      </w:r>
      <w:r w:rsidR="00E717EA" w:rsidRPr="00C96363">
        <w:rPr>
          <w:rFonts w:cs="Calibri"/>
          <w:sz w:val="24"/>
          <w:szCs w:val="24"/>
          <w:vertAlign w:val="superscript"/>
          <w:lang w:val="en-US"/>
        </w:rPr>
        <w:t>5</w:t>
      </w:r>
      <w:r w:rsidR="00E717EA" w:rsidRPr="00C96363">
        <w:rPr>
          <w:rFonts w:cs="Calibri"/>
          <w:sz w:val="24"/>
          <w:szCs w:val="24"/>
          <w:lang w:val="en-US"/>
        </w:rPr>
        <w:t xml:space="preserve"> </w:t>
      </w:r>
      <w:r w:rsidR="00B06267" w:rsidRPr="00C96363">
        <w:rPr>
          <w:rFonts w:cs="Calibri"/>
          <w:sz w:val="24"/>
          <w:szCs w:val="24"/>
          <w:lang w:val="en-US"/>
        </w:rPr>
        <w:t xml:space="preserve">U937 </w:t>
      </w:r>
      <w:r w:rsidR="000D32A6" w:rsidRPr="00C96363">
        <w:rPr>
          <w:rFonts w:cs="Calibri"/>
          <w:sz w:val="24"/>
          <w:szCs w:val="24"/>
          <w:lang w:val="en-US"/>
        </w:rPr>
        <w:t xml:space="preserve">cells </w:t>
      </w:r>
      <w:r w:rsidR="00E717EA" w:rsidRPr="00C96363">
        <w:rPr>
          <w:rFonts w:cs="Calibri"/>
          <w:sz w:val="24"/>
          <w:szCs w:val="24"/>
          <w:lang w:val="en-US"/>
        </w:rPr>
        <w:t xml:space="preserve">into </w:t>
      </w:r>
      <w:r w:rsidR="000D32A6" w:rsidRPr="00C96363">
        <w:rPr>
          <w:rFonts w:cs="Calibri"/>
          <w:sz w:val="24"/>
          <w:szCs w:val="24"/>
          <w:lang w:val="en-US"/>
        </w:rPr>
        <w:t xml:space="preserve">a </w:t>
      </w:r>
      <w:r w:rsidR="00E717EA" w:rsidRPr="00C96363">
        <w:rPr>
          <w:rFonts w:cs="Calibri"/>
          <w:sz w:val="24"/>
          <w:szCs w:val="24"/>
          <w:lang w:val="en-US"/>
        </w:rPr>
        <w:t xml:space="preserve">sterile </w:t>
      </w:r>
      <w:r w:rsidR="00B06267" w:rsidRPr="00C96363">
        <w:rPr>
          <w:rFonts w:cs="Calibri"/>
          <w:sz w:val="24"/>
          <w:szCs w:val="24"/>
          <w:lang w:val="en-US"/>
        </w:rPr>
        <w:t xml:space="preserve">microfuge tube </w:t>
      </w:r>
      <w:r w:rsidR="000D32A6" w:rsidRPr="00C96363">
        <w:rPr>
          <w:rFonts w:cs="Calibri"/>
          <w:sz w:val="24"/>
          <w:szCs w:val="24"/>
          <w:lang w:val="en-US"/>
        </w:rPr>
        <w:t>for each transduction condition</w:t>
      </w:r>
      <w:r w:rsidR="00D05890">
        <w:rPr>
          <w:rFonts w:cs="Calibri"/>
          <w:sz w:val="24"/>
          <w:szCs w:val="24"/>
          <w:lang w:val="en-US"/>
        </w:rPr>
        <w:t>. P</w:t>
      </w:r>
      <w:r w:rsidR="00B06267" w:rsidRPr="00C96363">
        <w:rPr>
          <w:rFonts w:cs="Calibri"/>
          <w:sz w:val="24"/>
          <w:szCs w:val="24"/>
          <w:lang w:val="en-US"/>
        </w:rPr>
        <w:t>ellet by centrifugation at 500 x</w:t>
      </w:r>
      <w:r w:rsidR="00D66BEA" w:rsidRPr="00C96363">
        <w:rPr>
          <w:rFonts w:cs="Calibri"/>
          <w:sz w:val="24"/>
          <w:szCs w:val="24"/>
          <w:lang w:val="en-US"/>
        </w:rPr>
        <w:t xml:space="preserve"> </w:t>
      </w:r>
      <w:r w:rsidR="00B06267" w:rsidRPr="00C96363">
        <w:rPr>
          <w:rFonts w:cs="Calibri"/>
          <w:i/>
          <w:iCs/>
          <w:sz w:val="24"/>
          <w:szCs w:val="24"/>
          <w:lang w:val="en-US"/>
        </w:rPr>
        <w:t>g</w:t>
      </w:r>
      <w:r w:rsidR="00B06267" w:rsidRPr="00C96363">
        <w:rPr>
          <w:rFonts w:cs="Calibri"/>
          <w:sz w:val="24"/>
          <w:szCs w:val="24"/>
          <w:lang w:val="en-US"/>
        </w:rPr>
        <w:t xml:space="preserve"> for 5 </w:t>
      </w:r>
      <w:proofErr w:type="gramStart"/>
      <w:r w:rsidR="00B06267" w:rsidRPr="00C96363">
        <w:rPr>
          <w:rFonts w:cs="Calibri"/>
          <w:sz w:val="24"/>
          <w:szCs w:val="24"/>
          <w:lang w:val="en-US"/>
        </w:rPr>
        <w:t xml:space="preserve">min, </w:t>
      </w:r>
      <w:r w:rsidR="00D05890">
        <w:rPr>
          <w:rFonts w:cs="Calibri"/>
          <w:sz w:val="24"/>
          <w:szCs w:val="24"/>
          <w:lang w:val="en-US"/>
        </w:rPr>
        <w:t>and</w:t>
      </w:r>
      <w:proofErr w:type="gramEnd"/>
      <w:r w:rsidR="00D05890">
        <w:rPr>
          <w:rFonts w:cs="Calibri"/>
          <w:sz w:val="24"/>
          <w:szCs w:val="24"/>
          <w:lang w:val="en-US"/>
        </w:rPr>
        <w:t xml:space="preserve"> </w:t>
      </w:r>
      <w:r w:rsidR="00D05890" w:rsidRPr="00C96363">
        <w:rPr>
          <w:rFonts w:cs="Calibri"/>
          <w:sz w:val="24"/>
          <w:szCs w:val="24"/>
          <w:lang w:val="en-US"/>
        </w:rPr>
        <w:t>remov</w:t>
      </w:r>
      <w:r w:rsidR="00D05890">
        <w:rPr>
          <w:rFonts w:cs="Calibri"/>
          <w:sz w:val="24"/>
          <w:szCs w:val="24"/>
          <w:lang w:val="en-US"/>
        </w:rPr>
        <w:t>e</w:t>
      </w:r>
      <w:r w:rsidR="00D05890" w:rsidRPr="00C96363">
        <w:rPr>
          <w:rFonts w:cs="Calibri"/>
          <w:sz w:val="24"/>
          <w:szCs w:val="24"/>
          <w:lang w:val="en-US"/>
        </w:rPr>
        <w:t xml:space="preserve"> </w:t>
      </w:r>
      <w:r w:rsidR="00B06267" w:rsidRPr="00C96363">
        <w:rPr>
          <w:rFonts w:cs="Calibri"/>
          <w:sz w:val="24"/>
          <w:szCs w:val="24"/>
          <w:lang w:val="en-US"/>
        </w:rPr>
        <w:t>the supernatant</w:t>
      </w:r>
      <w:r w:rsidR="00E717EA" w:rsidRPr="00C96363">
        <w:rPr>
          <w:rFonts w:cs="Calibri"/>
          <w:sz w:val="24"/>
          <w:szCs w:val="24"/>
          <w:lang w:val="en-US"/>
        </w:rPr>
        <w:t xml:space="preserve"> (</w:t>
      </w:r>
      <w:r w:rsidRPr="00C96363">
        <w:rPr>
          <w:rFonts w:cs="Calibri"/>
          <w:sz w:val="24"/>
          <w:szCs w:val="24"/>
          <w:lang w:val="en-US"/>
        </w:rPr>
        <w:t xml:space="preserve">include two additional tubes as </w:t>
      </w:r>
      <w:proofErr w:type="spellStart"/>
      <w:r w:rsidRPr="00C96363">
        <w:rPr>
          <w:rFonts w:cs="Calibri"/>
          <w:sz w:val="24"/>
          <w:szCs w:val="24"/>
          <w:lang w:val="en-US"/>
        </w:rPr>
        <w:t>untransduced</w:t>
      </w:r>
      <w:proofErr w:type="spellEnd"/>
      <w:r w:rsidRPr="00C96363">
        <w:rPr>
          <w:rFonts w:cs="Calibri"/>
          <w:sz w:val="24"/>
          <w:szCs w:val="24"/>
          <w:lang w:val="en-US"/>
        </w:rPr>
        <w:t xml:space="preserve"> controls for flow cytometry</w:t>
      </w:r>
      <w:r w:rsidR="00E717EA" w:rsidRPr="00C96363">
        <w:rPr>
          <w:rFonts w:cs="Calibri"/>
          <w:sz w:val="24"/>
          <w:szCs w:val="24"/>
          <w:lang w:val="en-US"/>
        </w:rPr>
        <w:t>)</w:t>
      </w:r>
      <w:r w:rsidR="00157F83" w:rsidRPr="00C96363">
        <w:rPr>
          <w:rFonts w:cs="Calibri"/>
          <w:sz w:val="24"/>
          <w:szCs w:val="24"/>
          <w:lang w:val="en-US"/>
        </w:rPr>
        <w:t xml:space="preserve">. </w:t>
      </w:r>
      <w:r w:rsidR="00B06267" w:rsidRPr="00C96363">
        <w:rPr>
          <w:rFonts w:cs="Calibri"/>
          <w:sz w:val="24"/>
          <w:szCs w:val="24"/>
          <w:lang w:val="en-US"/>
        </w:rPr>
        <w:t>R</w:t>
      </w:r>
      <w:r w:rsidR="00E717EA" w:rsidRPr="00C96363">
        <w:rPr>
          <w:rFonts w:cs="Calibri"/>
          <w:sz w:val="24"/>
          <w:szCs w:val="24"/>
          <w:lang w:val="en-US"/>
        </w:rPr>
        <w:t>esuspend the cell pellet in 500 µ</w:t>
      </w:r>
      <w:r w:rsidR="00A642B5" w:rsidRPr="00C96363">
        <w:rPr>
          <w:rFonts w:cs="Calibri"/>
          <w:sz w:val="24"/>
          <w:szCs w:val="24"/>
          <w:lang w:val="en-US"/>
        </w:rPr>
        <w:t>L</w:t>
      </w:r>
      <w:r w:rsidR="00E717EA" w:rsidRPr="00C96363">
        <w:rPr>
          <w:rFonts w:cs="Calibri"/>
          <w:sz w:val="24"/>
          <w:szCs w:val="24"/>
          <w:lang w:val="en-US"/>
        </w:rPr>
        <w:t xml:space="preserve"> </w:t>
      </w:r>
      <w:r w:rsidR="00D05890">
        <w:t xml:space="preserve">of </w:t>
      </w:r>
      <w:r w:rsidR="00E717EA" w:rsidRPr="00C96363">
        <w:rPr>
          <w:rFonts w:cs="Calibri"/>
          <w:sz w:val="24"/>
          <w:szCs w:val="24"/>
          <w:lang w:val="en-US"/>
        </w:rPr>
        <w:t xml:space="preserve">diluted </w:t>
      </w:r>
      <w:r w:rsidR="000D32A6" w:rsidRPr="00C96363">
        <w:rPr>
          <w:rFonts w:cs="Calibri"/>
          <w:sz w:val="24"/>
          <w:szCs w:val="24"/>
          <w:lang w:val="en-US"/>
        </w:rPr>
        <w:t xml:space="preserve">VLP </w:t>
      </w:r>
      <w:r w:rsidR="00B06267" w:rsidRPr="00C96363">
        <w:rPr>
          <w:rFonts w:cs="Calibri"/>
          <w:sz w:val="24"/>
          <w:szCs w:val="24"/>
          <w:lang w:val="en-US"/>
        </w:rPr>
        <w:t xml:space="preserve">(or RPMI for </w:t>
      </w:r>
      <w:proofErr w:type="spellStart"/>
      <w:r w:rsidR="00B06267" w:rsidRPr="00C96363">
        <w:rPr>
          <w:rFonts w:cs="Calibri"/>
          <w:sz w:val="24"/>
          <w:szCs w:val="24"/>
          <w:lang w:val="en-US"/>
        </w:rPr>
        <w:t>untransduced</w:t>
      </w:r>
      <w:proofErr w:type="spellEnd"/>
      <w:r w:rsidR="00B06267" w:rsidRPr="00C96363">
        <w:rPr>
          <w:rFonts w:cs="Calibri"/>
          <w:sz w:val="24"/>
          <w:szCs w:val="24"/>
          <w:lang w:val="en-US"/>
        </w:rPr>
        <w:t xml:space="preserve"> controls) </w:t>
      </w:r>
      <w:r w:rsidR="00E717EA" w:rsidRPr="00C96363">
        <w:rPr>
          <w:rFonts w:cs="Calibri"/>
          <w:sz w:val="24"/>
          <w:szCs w:val="24"/>
          <w:lang w:val="en-US"/>
        </w:rPr>
        <w:t>and transfer to one well of a 24</w:t>
      </w:r>
      <w:r w:rsidR="00C74614" w:rsidRPr="00C96363">
        <w:rPr>
          <w:rFonts w:cs="Calibri"/>
          <w:sz w:val="24"/>
          <w:szCs w:val="24"/>
          <w:lang w:val="en-US"/>
        </w:rPr>
        <w:t>-</w:t>
      </w:r>
      <w:r w:rsidR="007E6526" w:rsidRPr="00C96363">
        <w:rPr>
          <w:rFonts w:cs="Calibri"/>
          <w:sz w:val="24"/>
          <w:szCs w:val="24"/>
          <w:lang w:val="en-US"/>
        </w:rPr>
        <w:t>well plate</w:t>
      </w:r>
      <w:r w:rsidR="00E717EA" w:rsidRPr="00C96363">
        <w:rPr>
          <w:rFonts w:cs="Calibri"/>
          <w:sz w:val="24"/>
          <w:szCs w:val="24"/>
          <w:lang w:val="en-US"/>
        </w:rPr>
        <w:t>.</w:t>
      </w:r>
    </w:p>
    <w:p w14:paraId="2A5F46AE" w14:textId="77777777" w:rsidR="00D66BEA" w:rsidRPr="003F7539" w:rsidRDefault="00D66BEA" w:rsidP="00C96363"/>
    <w:p w14:paraId="28E77818" w14:textId="2D0A05F7" w:rsidR="00AA41D5" w:rsidRPr="00C96363" w:rsidRDefault="00B06267" w:rsidP="00851755">
      <w:pPr>
        <w:pStyle w:val="NoSpacing"/>
        <w:numPr>
          <w:ilvl w:val="1"/>
          <w:numId w:val="32"/>
        </w:numPr>
        <w:ind w:left="0" w:firstLine="0"/>
        <w:jc w:val="both"/>
        <w:rPr>
          <w:rFonts w:cs="Calibri"/>
          <w:sz w:val="24"/>
          <w:szCs w:val="24"/>
          <w:lang w:val="en-US"/>
        </w:rPr>
      </w:pPr>
      <w:proofErr w:type="spellStart"/>
      <w:r w:rsidRPr="00C96363">
        <w:rPr>
          <w:rFonts w:cs="Calibri"/>
          <w:sz w:val="24"/>
          <w:szCs w:val="24"/>
          <w:lang w:val="en-US"/>
        </w:rPr>
        <w:t>S</w:t>
      </w:r>
      <w:r w:rsidR="00E717EA" w:rsidRPr="00C96363">
        <w:rPr>
          <w:rFonts w:cs="Calibri"/>
          <w:sz w:val="24"/>
          <w:szCs w:val="24"/>
          <w:lang w:val="en-US"/>
        </w:rPr>
        <w:t>pinoculat</w:t>
      </w:r>
      <w:r w:rsidRPr="00C96363">
        <w:rPr>
          <w:rFonts w:cs="Calibri"/>
          <w:sz w:val="24"/>
          <w:szCs w:val="24"/>
          <w:lang w:val="en-US"/>
        </w:rPr>
        <w:t>e</w:t>
      </w:r>
      <w:proofErr w:type="spellEnd"/>
      <w:r w:rsidR="00E717EA" w:rsidRPr="00C96363">
        <w:rPr>
          <w:rFonts w:cs="Calibri"/>
          <w:sz w:val="24"/>
          <w:szCs w:val="24"/>
          <w:lang w:val="en-US"/>
        </w:rPr>
        <w:t xml:space="preserve"> in </w:t>
      </w:r>
      <w:r w:rsidR="004A4A05" w:rsidRPr="00C96363">
        <w:rPr>
          <w:rFonts w:cs="Calibri"/>
          <w:sz w:val="24"/>
          <w:szCs w:val="24"/>
          <w:lang w:val="en-US"/>
        </w:rPr>
        <w:t>a tabletop</w:t>
      </w:r>
      <w:r w:rsidR="00E717EA" w:rsidRPr="00C96363">
        <w:rPr>
          <w:rFonts w:cs="Calibri"/>
          <w:sz w:val="24"/>
          <w:szCs w:val="24"/>
          <w:lang w:val="en-US"/>
        </w:rPr>
        <w:t xml:space="preserve"> centrifuge at </w:t>
      </w:r>
      <w:r w:rsidR="0051610B" w:rsidRPr="00C96363">
        <w:rPr>
          <w:rFonts w:cs="Calibri"/>
          <w:sz w:val="24"/>
          <w:szCs w:val="24"/>
          <w:lang w:val="en-US"/>
        </w:rPr>
        <w:t>800 x</w:t>
      </w:r>
      <w:r w:rsidR="00506525" w:rsidRPr="00C96363">
        <w:rPr>
          <w:rFonts w:cs="Calibri"/>
          <w:sz w:val="24"/>
          <w:szCs w:val="24"/>
          <w:lang w:val="en-US"/>
        </w:rPr>
        <w:t xml:space="preserve"> </w:t>
      </w:r>
      <w:r w:rsidR="007E6526" w:rsidRPr="00C96363">
        <w:rPr>
          <w:rFonts w:cs="Calibri"/>
          <w:i/>
          <w:iCs/>
          <w:sz w:val="24"/>
          <w:szCs w:val="24"/>
          <w:lang w:val="en-US"/>
        </w:rPr>
        <w:t>g</w:t>
      </w:r>
      <w:r w:rsidR="00E717EA" w:rsidRPr="00C96363">
        <w:rPr>
          <w:rFonts w:cs="Calibri"/>
          <w:sz w:val="24"/>
          <w:szCs w:val="24"/>
          <w:lang w:val="en-US"/>
        </w:rPr>
        <w:t xml:space="preserve"> for 90 min at 2</w:t>
      </w:r>
      <w:r w:rsidR="00D53C55" w:rsidRPr="00C96363">
        <w:rPr>
          <w:rFonts w:cs="Calibri"/>
          <w:sz w:val="24"/>
          <w:szCs w:val="24"/>
          <w:lang w:val="en-US"/>
        </w:rPr>
        <w:t>0</w:t>
      </w:r>
      <w:r w:rsidR="00E717EA" w:rsidRPr="00C96363">
        <w:rPr>
          <w:rFonts w:cs="Calibri"/>
          <w:sz w:val="24"/>
          <w:szCs w:val="24"/>
          <w:lang w:val="en-US"/>
        </w:rPr>
        <w:t xml:space="preserve"> </w:t>
      </w:r>
      <w:r w:rsidR="00506525" w:rsidRPr="00C96363">
        <w:rPr>
          <w:rFonts w:cs="Calibri"/>
          <w:sz w:val="24"/>
          <w:szCs w:val="24"/>
          <w:lang w:val="en-US"/>
        </w:rPr>
        <w:t>°</w:t>
      </w:r>
      <w:r w:rsidR="00E717EA" w:rsidRPr="00C96363">
        <w:rPr>
          <w:rFonts w:cs="Calibri"/>
          <w:sz w:val="24"/>
          <w:szCs w:val="24"/>
          <w:lang w:val="en-US"/>
        </w:rPr>
        <w:t>C</w:t>
      </w:r>
      <w:r w:rsidR="00157F83" w:rsidRPr="00C96363">
        <w:rPr>
          <w:rFonts w:cs="Calibri"/>
          <w:sz w:val="24"/>
          <w:szCs w:val="24"/>
          <w:lang w:val="en-US"/>
        </w:rPr>
        <w:t xml:space="preserve">. </w:t>
      </w:r>
      <w:r w:rsidR="00E717EA" w:rsidRPr="00C96363">
        <w:rPr>
          <w:rFonts w:cs="Calibri"/>
          <w:sz w:val="24"/>
          <w:szCs w:val="24"/>
          <w:lang w:val="en-US"/>
        </w:rPr>
        <w:t>Add 1 m</w:t>
      </w:r>
      <w:r w:rsidR="00A642B5" w:rsidRPr="00C96363">
        <w:rPr>
          <w:rFonts w:cs="Calibri"/>
          <w:sz w:val="24"/>
          <w:szCs w:val="24"/>
          <w:lang w:val="en-US"/>
        </w:rPr>
        <w:t>L</w:t>
      </w:r>
      <w:r w:rsidR="00E717EA" w:rsidRPr="00C96363">
        <w:rPr>
          <w:rFonts w:cs="Calibri"/>
          <w:sz w:val="24"/>
          <w:szCs w:val="24"/>
          <w:lang w:val="en-US"/>
        </w:rPr>
        <w:t xml:space="preserve"> </w:t>
      </w:r>
      <w:r w:rsidR="00D05890">
        <w:t xml:space="preserve">of </w:t>
      </w:r>
      <w:r w:rsidR="00591270" w:rsidRPr="00C96363">
        <w:rPr>
          <w:rFonts w:cs="Calibri"/>
          <w:sz w:val="24"/>
          <w:szCs w:val="24"/>
          <w:lang w:val="en-US"/>
        </w:rPr>
        <w:t xml:space="preserve">37 </w:t>
      </w:r>
      <w:r w:rsidR="00506525" w:rsidRPr="00C96363">
        <w:rPr>
          <w:rFonts w:cs="Calibri"/>
          <w:sz w:val="24"/>
          <w:szCs w:val="24"/>
          <w:lang w:val="en-US"/>
        </w:rPr>
        <w:t>°</w:t>
      </w:r>
      <w:r w:rsidR="00591270" w:rsidRPr="00C96363">
        <w:rPr>
          <w:rFonts w:cs="Calibri"/>
          <w:sz w:val="24"/>
          <w:szCs w:val="24"/>
          <w:lang w:val="en-US"/>
        </w:rPr>
        <w:t xml:space="preserve">C </w:t>
      </w:r>
      <w:r w:rsidR="00E717EA" w:rsidRPr="00C96363">
        <w:rPr>
          <w:rFonts w:cs="Calibri"/>
          <w:sz w:val="24"/>
          <w:szCs w:val="24"/>
          <w:lang w:val="en-US"/>
        </w:rPr>
        <w:t xml:space="preserve">RPMI to the well and </w:t>
      </w:r>
      <w:r w:rsidR="00157F83" w:rsidRPr="00C96363">
        <w:rPr>
          <w:rFonts w:cs="Calibri"/>
          <w:sz w:val="24"/>
          <w:szCs w:val="24"/>
          <w:lang w:val="en-US"/>
        </w:rPr>
        <w:t>a</w:t>
      </w:r>
      <w:r w:rsidR="00D53C55" w:rsidRPr="00C96363">
        <w:rPr>
          <w:rFonts w:cs="Calibri"/>
          <w:sz w:val="24"/>
          <w:szCs w:val="24"/>
          <w:lang w:val="en-US"/>
        </w:rPr>
        <w:t xml:space="preserve">llow to </w:t>
      </w:r>
      <w:r w:rsidR="00E717EA" w:rsidRPr="00C96363">
        <w:rPr>
          <w:rFonts w:cs="Calibri"/>
          <w:sz w:val="24"/>
          <w:szCs w:val="24"/>
          <w:lang w:val="en-US"/>
        </w:rPr>
        <w:t xml:space="preserve">recover </w:t>
      </w:r>
      <w:r w:rsidR="00157F83" w:rsidRPr="00C96363">
        <w:rPr>
          <w:rFonts w:cs="Calibri"/>
          <w:sz w:val="24"/>
          <w:szCs w:val="24"/>
          <w:lang w:val="en-US"/>
        </w:rPr>
        <w:t xml:space="preserve">in a 37 </w:t>
      </w:r>
      <w:r w:rsidR="00506525" w:rsidRPr="00C96363">
        <w:rPr>
          <w:rFonts w:cs="Calibri"/>
          <w:sz w:val="24"/>
          <w:szCs w:val="24"/>
          <w:lang w:val="en-US"/>
        </w:rPr>
        <w:t>°C</w:t>
      </w:r>
      <w:r w:rsidR="00157F83" w:rsidRPr="00C96363">
        <w:rPr>
          <w:rFonts w:cs="Calibri"/>
          <w:sz w:val="24"/>
          <w:szCs w:val="24"/>
          <w:lang w:val="en-US"/>
        </w:rPr>
        <w:t xml:space="preserve"> incubator </w:t>
      </w:r>
      <w:r w:rsidR="00E717EA" w:rsidRPr="00C96363">
        <w:rPr>
          <w:rFonts w:cs="Calibri"/>
          <w:sz w:val="24"/>
          <w:szCs w:val="24"/>
          <w:lang w:val="en-US"/>
        </w:rPr>
        <w:t>for 3 days</w:t>
      </w:r>
      <w:r w:rsidR="00157F83" w:rsidRPr="00C96363">
        <w:rPr>
          <w:rFonts w:cs="Calibri"/>
          <w:sz w:val="24"/>
          <w:szCs w:val="24"/>
          <w:lang w:val="en-US"/>
        </w:rPr>
        <w:t>.</w:t>
      </w:r>
    </w:p>
    <w:p w14:paraId="52F6E9D0" w14:textId="77777777" w:rsidR="00213C4E" w:rsidRPr="003F7539" w:rsidRDefault="00213C4E" w:rsidP="00851755">
      <w:pPr>
        <w:pStyle w:val="ListParagraph"/>
        <w:ind w:left="0"/>
      </w:pPr>
    </w:p>
    <w:p w14:paraId="6574BA22" w14:textId="77777777" w:rsidR="00213C4E" w:rsidRPr="00C96363" w:rsidRDefault="00213C4E" w:rsidP="00851755">
      <w:pPr>
        <w:pStyle w:val="NoSpacing"/>
        <w:numPr>
          <w:ilvl w:val="0"/>
          <w:numId w:val="32"/>
        </w:numPr>
        <w:ind w:left="0" w:firstLine="0"/>
        <w:jc w:val="both"/>
        <w:rPr>
          <w:rFonts w:cs="Calibri"/>
          <w:b/>
          <w:bCs/>
          <w:sz w:val="24"/>
          <w:szCs w:val="24"/>
          <w:lang w:val="en-US"/>
        </w:rPr>
      </w:pPr>
      <w:r w:rsidRPr="00C96363">
        <w:rPr>
          <w:rFonts w:cs="Calibri"/>
          <w:b/>
          <w:bCs/>
          <w:sz w:val="24"/>
          <w:szCs w:val="24"/>
          <w:lang w:val="en-US"/>
        </w:rPr>
        <w:t>Differentiation of transduced U937</w:t>
      </w:r>
    </w:p>
    <w:p w14:paraId="4A15A7EE" w14:textId="77777777" w:rsidR="00D676C2" w:rsidRPr="003F7539" w:rsidRDefault="00D676C2" w:rsidP="00851755">
      <w:pPr>
        <w:pStyle w:val="ListParagraph"/>
        <w:ind w:left="0"/>
        <w:rPr>
          <w:b/>
        </w:rPr>
      </w:pPr>
    </w:p>
    <w:p w14:paraId="7D738946" w14:textId="0349F948" w:rsidR="00E717EA" w:rsidRPr="00C96363" w:rsidRDefault="00D676C2" w:rsidP="00851755">
      <w:pPr>
        <w:pStyle w:val="NoSpacing"/>
        <w:numPr>
          <w:ilvl w:val="1"/>
          <w:numId w:val="32"/>
        </w:numPr>
        <w:ind w:left="0" w:firstLine="0"/>
        <w:jc w:val="both"/>
        <w:rPr>
          <w:rFonts w:cs="Calibri"/>
          <w:sz w:val="24"/>
          <w:szCs w:val="24"/>
          <w:lang w:val="en-US"/>
        </w:rPr>
      </w:pPr>
      <w:r w:rsidRPr="00C96363">
        <w:rPr>
          <w:rFonts w:cs="Calibri"/>
          <w:bCs/>
          <w:sz w:val="24"/>
          <w:szCs w:val="24"/>
          <w:lang w:val="en-US"/>
        </w:rPr>
        <w:t>D</w:t>
      </w:r>
      <w:r w:rsidR="00E717EA" w:rsidRPr="00C96363">
        <w:rPr>
          <w:rFonts w:cs="Calibri"/>
          <w:bCs/>
          <w:sz w:val="24"/>
          <w:szCs w:val="24"/>
          <w:lang w:val="en-US"/>
        </w:rPr>
        <w:t>ay 4</w:t>
      </w:r>
      <w:r w:rsidRPr="00C96363">
        <w:rPr>
          <w:rFonts w:cs="Calibri"/>
          <w:bCs/>
          <w:sz w:val="24"/>
          <w:szCs w:val="24"/>
          <w:lang w:val="en-US"/>
        </w:rPr>
        <w:t xml:space="preserve"> (morning): </w:t>
      </w:r>
      <w:r w:rsidR="00E717EA" w:rsidRPr="00C96363">
        <w:rPr>
          <w:rFonts w:cs="Calibri"/>
          <w:sz w:val="24"/>
          <w:szCs w:val="24"/>
          <w:lang w:val="en-US"/>
        </w:rPr>
        <w:t xml:space="preserve">Re-suspend the cells by </w:t>
      </w:r>
      <w:r w:rsidRPr="00C96363">
        <w:rPr>
          <w:rFonts w:cs="Calibri"/>
          <w:sz w:val="24"/>
          <w:szCs w:val="24"/>
          <w:lang w:val="en-US"/>
        </w:rPr>
        <w:t xml:space="preserve">gently </w:t>
      </w:r>
      <w:r w:rsidR="00E717EA" w:rsidRPr="00C96363">
        <w:rPr>
          <w:rFonts w:cs="Calibri"/>
          <w:sz w:val="24"/>
          <w:szCs w:val="24"/>
          <w:lang w:val="en-US"/>
        </w:rPr>
        <w:t>pipetting and transfer 350 µ</w:t>
      </w:r>
      <w:r w:rsidR="00A642B5" w:rsidRPr="00C96363">
        <w:rPr>
          <w:rFonts w:cs="Calibri"/>
          <w:sz w:val="24"/>
          <w:szCs w:val="24"/>
          <w:lang w:val="en-US"/>
        </w:rPr>
        <w:t>L</w:t>
      </w:r>
      <w:r w:rsidR="00E717EA" w:rsidRPr="00C96363">
        <w:rPr>
          <w:rFonts w:cs="Calibri"/>
          <w:sz w:val="24"/>
          <w:szCs w:val="24"/>
          <w:lang w:val="en-US"/>
        </w:rPr>
        <w:t xml:space="preserve"> into each of </w:t>
      </w:r>
      <w:r w:rsidR="00C74614" w:rsidRPr="00C96363">
        <w:rPr>
          <w:rFonts w:cs="Calibri"/>
          <w:sz w:val="24"/>
          <w:szCs w:val="24"/>
          <w:lang w:val="en-US"/>
        </w:rPr>
        <w:t xml:space="preserve">the </w:t>
      </w:r>
      <w:r w:rsidRPr="00C96363">
        <w:rPr>
          <w:rFonts w:cs="Calibri"/>
          <w:sz w:val="24"/>
          <w:szCs w:val="24"/>
          <w:lang w:val="en-US"/>
        </w:rPr>
        <w:t>4</w:t>
      </w:r>
      <w:r w:rsidR="00E717EA" w:rsidRPr="00C96363">
        <w:rPr>
          <w:rFonts w:cs="Calibri"/>
          <w:sz w:val="24"/>
          <w:szCs w:val="24"/>
          <w:lang w:val="en-US"/>
        </w:rPr>
        <w:t xml:space="preserve"> wells of a </w:t>
      </w:r>
      <w:r w:rsidRPr="00C96363">
        <w:rPr>
          <w:rFonts w:cs="Calibri"/>
          <w:sz w:val="24"/>
          <w:szCs w:val="24"/>
          <w:lang w:val="en-US"/>
        </w:rPr>
        <w:t>12</w:t>
      </w:r>
      <w:r w:rsidR="00C74614" w:rsidRPr="00C96363">
        <w:rPr>
          <w:rFonts w:cs="Calibri"/>
          <w:sz w:val="24"/>
          <w:szCs w:val="24"/>
          <w:lang w:val="en-US"/>
        </w:rPr>
        <w:t>-</w:t>
      </w:r>
      <w:r w:rsidRPr="00C96363">
        <w:rPr>
          <w:rFonts w:cs="Calibri"/>
          <w:sz w:val="24"/>
          <w:szCs w:val="24"/>
          <w:lang w:val="en-US"/>
        </w:rPr>
        <w:t>well plate</w:t>
      </w:r>
      <w:r w:rsidR="000E02AC" w:rsidRPr="00C96363">
        <w:rPr>
          <w:rFonts w:cs="Calibri"/>
          <w:sz w:val="24"/>
          <w:szCs w:val="24"/>
          <w:lang w:val="en-US"/>
        </w:rPr>
        <w:t xml:space="preserve">. </w:t>
      </w:r>
      <w:r w:rsidR="00E717EA" w:rsidRPr="00C96363">
        <w:rPr>
          <w:rFonts w:cs="Calibri"/>
          <w:sz w:val="24"/>
          <w:szCs w:val="24"/>
          <w:lang w:val="en-US"/>
        </w:rPr>
        <w:t>Add 700 µ</w:t>
      </w:r>
      <w:r w:rsidR="00A642B5" w:rsidRPr="00C96363">
        <w:rPr>
          <w:rFonts w:cs="Calibri"/>
          <w:sz w:val="24"/>
          <w:szCs w:val="24"/>
          <w:lang w:val="en-US"/>
        </w:rPr>
        <w:t>L</w:t>
      </w:r>
      <w:r w:rsidR="00E717EA" w:rsidRPr="00C96363">
        <w:rPr>
          <w:rFonts w:cs="Calibri"/>
          <w:sz w:val="24"/>
          <w:szCs w:val="24"/>
          <w:lang w:val="en-US"/>
        </w:rPr>
        <w:t xml:space="preserve"> </w:t>
      </w:r>
      <w:r w:rsidR="00506525" w:rsidRPr="00C96363">
        <w:rPr>
          <w:rFonts w:cs="Calibri"/>
          <w:sz w:val="24"/>
          <w:szCs w:val="24"/>
          <w:lang w:val="en-US"/>
        </w:rPr>
        <w:t xml:space="preserve">of </w:t>
      </w:r>
      <w:r w:rsidR="00591270" w:rsidRPr="00C96363">
        <w:rPr>
          <w:rFonts w:cs="Calibri"/>
          <w:sz w:val="24"/>
          <w:szCs w:val="24"/>
          <w:lang w:val="en-US"/>
        </w:rPr>
        <w:t xml:space="preserve">37 </w:t>
      </w:r>
      <w:r w:rsidR="00506525" w:rsidRPr="00C96363">
        <w:rPr>
          <w:rFonts w:cs="Calibri"/>
          <w:sz w:val="24"/>
          <w:szCs w:val="24"/>
          <w:lang w:val="en-US"/>
        </w:rPr>
        <w:t>°C</w:t>
      </w:r>
      <w:r w:rsidRPr="00C96363">
        <w:rPr>
          <w:rFonts w:cs="Calibri"/>
          <w:sz w:val="24"/>
          <w:szCs w:val="24"/>
          <w:lang w:val="en-US"/>
        </w:rPr>
        <w:t xml:space="preserve"> </w:t>
      </w:r>
      <w:r w:rsidR="00E717EA" w:rsidRPr="00C96363">
        <w:rPr>
          <w:rFonts w:cs="Calibri"/>
          <w:sz w:val="24"/>
          <w:szCs w:val="24"/>
          <w:lang w:val="en-US"/>
        </w:rPr>
        <w:t xml:space="preserve">RPMI </w:t>
      </w:r>
      <w:r w:rsidRPr="00C96363">
        <w:rPr>
          <w:rFonts w:cs="Calibri"/>
          <w:sz w:val="24"/>
          <w:szCs w:val="24"/>
          <w:lang w:val="en-US"/>
        </w:rPr>
        <w:t xml:space="preserve">containing 150 </w:t>
      </w:r>
      <w:proofErr w:type="spellStart"/>
      <w:r w:rsidRPr="00C96363">
        <w:rPr>
          <w:rFonts w:cs="Calibri"/>
          <w:sz w:val="24"/>
          <w:szCs w:val="24"/>
          <w:lang w:val="en-US"/>
        </w:rPr>
        <w:t>nM</w:t>
      </w:r>
      <w:proofErr w:type="spellEnd"/>
      <w:r w:rsidRPr="00C96363">
        <w:rPr>
          <w:rFonts w:cs="Calibri"/>
          <w:sz w:val="24"/>
          <w:szCs w:val="24"/>
          <w:lang w:val="en-US"/>
        </w:rPr>
        <w:t xml:space="preserve"> </w:t>
      </w:r>
      <w:r w:rsidR="009416E8" w:rsidRPr="00C96363">
        <w:rPr>
          <w:rFonts w:cs="Calibri"/>
          <w:sz w:val="24"/>
          <w:szCs w:val="24"/>
          <w:lang w:val="en-US"/>
        </w:rPr>
        <w:t xml:space="preserve">PMA </w:t>
      </w:r>
      <w:r w:rsidR="00E717EA" w:rsidRPr="00C96363">
        <w:rPr>
          <w:rFonts w:cs="Calibri"/>
          <w:sz w:val="24"/>
          <w:szCs w:val="24"/>
          <w:lang w:val="en-US"/>
        </w:rPr>
        <w:t xml:space="preserve">to each well </w:t>
      </w:r>
      <w:r w:rsidRPr="00C96363">
        <w:rPr>
          <w:rFonts w:cs="Calibri"/>
          <w:sz w:val="24"/>
          <w:szCs w:val="24"/>
          <w:lang w:val="en-US"/>
        </w:rPr>
        <w:t xml:space="preserve">giving a final concentration of 100 </w:t>
      </w:r>
      <w:proofErr w:type="spellStart"/>
      <w:r w:rsidRPr="00C96363">
        <w:rPr>
          <w:rFonts w:cs="Calibri"/>
          <w:sz w:val="24"/>
          <w:szCs w:val="24"/>
          <w:lang w:val="en-US"/>
        </w:rPr>
        <w:t>nM</w:t>
      </w:r>
      <w:proofErr w:type="spellEnd"/>
      <w:r w:rsidRPr="00C96363">
        <w:rPr>
          <w:rFonts w:cs="Calibri"/>
          <w:sz w:val="24"/>
          <w:szCs w:val="24"/>
          <w:lang w:val="en-US"/>
        </w:rPr>
        <w:t xml:space="preserve"> and a</w:t>
      </w:r>
      <w:r w:rsidR="00E717EA" w:rsidRPr="00C96363">
        <w:rPr>
          <w:rFonts w:cs="Calibri"/>
          <w:sz w:val="24"/>
          <w:szCs w:val="24"/>
          <w:lang w:val="en-US"/>
        </w:rPr>
        <w:t>llow to differentiate for 3 days</w:t>
      </w:r>
      <w:r w:rsidRPr="00C96363">
        <w:rPr>
          <w:rFonts w:cs="Calibri"/>
          <w:sz w:val="24"/>
          <w:szCs w:val="24"/>
          <w:lang w:val="en-US"/>
        </w:rPr>
        <w:t>.</w:t>
      </w:r>
    </w:p>
    <w:p w14:paraId="54663CC9" w14:textId="77777777" w:rsidR="00C57CEF" w:rsidRPr="003F7539" w:rsidRDefault="00C57CEF" w:rsidP="00851755">
      <w:pPr>
        <w:pStyle w:val="ListParagraph"/>
        <w:ind w:left="0"/>
      </w:pPr>
    </w:p>
    <w:p w14:paraId="7136DCAF" w14:textId="242754FC" w:rsidR="00C57CEF" w:rsidRPr="00C96363" w:rsidRDefault="00C57CEF" w:rsidP="00851755">
      <w:pPr>
        <w:pStyle w:val="NoSpacing"/>
        <w:jc w:val="both"/>
        <w:rPr>
          <w:rFonts w:cs="Calibri"/>
          <w:sz w:val="24"/>
          <w:szCs w:val="24"/>
          <w:lang w:val="en-US"/>
        </w:rPr>
      </w:pPr>
      <w:r w:rsidRPr="00C96363">
        <w:rPr>
          <w:rFonts w:cs="Calibri"/>
          <w:sz w:val="24"/>
          <w:szCs w:val="24"/>
          <w:lang w:val="en-US"/>
        </w:rPr>
        <w:t xml:space="preserve">NOTE: PMA is bought as a powder and should be resuspended </w:t>
      </w:r>
      <w:r w:rsidR="00AA41D5" w:rsidRPr="00C96363">
        <w:rPr>
          <w:rFonts w:cs="Calibri"/>
          <w:sz w:val="24"/>
          <w:szCs w:val="24"/>
          <w:lang w:val="en-US"/>
        </w:rPr>
        <w:t>to 1 mM in DMSO and stored in the dark. A working stock of 100 µM should be prepared by diluting 1/10 from the 1 mM stock</w:t>
      </w:r>
      <w:r w:rsidR="006E528E" w:rsidRPr="00C96363">
        <w:rPr>
          <w:rFonts w:cs="Calibri"/>
          <w:sz w:val="24"/>
          <w:szCs w:val="24"/>
          <w:lang w:val="en-US"/>
        </w:rPr>
        <w:t xml:space="preserve"> with DMSO</w:t>
      </w:r>
      <w:r w:rsidR="00AA41D5" w:rsidRPr="00C96363">
        <w:rPr>
          <w:rFonts w:cs="Calibri"/>
          <w:sz w:val="24"/>
          <w:szCs w:val="24"/>
          <w:lang w:val="en-US"/>
        </w:rPr>
        <w:t>.</w:t>
      </w:r>
    </w:p>
    <w:p w14:paraId="60BD1477" w14:textId="77777777" w:rsidR="00D676C2" w:rsidRPr="003F7539" w:rsidRDefault="00D676C2" w:rsidP="00851755">
      <w:pPr>
        <w:pStyle w:val="ListParagraph"/>
        <w:ind w:left="0"/>
      </w:pPr>
    </w:p>
    <w:p w14:paraId="50C712D7" w14:textId="77777777" w:rsidR="00213C4E" w:rsidRPr="004A6846" w:rsidRDefault="00213C4E" w:rsidP="00851755">
      <w:pPr>
        <w:pStyle w:val="ListParagraph"/>
        <w:numPr>
          <w:ilvl w:val="0"/>
          <w:numId w:val="32"/>
        </w:numPr>
        <w:ind w:left="0" w:firstLine="0"/>
        <w:rPr>
          <w:b/>
          <w:bCs/>
        </w:rPr>
      </w:pPr>
      <w:r w:rsidRPr="004A6846">
        <w:rPr>
          <w:b/>
          <w:bCs/>
        </w:rPr>
        <w:t>Infection of differentiated, SAMHD1-expressing U937 with HIV-RFP</w:t>
      </w:r>
    </w:p>
    <w:p w14:paraId="002A9462" w14:textId="77777777" w:rsidR="00213C4E" w:rsidRPr="003F7539" w:rsidRDefault="00213C4E" w:rsidP="00851755">
      <w:pPr>
        <w:pStyle w:val="ListParagraph"/>
        <w:ind w:left="0"/>
      </w:pPr>
    </w:p>
    <w:p w14:paraId="6449F15F" w14:textId="41E5F2E8" w:rsidR="00FE2078" w:rsidRPr="00C96363" w:rsidRDefault="00E717EA" w:rsidP="00851755">
      <w:pPr>
        <w:pStyle w:val="NoSpacing"/>
        <w:numPr>
          <w:ilvl w:val="1"/>
          <w:numId w:val="32"/>
        </w:numPr>
        <w:ind w:left="0" w:firstLine="0"/>
        <w:jc w:val="both"/>
        <w:rPr>
          <w:rFonts w:cs="Calibri"/>
          <w:sz w:val="24"/>
          <w:szCs w:val="24"/>
          <w:lang w:val="en-US"/>
        </w:rPr>
      </w:pPr>
      <w:r w:rsidRPr="00C96363">
        <w:rPr>
          <w:rFonts w:cs="Calibri"/>
          <w:bCs/>
          <w:sz w:val="24"/>
          <w:szCs w:val="24"/>
          <w:lang w:val="en-US"/>
        </w:rPr>
        <w:t>Day 7</w:t>
      </w:r>
      <w:r w:rsidR="00D676C2" w:rsidRPr="00C96363">
        <w:rPr>
          <w:rFonts w:cs="Calibri"/>
          <w:b/>
          <w:sz w:val="24"/>
          <w:szCs w:val="24"/>
          <w:lang w:val="en-US"/>
        </w:rPr>
        <w:t xml:space="preserve">: </w:t>
      </w:r>
      <w:r w:rsidR="00D676C2" w:rsidRPr="00C96363">
        <w:rPr>
          <w:rFonts w:cs="Calibri"/>
          <w:bCs/>
          <w:sz w:val="24"/>
          <w:szCs w:val="24"/>
          <w:lang w:val="en-US"/>
        </w:rPr>
        <w:t>Observe</w:t>
      </w:r>
      <w:r w:rsidR="00506525" w:rsidRPr="00C96363">
        <w:rPr>
          <w:rFonts w:cs="Calibri"/>
          <w:bCs/>
          <w:sz w:val="24"/>
          <w:szCs w:val="24"/>
          <w:lang w:val="en-US"/>
        </w:rPr>
        <w:t xml:space="preserve"> the</w:t>
      </w:r>
      <w:r w:rsidR="00D676C2" w:rsidRPr="00C96363">
        <w:rPr>
          <w:rFonts w:cs="Calibri"/>
          <w:bCs/>
          <w:sz w:val="24"/>
          <w:szCs w:val="24"/>
          <w:lang w:val="en-US"/>
        </w:rPr>
        <w:t xml:space="preserve"> cells by microscopy. </w:t>
      </w:r>
      <w:r w:rsidR="00506525" w:rsidRPr="00C96363">
        <w:rPr>
          <w:rFonts w:cs="Calibri"/>
          <w:bCs/>
          <w:sz w:val="24"/>
          <w:szCs w:val="24"/>
          <w:lang w:val="en-US"/>
        </w:rPr>
        <w:t>Ensure that the c</w:t>
      </w:r>
      <w:r w:rsidR="00FE2078" w:rsidRPr="00C96363">
        <w:rPr>
          <w:rFonts w:cs="Calibri"/>
          <w:bCs/>
          <w:sz w:val="24"/>
          <w:szCs w:val="24"/>
          <w:lang w:val="en-US"/>
        </w:rPr>
        <w:t>ells</w:t>
      </w:r>
      <w:r w:rsidR="00D676C2" w:rsidRPr="00C96363">
        <w:rPr>
          <w:rFonts w:cs="Calibri"/>
          <w:bCs/>
          <w:sz w:val="24"/>
          <w:szCs w:val="24"/>
          <w:lang w:val="en-US"/>
        </w:rPr>
        <w:t xml:space="preserve"> </w:t>
      </w:r>
      <w:r w:rsidR="00506525" w:rsidRPr="00C96363">
        <w:rPr>
          <w:rFonts w:cs="Calibri"/>
          <w:bCs/>
          <w:sz w:val="24"/>
          <w:szCs w:val="24"/>
          <w:lang w:val="en-US"/>
        </w:rPr>
        <w:t>are</w:t>
      </w:r>
      <w:r w:rsidR="00D676C2" w:rsidRPr="00C96363">
        <w:rPr>
          <w:rFonts w:cs="Calibri"/>
          <w:bCs/>
          <w:sz w:val="24"/>
          <w:szCs w:val="24"/>
          <w:lang w:val="en-US"/>
        </w:rPr>
        <w:t xml:space="preserve"> adherent. </w:t>
      </w:r>
      <w:r w:rsidRPr="00C96363">
        <w:rPr>
          <w:rFonts w:cs="Calibri"/>
          <w:sz w:val="24"/>
          <w:szCs w:val="24"/>
          <w:lang w:val="en-US"/>
        </w:rPr>
        <w:t>Aspirate the media from all</w:t>
      </w:r>
      <w:r w:rsidR="00506525" w:rsidRPr="00C96363">
        <w:rPr>
          <w:rFonts w:cs="Calibri"/>
          <w:sz w:val="24"/>
          <w:szCs w:val="24"/>
          <w:lang w:val="en-US"/>
        </w:rPr>
        <w:t xml:space="preserve"> the</w:t>
      </w:r>
      <w:r w:rsidRPr="00C96363">
        <w:rPr>
          <w:rFonts w:cs="Calibri"/>
          <w:sz w:val="24"/>
          <w:szCs w:val="24"/>
          <w:lang w:val="en-US"/>
        </w:rPr>
        <w:t xml:space="preserve"> wells</w:t>
      </w:r>
      <w:r w:rsidR="00D676C2" w:rsidRPr="00C96363">
        <w:rPr>
          <w:rFonts w:cs="Calibri"/>
          <w:sz w:val="24"/>
          <w:szCs w:val="24"/>
          <w:lang w:val="en-US"/>
        </w:rPr>
        <w:t xml:space="preserve">, add </w:t>
      </w:r>
      <w:r w:rsidRPr="00C96363">
        <w:rPr>
          <w:rFonts w:cs="Calibri"/>
          <w:sz w:val="24"/>
          <w:szCs w:val="24"/>
          <w:lang w:val="en-US"/>
        </w:rPr>
        <w:t>1 m</w:t>
      </w:r>
      <w:r w:rsidR="00A642B5" w:rsidRPr="00C96363">
        <w:rPr>
          <w:rFonts w:cs="Calibri"/>
          <w:sz w:val="24"/>
          <w:szCs w:val="24"/>
          <w:lang w:val="en-US"/>
        </w:rPr>
        <w:t>L</w:t>
      </w:r>
      <w:r w:rsidR="00506525" w:rsidRPr="00C96363">
        <w:rPr>
          <w:rFonts w:cs="Calibri"/>
          <w:sz w:val="24"/>
          <w:szCs w:val="24"/>
          <w:lang w:val="en-US"/>
        </w:rPr>
        <w:t xml:space="preserve"> of</w:t>
      </w:r>
      <w:r w:rsidRPr="00C96363">
        <w:rPr>
          <w:rFonts w:cs="Calibri"/>
          <w:sz w:val="24"/>
          <w:szCs w:val="24"/>
          <w:lang w:val="en-US"/>
        </w:rPr>
        <w:t xml:space="preserve"> RPMI to well 1 of each set of 4</w:t>
      </w:r>
      <w:r w:rsidR="00213C4E" w:rsidRPr="00C96363">
        <w:rPr>
          <w:rFonts w:cs="Calibri"/>
          <w:sz w:val="24"/>
          <w:szCs w:val="24"/>
          <w:lang w:val="en-US"/>
        </w:rPr>
        <w:t xml:space="preserve"> allowing for </w:t>
      </w:r>
      <w:proofErr w:type="spellStart"/>
      <w:r w:rsidR="00213C4E" w:rsidRPr="00C96363">
        <w:rPr>
          <w:rFonts w:cs="Calibri"/>
          <w:sz w:val="24"/>
          <w:szCs w:val="24"/>
          <w:lang w:val="en-US"/>
        </w:rPr>
        <w:t>untransduced</w:t>
      </w:r>
      <w:proofErr w:type="spellEnd"/>
      <w:r w:rsidR="00213C4E" w:rsidRPr="00C96363">
        <w:rPr>
          <w:rFonts w:cs="Calibri"/>
          <w:sz w:val="24"/>
          <w:szCs w:val="24"/>
          <w:lang w:val="en-US"/>
        </w:rPr>
        <w:t xml:space="preserve">, uninfected control as well as single </w:t>
      </w:r>
      <w:r w:rsidR="00C74614" w:rsidRPr="00C96363">
        <w:rPr>
          <w:rFonts w:cs="Calibri"/>
          <w:sz w:val="24"/>
          <w:szCs w:val="24"/>
          <w:lang w:val="en-US"/>
        </w:rPr>
        <w:t xml:space="preserve">color </w:t>
      </w:r>
      <w:r w:rsidR="00213C4E" w:rsidRPr="00C96363">
        <w:rPr>
          <w:rFonts w:cs="Calibri"/>
          <w:sz w:val="24"/>
          <w:szCs w:val="24"/>
          <w:lang w:val="en-US"/>
        </w:rPr>
        <w:t xml:space="preserve">controls. </w:t>
      </w:r>
      <w:r w:rsidRPr="00C96363">
        <w:rPr>
          <w:rFonts w:cs="Calibri"/>
          <w:sz w:val="24"/>
          <w:szCs w:val="24"/>
          <w:lang w:val="en-US"/>
        </w:rPr>
        <w:t>Add back 0.5 m</w:t>
      </w:r>
      <w:r w:rsidR="00A642B5" w:rsidRPr="00C96363">
        <w:rPr>
          <w:rFonts w:cs="Calibri"/>
          <w:sz w:val="24"/>
          <w:szCs w:val="24"/>
          <w:lang w:val="en-US"/>
        </w:rPr>
        <w:t>L</w:t>
      </w:r>
      <w:r w:rsidR="00506525" w:rsidRPr="00C96363">
        <w:rPr>
          <w:rFonts w:cs="Calibri"/>
          <w:sz w:val="24"/>
          <w:szCs w:val="24"/>
          <w:lang w:val="en-US"/>
        </w:rPr>
        <w:t xml:space="preserve"> of</w:t>
      </w:r>
      <w:r w:rsidRPr="00C96363">
        <w:rPr>
          <w:rFonts w:cs="Calibri"/>
          <w:sz w:val="24"/>
          <w:szCs w:val="24"/>
          <w:lang w:val="en-US"/>
        </w:rPr>
        <w:t xml:space="preserve"> RPMI containing </w:t>
      </w:r>
      <w:r w:rsidR="004A4A05" w:rsidRPr="00C96363">
        <w:rPr>
          <w:rFonts w:cs="Calibri"/>
          <w:sz w:val="24"/>
          <w:szCs w:val="24"/>
          <w:lang w:val="en-US"/>
        </w:rPr>
        <w:t xml:space="preserve">roughly </w:t>
      </w:r>
      <w:r w:rsidRPr="00C96363">
        <w:rPr>
          <w:rFonts w:cs="Calibri"/>
          <w:sz w:val="24"/>
          <w:szCs w:val="24"/>
          <w:lang w:val="en-US"/>
        </w:rPr>
        <w:t>10 µ</w:t>
      </w:r>
      <w:r w:rsidR="00A642B5" w:rsidRPr="00C96363">
        <w:rPr>
          <w:rFonts w:cs="Calibri"/>
          <w:sz w:val="24"/>
          <w:szCs w:val="24"/>
          <w:lang w:val="en-US"/>
        </w:rPr>
        <w:t>L</w:t>
      </w:r>
      <w:r w:rsidRPr="00C96363">
        <w:rPr>
          <w:rFonts w:cs="Calibri"/>
          <w:sz w:val="24"/>
          <w:szCs w:val="24"/>
          <w:lang w:val="en-US"/>
        </w:rPr>
        <w:t xml:space="preserve"> </w:t>
      </w:r>
      <w:r w:rsidR="00D05890">
        <w:t xml:space="preserve">of </w:t>
      </w:r>
      <w:r w:rsidRPr="00C96363">
        <w:rPr>
          <w:rFonts w:cs="Calibri"/>
          <w:sz w:val="24"/>
          <w:szCs w:val="24"/>
          <w:lang w:val="en-US"/>
        </w:rPr>
        <w:t>HIV-1-</w:t>
      </w:r>
      <w:r w:rsidR="00FE2078" w:rsidRPr="00C96363">
        <w:rPr>
          <w:rFonts w:cs="Calibri"/>
          <w:sz w:val="24"/>
          <w:szCs w:val="24"/>
          <w:lang w:val="en-US"/>
        </w:rPr>
        <w:t>RFP (approximately 10 ng p24</w:t>
      </w:r>
      <w:r w:rsidR="004A4A05" w:rsidRPr="00C96363">
        <w:rPr>
          <w:rFonts w:cs="Calibri"/>
          <w:sz w:val="24"/>
          <w:szCs w:val="24"/>
          <w:lang w:val="en-US"/>
        </w:rPr>
        <w:t xml:space="preserve"> as a guide</w:t>
      </w:r>
      <w:r w:rsidR="00FE2078" w:rsidRPr="00C96363">
        <w:rPr>
          <w:rFonts w:cs="Calibri"/>
          <w:sz w:val="24"/>
          <w:szCs w:val="24"/>
          <w:lang w:val="en-US"/>
        </w:rPr>
        <w:t>)</w:t>
      </w:r>
      <w:r w:rsidRPr="00C96363">
        <w:rPr>
          <w:rFonts w:cs="Calibri"/>
          <w:sz w:val="24"/>
          <w:szCs w:val="24"/>
          <w:lang w:val="en-US"/>
        </w:rPr>
        <w:t xml:space="preserve"> to all the other wells</w:t>
      </w:r>
      <w:r w:rsidR="00F16CDB" w:rsidRPr="00C96363">
        <w:rPr>
          <w:rFonts w:cs="Calibri"/>
          <w:sz w:val="24"/>
          <w:szCs w:val="24"/>
          <w:lang w:val="en-US"/>
        </w:rPr>
        <w:t xml:space="preserve">. </w:t>
      </w:r>
      <w:r w:rsidR="00506525" w:rsidRPr="00C96363">
        <w:rPr>
          <w:rFonts w:cs="Calibri"/>
          <w:sz w:val="24"/>
          <w:szCs w:val="24"/>
          <w:lang w:val="en-US"/>
        </w:rPr>
        <w:t>Aim</w:t>
      </w:r>
      <w:r w:rsidR="00F16CDB" w:rsidRPr="00C96363">
        <w:rPr>
          <w:rFonts w:cs="Calibri"/>
          <w:sz w:val="24"/>
          <w:szCs w:val="24"/>
          <w:lang w:val="en-US"/>
        </w:rPr>
        <w:t xml:space="preserve"> for approximately 50% infection.</w:t>
      </w:r>
    </w:p>
    <w:p w14:paraId="03BDA441" w14:textId="77777777" w:rsidR="00FE2078" w:rsidRPr="003F7539" w:rsidRDefault="00FE2078" w:rsidP="00851755">
      <w:pPr>
        <w:pStyle w:val="ListParagraph"/>
        <w:ind w:left="0"/>
        <w:rPr>
          <w:b/>
        </w:rPr>
      </w:pPr>
    </w:p>
    <w:p w14:paraId="1D5303D1" w14:textId="69783343" w:rsidR="00E717EA" w:rsidRPr="00C96363" w:rsidRDefault="00FE2078" w:rsidP="00851755">
      <w:pPr>
        <w:pStyle w:val="NoSpacing"/>
        <w:numPr>
          <w:ilvl w:val="1"/>
          <w:numId w:val="32"/>
        </w:numPr>
        <w:ind w:left="0" w:firstLine="0"/>
        <w:jc w:val="both"/>
        <w:rPr>
          <w:rFonts w:cs="Calibri"/>
          <w:sz w:val="24"/>
          <w:szCs w:val="24"/>
          <w:lang w:val="en-US"/>
        </w:rPr>
      </w:pPr>
      <w:r w:rsidRPr="00C96363">
        <w:rPr>
          <w:rFonts w:cs="Calibri"/>
          <w:bCs/>
          <w:sz w:val="24"/>
          <w:szCs w:val="24"/>
          <w:lang w:val="en-US"/>
        </w:rPr>
        <w:t>D</w:t>
      </w:r>
      <w:r w:rsidR="00E717EA" w:rsidRPr="00C96363">
        <w:rPr>
          <w:rFonts w:cs="Calibri"/>
          <w:bCs/>
          <w:sz w:val="24"/>
          <w:szCs w:val="24"/>
          <w:lang w:val="en-US"/>
        </w:rPr>
        <w:t>ay 8</w:t>
      </w:r>
      <w:r w:rsidRPr="00C96363">
        <w:rPr>
          <w:rFonts w:cs="Calibri"/>
          <w:bCs/>
          <w:sz w:val="24"/>
          <w:szCs w:val="24"/>
          <w:lang w:val="en-US"/>
        </w:rPr>
        <w:t xml:space="preserve"> </w:t>
      </w:r>
      <w:r w:rsidRPr="00C96363">
        <w:rPr>
          <w:rFonts w:cs="Calibri"/>
          <w:sz w:val="24"/>
          <w:szCs w:val="24"/>
          <w:lang w:val="en-US"/>
        </w:rPr>
        <w:t>(morning)</w:t>
      </w:r>
      <w:r w:rsidR="00506525" w:rsidRPr="00C96363">
        <w:rPr>
          <w:rFonts w:cs="Calibri"/>
          <w:sz w:val="24"/>
          <w:szCs w:val="24"/>
          <w:lang w:val="en-US"/>
        </w:rPr>
        <w:t>:</w:t>
      </w:r>
      <w:r w:rsidRPr="00C96363">
        <w:rPr>
          <w:rFonts w:cs="Calibri"/>
          <w:sz w:val="24"/>
          <w:szCs w:val="24"/>
          <w:lang w:val="en-US"/>
        </w:rPr>
        <w:t xml:space="preserve"> </w:t>
      </w:r>
      <w:r w:rsidR="00E717EA" w:rsidRPr="00C96363">
        <w:rPr>
          <w:rFonts w:cs="Calibri"/>
          <w:sz w:val="24"/>
          <w:szCs w:val="24"/>
          <w:lang w:val="en-US"/>
        </w:rPr>
        <w:t>Add 0.5 m</w:t>
      </w:r>
      <w:r w:rsidR="00A642B5" w:rsidRPr="00C96363">
        <w:rPr>
          <w:rFonts w:cs="Calibri"/>
          <w:sz w:val="24"/>
          <w:szCs w:val="24"/>
          <w:lang w:val="en-US"/>
        </w:rPr>
        <w:t>L</w:t>
      </w:r>
      <w:r w:rsidR="00E717EA" w:rsidRPr="00C96363">
        <w:rPr>
          <w:rFonts w:cs="Calibri"/>
          <w:sz w:val="24"/>
          <w:szCs w:val="24"/>
          <w:lang w:val="en-US"/>
        </w:rPr>
        <w:t xml:space="preserve"> </w:t>
      </w:r>
      <w:r w:rsidR="00506525" w:rsidRPr="00C96363">
        <w:rPr>
          <w:rFonts w:cs="Calibri"/>
          <w:sz w:val="24"/>
          <w:szCs w:val="24"/>
          <w:lang w:val="en-US"/>
        </w:rPr>
        <w:t xml:space="preserve">of </w:t>
      </w:r>
      <w:r w:rsidR="00E717EA" w:rsidRPr="00C96363">
        <w:rPr>
          <w:rFonts w:cs="Calibri"/>
          <w:sz w:val="24"/>
          <w:szCs w:val="24"/>
          <w:lang w:val="en-US"/>
        </w:rPr>
        <w:t>RPMI to each of the infected wells.</w:t>
      </w:r>
    </w:p>
    <w:p w14:paraId="14C6373B" w14:textId="77777777" w:rsidR="00FE2078" w:rsidRPr="003F7539" w:rsidRDefault="00FE2078" w:rsidP="00851755">
      <w:pPr>
        <w:pStyle w:val="ListParagraph"/>
        <w:ind w:left="0"/>
      </w:pPr>
    </w:p>
    <w:p w14:paraId="13417ECB" w14:textId="77777777" w:rsidR="00FE2078" w:rsidRPr="004A6846" w:rsidRDefault="00FE2078" w:rsidP="00851755">
      <w:pPr>
        <w:pStyle w:val="ListParagraph"/>
        <w:numPr>
          <w:ilvl w:val="0"/>
          <w:numId w:val="32"/>
        </w:numPr>
        <w:ind w:left="0" w:firstLine="0"/>
        <w:rPr>
          <w:b/>
          <w:bCs/>
        </w:rPr>
      </w:pPr>
      <w:r w:rsidRPr="004A6846">
        <w:rPr>
          <w:b/>
          <w:bCs/>
        </w:rPr>
        <w:t>Flow cytometry analysis</w:t>
      </w:r>
    </w:p>
    <w:p w14:paraId="52A9F99A" w14:textId="77777777" w:rsidR="00A50F6A" w:rsidRPr="003F7539" w:rsidRDefault="00A50F6A" w:rsidP="00851755">
      <w:pPr>
        <w:pStyle w:val="ListParagraph"/>
        <w:ind w:left="0"/>
        <w:rPr>
          <w:u w:val="single"/>
        </w:rPr>
      </w:pPr>
    </w:p>
    <w:p w14:paraId="5DD96A33" w14:textId="0BACB506" w:rsidR="00A50F6A" w:rsidRPr="003F7539" w:rsidRDefault="00A50F6A" w:rsidP="00851755">
      <w:pPr>
        <w:pStyle w:val="ListParagraph"/>
        <w:ind w:left="0"/>
      </w:pPr>
      <w:r w:rsidRPr="003F7539">
        <w:t xml:space="preserve">NOTE: It is good practice to include a live-dead stain </w:t>
      </w:r>
      <w:r w:rsidR="008A5782" w:rsidRPr="003F7539">
        <w:t xml:space="preserve">in </w:t>
      </w:r>
      <w:r w:rsidRPr="003F7539">
        <w:t>flow cytometry pipelines</w:t>
      </w:r>
      <w:r w:rsidR="008A5782" w:rsidRPr="003F7539">
        <w:t>.</w:t>
      </w:r>
      <w:r w:rsidRPr="003F7539">
        <w:t xml:space="preserve"> </w:t>
      </w:r>
      <w:r w:rsidR="008A5782" w:rsidRPr="003F7539">
        <w:t>H</w:t>
      </w:r>
      <w:r w:rsidRPr="003F7539">
        <w:t>owever</w:t>
      </w:r>
      <w:r w:rsidR="008A5782" w:rsidRPr="003F7539">
        <w:t>,</w:t>
      </w:r>
      <w:r w:rsidRPr="003F7539">
        <w:t xml:space="preserve"> if </w:t>
      </w:r>
      <w:r w:rsidR="008A5782" w:rsidRPr="003F7539">
        <w:t xml:space="preserve">the </w:t>
      </w:r>
      <w:r w:rsidRPr="003F7539">
        <w:t>U937</w:t>
      </w:r>
      <w:r w:rsidR="008A5782" w:rsidRPr="003F7539">
        <w:t xml:space="preserve"> cells</w:t>
      </w:r>
      <w:r w:rsidRPr="003F7539">
        <w:t xml:space="preserve"> are </w:t>
      </w:r>
      <w:r w:rsidR="008A5782" w:rsidRPr="003F7539">
        <w:t xml:space="preserve">of </w:t>
      </w:r>
      <w:r w:rsidRPr="003F7539">
        <w:t xml:space="preserve">good quality, </w:t>
      </w:r>
      <w:r w:rsidR="00CE035A" w:rsidRPr="003F7539">
        <w:t>this step can be omitted without negative consequences for downstream analysis</w:t>
      </w:r>
      <w:r w:rsidRPr="003F7539">
        <w:t>.</w:t>
      </w:r>
      <w:r w:rsidR="00010506" w:rsidRPr="003F7539">
        <w:t xml:space="preserve"> Gentle pipetting of </w:t>
      </w:r>
      <w:r w:rsidR="00D05890" w:rsidRPr="003F7539">
        <w:t>trypsinized</w:t>
      </w:r>
      <w:r w:rsidR="00010506" w:rsidRPr="003F7539">
        <w:t xml:space="preserve"> cells should easily result in a single cell suspension.</w:t>
      </w:r>
    </w:p>
    <w:p w14:paraId="78CC1DE3" w14:textId="77777777" w:rsidR="00FE2078" w:rsidRPr="003F7539" w:rsidRDefault="00FE2078" w:rsidP="00851755">
      <w:pPr>
        <w:pStyle w:val="ListParagraph"/>
        <w:ind w:left="0"/>
        <w:rPr>
          <w:u w:val="single"/>
        </w:rPr>
      </w:pPr>
    </w:p>
    <w:p w14:paraId="0DC44D2B" w14:textId="2B41A99F" w:rsidR="00E717EA" w:rsidRPr="00C96363" w:rsidRDefault="00E717EA" w:rsidP="00851755">
      <w:pPr>
        <w:pStyle w:val="NoSpacing"/>
        <w:numPr>
          <w:ilvl w:val="1"/>
          <w:numId w:val="32"/>
        </w:numPr>
        <w:ind w:left="0" w:firstLine="0"/>
        <w:jc w:val="both"/>
        <w:rPr>
          <w:rFonts w:cs="Calibri"/>
          <w:sz w:val="24"/>
          <w:szCs w:val="24"/>
          <w:lang w:val="en-US"/>
        </w:rPr>
      </w:pPr>
      <w:r w:rsidRPr="00C96363">
        <w:rPr>
          <w:rFonts w:cs="Calibri"/>
          <w:bCs/>
          <w:sz w:val="24"/>
          <w:szCs w:val="24"/>
          <w:lang w:val="en-US"/>
        </w:rPr>
        <w:t>Day 10</w:t>
      </w:r>
      <w:r w:rsidR="00FE2078" w:rsidRPr="00C96363">
        <w:rPr>
          <w:rFonts w:cs="Calibri"/>
          <w:bCs/>
          <w:sz w:val="24"/>
          <w:szCs w:val="24"/>
          <w:lang w:val="en-US"/>
        </w:rPr>
        <w:t xml:space="preserve"> (morning): </w:t>
      </w:r>
      <w:r w:rsidR="00506525" w:rsidRPr="00C96363">
        <w:rPr>
          <w:rFonts w:cs="Calibri"/>
          <w:sz w:val="24"/>
          <w:szCs w:val="24"/>
          <w:lang w:val="en-US"/>
        </w:rPr>
        <w:t xml:space="preserve">Aspirate </w:t>
      </w:r>
      <w:r w:rsidRPr="00C96363">
        <w:rPr>
          <w:rFonts w:cs="Calibri"/>
          <w:sz w:val="24"/>
          <w:szCs w:val="24"/>
          <w:lang w:val="en-US"/>
        </w:rPr>
        <w:t>the media from the wells</w:t>
      </w:r>
      <w:r w:rsidR="00FE2078" w:rsidRPr="00C96363">
        <w:rPr>
          <w:rFonts w:cs="Calibri"/>
          <w:sz w:val="24"/>
          <w:szCs w:val="24"/>
          <w:lang w:val="en-US"/>
        </w:rPr>
        <w:t xml:space="preserve"> and </w:t>
      </w:r>
      <w:r w:rsidRPr="00C96363">
        <w:rPr>
          <w:rFonts w:cs="Calibri"/>
          <w:sz w:val="24"/>
          <w:szCs w:val="24"/>
          <w:lang w:val="en-US"/>
        </w:rPr>
        <w:t>wash once with PBS</w:t>
      </w:r>
      <w:r w:rsidR="000E02AC" w:rsidRPr="00C96363">
        <w:rPr>
          <w:rFonts w:cs="Calibri"/>
          <w:sz w:val="24"/>
          <w:szCs w:val="24"/>
          <w:lang w:val="en-US"/>
        </w:rPr>
        <w:t xml:space="preserve">. </w:t>
      </w:r>
      <w:r w:rsidR="000D32A6" w:rsidRPr="00C96363">
        <w:rPr>
          <w:rFonts w:cs="Calibri"/>
          <w:sz w:val="24"/>
          <w:szCs w:val="24"/>
          <w:lang w:val="en-US"/>
        </w:rPr>
        <w:t xml:space="preserve">Add </w:t>
      </w:r>
      <w:r w:rsidRPr="00C96363">
        <w:rPr>
          <w:rFonts w:cs="Calibri"/>
          <w:sz w:val="24"/>
          <w:szCs w:val="24"/>
          <w:lang w:val="en-US"/>
        </w:rPr>
        <w:t>300 µ</w:t>
      </w:r>
      <w:r w:rsidR="00A642B5" w:rsidRPr="00C96363">
        <w:rPr>
          <w:rFonts w:cs="Calibri"/>
          <w:sz w:val="24"/>
          <w:szCs w:val="24"/>
          <w:lang w:val="en-US"/>
        </w:rPr>
        <w:t>L</w:t>
      </w:r>
      <w:r w:rsidRPr="00C96363">
        <w:rPr>
          <w:rFonts w:cs="Calibri"/>
          <w:sz w:val="24"/>
          <w:szCs w:val="24"/>
          <w:lang w:val="en-US"/>
        </w:rPr>
        <w:t xml:space="preserve"> </w:t>
      </w:r>
      <w:r w:rsidR="00506525" w:rsidRPr="00C96363">
        <w:rPr>
          <w:rFonts w:cs="Calibri"/>
          <w:sz w:val="24"/>
          <w:szCs w:val="24"/>
          <w:lang w:val="en-US"/>
        </w:rPr>
        <w:t xml:space="preserve">of </w:t>
      </w:r>
      <w:r w:rsidR="00A37A87">
        <w:rPr>
          <w:rFonts w:cs="Calibri"/>
          <w:sz w:val="24"/>
          <w:szCs w:val="24"/>
          <w:lang w:val="en-US"/>
        </w:rPr>
        <w:t>cell dissociation enzyme</w:t>
      </w:r>
      <w:r w:rsidR="008C5825" w:rsidRPr="00C96363">
        <w:rPr>
          <w:rFonts w:cs="Calibri"/>
          <w:sz w:val="24"/>
          <w:szCs w:val="24"/>
          <w:lang w:val="en-US"/>
        </w:rPr>
        <w:t xml:space="preserve"> (or </w:t>
      </w:r>
      <w:r w:rsidR="00D05890">
        <w:rPr>
          <w:rFonts w:cs="Calibri"/>
          <w:sz w:val="24"/>
          <w:szCs w:val="24"/>
          <w:lang w:val="en-US"/>
        </w:rPr>
        <w:t>t</w:t>
      </w:r>
      <w:r w:rsidR="008C5825" w:rsidRPr="00C96363">
        <w:rPr>
          <w:rFonts w:cs="Calibri"/>
          <w:sz w:val="24"/>
          <w:szCs w:val="24"/>
          <w:lang w:val="en-US"/>
        </w:rPr>
        <w:t>rypsin)</w:t>
      </w:r>
      <w:r w:rsidR="000D32A6" w:rsidRPr="00C96363">
        <w:rPr>
          <w:rFonts w:cs="Calibri"/>
          <w:sz w:val="24"/>
          <w:szCs w:val="24"/>
          <w:lang w:val="en-US"/>
        </w:rPr>
        <w:t xml:space="preserve"> </w:t>
      </w:r>
      <w:r w:rsidRPr="00C96363">
        <w:rPr>
          <w:rFonts w:cs="Calibri"/>
          <w:sz w:val="24"/>
          <w:szCs w:val="24"/>
          <w:lang w:val="en-US"/>
        </w:rPr>
        <w:t xml:space="preserve">for </w:t>
      </w:r>
      <w:r w:rsidR="00E74187" w:rsidRPr="00C96363">
        <w:rPr>
          <w:rFonts w:cs="Calibri"/>
          <w:sz w:val="24"/>
          <w:szCs w:val="24"/>
          <w:lang w:val="en-US"/>
        </w:rPr>
        <w:t>5</w:t>
      </w:r>
      <w:r w:rsidR="00506525" w:rsidRPr="00C96363">
        <w:rPr>
          <w:rFonts w:cs="Calibri"/>
          <w:sz w:val="24"/>
          <w:szCs w:val="24"/>
          <w:lang w:val="en-US"/>
        </w:rPr>
        <w:t>–</w:t>
      </w:r>
      <w:r w:rsidRPr="00C96363">
        <w:rPr>
          <w:rFonts w:cs="Calibri"/>
          <w:sz w:val="24"/>
          <w:szCs w:val="24"/>
          <w:lang w:val="en-US"/>
        </w:rPr>
        <w:t>10 min</w:t>
      </w:r>
      <w:r w:rsidR="000E02AC" w:rsidRPr="00C96363">
        <w:rPr>
          <w:rFonts w:cs="Calibri"/>
          <w:sz w:val="24"/>
          <w:szCs w:val="24"/>
          <w:lang w:val="en-US"/>
        </w:rPr>
        <w:t xml:space="preserve">. </w:t>
      </w:r>
      <w:r w:rsidR="00D05890" w:rsidRPr="00C96363">
        <w:rPr>
          <w:rFonts w:cs="Calibri"/>
          <w:sz w:val="24"/>
          <w:szCs w:val="24"/>
          <w:lang w:val="en-US"/>
        </w:rPr>
        <w:t>Add</w:t>
      </w:r>
      <w:r w:rsidR="00D05890">
        <w:rPr>
          <w:rFonts w:cs="Calibri"/>
          <w:sz w:val="24"/>
          <w:szCs w:val="24"/>
          <w:lang w:val="en-US"/>
        </w:rPr>
        <w:t xml:space="preserve"> </w:t>
      </w:r>
      <w:r w:rsidR="00FE2078" w:rsidRPr="00C96363">
        <w:rPr>
          <w:rFonts w:cs="Calibri"/>
          <w:sz w:val="24"/>
          <w:szCs w:val="24"/>
          <w:lang w:val="en-US"/>
        </w:rPr>
        <w:t xml:space="preserve">an additional 300 </w:t>
      </w:r>
      <w:r w:rsidR="00A0271E" w:rsidRPr="00C96363">
        <w:rPr>
          <w:rFonts w:cs="Calibri"/>
          <w:sz w:val="24"/>
          <w:szCs w:val="24"/>
          <w:lang w:val="en-US"/>
        </w:rPr>
        <w:t>µL</w:t>
      </w:r>
      <w:r w:rsidR="00FE2078" w:rsidRPr="00C96363">
        <w:rPr>
          <w:rFonts w:cs="Calibri"/>
          <w:sz w:val="24"/>
          <w:szCs w:val="24"/>
          <w:lang w:val="en-US"/>
        </w:rPr>
        <w:t xml:space="preserve"> </w:t>
      </w:r>
      <w:r w:rsidR="00D05890">
        <w:t xml:space="preserve">of </w:t>
      </w:r>
      <w:r w:rsidR="00FE2078" w:rsidRPr="00C96363">
        <w:rPr>
          <w:rFonts w:cs="Calibri"/>
          <w:sz w:val="24"/>
          <w:szCs w:val="24"/>
          <w:lang w:val="en-US"/>
        </w:rPr>
        <w:t>PBS,</w:t>
      </w:r>
      <w:r w:rsidR="00D05890">
        <w:rPr>
          <w:rFonts w:cs="Calibri"/>
          <w:sz w:val="24"/>
          <w:szCs w:val="24"/>
          <w:lang w:val="en-US"/>
        </w:rPr>
        <w:t xml:space="preserve"> r</w:t>
      </w:r>
      <w:r w:rsidRPr="00C96363">
        <w:rPr>
          <w:rFonts w:cs="Calibri"/>
          <w:sz w:val="24"/>
          <w:szCs w:val="24"/>
          <w:lang w:val="en-US"/>
        </w:rPr>
        <w:t xml:space="preserve">esuspend thoroughly making sure </w:t>
      </w:r>
      <w:r w:rsidR="00FE2078" w:rsidRPr="00C96363">
        <w:rPr>
          <w:rFonts w:cs="Calibri"/>
          <w:sz w:val="24"/>
          <w:szCs w:val="24"/>
          <w:lang w:val="en-US"/>
        </w:rPr>
        <w:t>all</w:t>
      </w:r>
      <w:r w:rsidRPr="00C96363">
        <w:rPr>
          <w:rFonts w:cs="Calibri"/>
          <w:sz w:val="24"/>
          <w:szCs w:val="24"/>
          <w:lang w:val="en-US"/>
        </w:rPr>
        <w:t xml:space="preserve"> the cells have come off the plate</w:t>
      </w:r>
      <w:r w:rsidR="00D05890">
        <w:rPr>
          <w:rFonts w:cs="Calibri"/>
          <w:sz w:val="24"/>
          <w:szCs w:val="24"/>
          <w:lang w:val="en-US"/>
        </w:rPr>
        <w:t>,</w:t>
      </w:r>
      <w:r w:rsidRPr="00C96363">
        <w:rPr>
          <w:rFonts w:cs="Calibri"/>
          <w:sz w:val="24"/>
          <w:szCs w:val="24"/>
          <w:lang w:val="en-US"/>
        </w:rPr>
        <w:t xml:space="preserve"> and transfer to </w:t>
      </w:r>
      <w:r w:rsidR="00FE2078" w:rsidRPr="00C96363">
        <w:rPr>
          <w:rFonts w:cs="Calibri"/>
          <w:sz w:val="24"/>
          <w:szCs w:val="24"/>
          <w:lang w:val="en-US"/>
        </w:rPr>
        <w:t>flow cytometry tubes</w:t>
      </w:r>
      <w:r w:rsidR="00A40153" w:rsidRPr="00C96363">
        <w:rPr>
          <w:rFonts w:cs="Calibri"/>
          <w:sz w:val="24"/>
          <w:szCs w:val="24"/>
          <w:lang w:val="en-US"/>
        </w:rPr>
        <w:t>.</w:t>
      </w:r>
    </w:p>
    <w:p w14:paraId="44A0F1C1" w14:textId="77777777" w:rsidR="00010506" w:rsidRPr="003F7539" w:rsidRDefault="00010506" w:rsidP="00851755">
      <w:pPr>
        <w:pStyle w:val="ListParagraph"/>
        <w:ind w:left="0"/>
      </w:pPr>
    </w:p>
    <w:p w14:paraId="699C0BD4" w14:textId="59AC5BEC" w:rsidR="00E717EA" w:rsidRPr="003F7539" w:rsidRDefault="00010506" w:rsidP="00851755">
      <w:pPr>
        <w:pStyle w:val="ListParagraph"/>
        <w:numPr>
          <w:ilvl w:val="1"/>
          <w:numId w:val="32"/>
        </w:numPr>
        <w:ind w:left="0" w:firstLine="0"/>
      </w:pPr>
      <w:r w:rsidRPr="004A6846">
        <w:t>Add 300 µL</w:t>
      </w:r>
      <w:r w:rsidR="00D05890" w:rsidRPr="00D05890">
        <w:t xml:space="preserve"> </w:t>
      </w:r>
      <w:r w:rsidR="00D05890">
        <w:t>of</w:t>
      </w:r>
      <w:r w:rsidRPr="004A6846">
        <w:t xml:space="preserve"> 4% paraformaldehyde (taking final concentration to 2%)</w:t>
      </w:r>
      <w:r w:rsidR="00A40153" w:rsidRPr="003E0321">
        <w:t xml:space="preserve">. </w:t>
      </w:r>
      <w:r w:rsidRPr="003E0321">
        <w:t xml:space="preserve">Pellet </w:t>
      </w:r>
      <w:r w:rsidR="00506525" w:rsidRPr="003E0321">
        <w:t xml:space="preserve">the </w:t>
      </w:r>
      <w:r w:rsidRPr="003E0321">
        <w:t xml:space="preserve">cells by centrifugation at 500 x </w:t>
      </w:r>
      <w:r w:rsidRPr="003F7539">
        <w:rPr>
          <w:i/>
          <w:iCs/>
        </w:rPr>
        <w:t>g</w:t>
      </w:r>
      <w:r w:rsidRPr="003F7539">
        <w:t xml:space="preserve"> for 5 min, discard </w:t>
      </w:r>
      <w:r w:rsidR="00506525" w:rsidRPr="003F7539">
        <w:t xml:space="preserve">the </w:t>
      </w:r>
      <w:r w:rsidRPr="003F7539">
        <w:t xml:space="preserve">supernatant and resuspend </w:t>
      </w:r>
      <w:r w:rsidR="00506525" w:rsidRPr="003F7539">
        <w:t xml:space="preserve">the </w:t>
      </w:r>
      <w:r w:rsidRPr="003F7539">
        <w:t xml:space="preserve">cell pellet in 200 </w:t>
      </w:r>
      <w:r w:rsidR="00A0271E" w:rsidRPr="003F7539">
        <w:t>µL</w:t>
      </w:r>
      <w:r w:rsidRPr="003F7539">
        <w:t xml:space="preserve"> </w:t>
      </w:r>
      <w:r w:rsidR="00506525" w:rsidRPr="003F7539">
        <w:t xml:space="preserve">of </w:t>
      </w:r>
      <w:r w:rsidRPr="003F7539">
        <w:t>PBS or alternative flow cytometry buffer</w:t>
      </w:r>
      <w:r w:rsidR="000E02AC" w:rsidRPr="003F7539">
        <w:t xml:space="preserve">. </w:t>
      </w:r>
      <w:r w:rsidR="00506525" w:rsidRPr="003F7539">
        <w:t>Analyze</w:t>
      </w:r>
      <w:r w:rsidR="00476E69" w:rsidRPr="003F7539">
        <w:t xml:space="preserve"> </w:t>
      </w:r>
      <w:r w:rsidR="00E717EA" w:rsidRPr="003F7539">
        <w:t>by flow cytometry</w:t>
      </w:r>
      <w:r w:rsidR="00A40153" w:rsidRPr="003F7539">
        <w:t>.</w:t>
      </w:r>
    </w:p>
    <w:p w14:paraId="227EBA41" w14:textId="77777777" w:rsidR="000E73B6" w:rsidRPr="003F7539" w:rsidRDefault="000E73B6" w:rsidP="00851755">
      <w:pPr>
        <w:pStyle w:val="ListParagraph"/>
        <w:ind w:left="0"/>
      </w:pPr>
    </w:p>
    <w:p w14:paraId="72BC1B37" w14:textId="5039D4EE" w:rsidR="000E73B6" w:rsidRPr="00C96363" w:rsidRDefault="000E73B6" w:rsidP="00851755">
      <w:pPr>
        <w:pStyle w:val="NoSpacing"/>
        <w:jc w:val="both"/>
        <w:rPr>
          <w:rFonts w:cs="Calibri"/>
          <w:sz w:val="24"/>
          <w:szCs w:val="24"/>
          <w:lang w:val="en-US"/>
        </w:rPr>
      </w:pPr>
      <w:r w:rsidRPr="00C96363">
        <w:rPr>
          <w:rFonts w:cs="Calibri"/>
          <w:sz w:val="24"/>
          <w:szCs w:val="24"/>
          <w:lang w:val="en-US"/>
        </w:rPr>
        <w:t xml:space="preserve">NOTE: </w:t>
      </w:r>
      <w:r w:rsidR="00CB03AD" w:rsidRPr="00C96363">
        <w:rPr>
          <w:rFonts w:cs="Calibri"/>
          <w:sz w:val="24"/>
          <w:szCs w:val="24"/>
          <w:lang w:val="en-US"/>
        </w:rPr>
        <w:t>The s</w:t>
      </w:r>
      <w:r w:rsidRPr="00C96363">
        <w:rPr>
          <w:rFonts w:cs="Calibri"/>
          <w:sz w:val="24"/>
          <w:szCs w:val="24"/>
          <w:lang w:val="en-US"/>
        </w:rPr>
        <w:t xml:space="preserve">teps below are for a </w:t>
      </w:r>
      <w:proofErr w:type="spellStart"/>
      <w:r w:rsidRPr="00C96363">
        <w:rPr>
          <w:rFonts w:cs="Calibri"/>
          <w:sz w:val="24"/>
          <w:szCs w:val="24"/>
          <w:lang w:val="en-US"/>
        </w:rPr>
        <w:t>Fortessa</w:t>
      </w:r>
      <w:proofErr w:type="spellEnd"/>
      <w:r w:rsidRPr="00C96363">
        <w:rPr>
          <w:rFonts w:cs="Calibri"/>
          <w:sz w:val="24"/>
          <w:szCs w:val="24"/>
          <w:lang w:val="en-US"/>
        </w:rPr>
        <w:t xml:space="preserve"> </w:t>
      </w:r>
      <w:r w:rsidR="00CB03AD" w:rsidRPr="00C96363">
        <w:rPr>
          <w:rFonts w:cs="Calibri"/>
          <w:sz w:val="24"/>
          <w:szCs w:val="24"/>
          <w:lang w:val="en-US"/>
        </w:rPr>
        <w:t>analyzer</w:t>
      </w:r>
      <w:r w:rsidR="00AF16D5" w:rsidRPr="00C96363">
        <w:rPr>
          <w:rFonts w:cs="Calibri"/>
          <w:sz w:val="24"/>
          <w:szCs w:val="24"/>
          <w:lang w:val="en-US"/>
        </w:rPr>
        <w:t>,</w:t>
      </w:r>
      <w:r w:rsidRPr="00C96363">
        <w:rPr>
          <w:rFonts w:cs="Calibri"/>
          <w:sz w:val="24"/>
          <w:szCs w:val="24"/>
          <w:lang w:val="en-US"/>
        </w:rPr>
        <w:t xml:space="preserve"> but equivalent analysis can be achieved using any </w:t>
      </w:r>
      <w:r w:rsidR="00CB03AD" w:rsidRPr="00C96363">
        <w:rPr>
          <w:rFonts w:cs="Calibri"/>
          <w:sz w:val="24"/>
          <w:szCs w:val="24"/>
          <w:lang w:val="en-US"/>
        </w:rPr>
        <w:t xml:space="preserve">analyzer </w:t>
      </w:r>
      <w:r w:rsidRPr="00C96363">
        <w:rPr>
          <w:rFonts w:cs="Calibri"/>
          <w:sz w:val="24"/>
          <w:szCs w:val="24"/>
          <w:lang w:val="en-US"/>
        </w:rPr>
        <w:t xml:space="preserve">capable of reading RFP and </w:t>
      </w:r>
      <w:r w:rsidR="00DC3B12" w:rsidRPr="00C96363">
        <w:rPr>
          <w:rFonts w:cs="Calibri"/>
          <w:sz w:val="24"/>
          <w:szCs w:val="24"/>
          <w:lang w:val="en-US"/>
        </w:rPr>
        <w:t>Y</w:t>
      </w:r>
      <w:r w:rsidRPr="00C96363">
        <w:rPr>
          <w:rFonts w:cs="Calibri"/>
          <w:sz w:val="24"/>
          <w:szCs w:val="24"/>
          <w:lang w:val="en-US"/>
        </w:rPr>
        <w:t xml:space="preserve">FP fluorescence. Consult local flow cytometry </w:t>
      </w:r>
      <w:r w:rsidR="00D90B34" w:rsidRPr="00C96363">
        <w:rPr>
          <w:rFonts w:cs="Calibri"/>
          <w:sz w:val="24"/>
          <w:szCs w:val="24"/>
          <w:lang w:val="en-US"/>
        </w:rPr>
        <w:t>support</w:t>
      </w:r>
      <w:r w:rsidRPr="00C96363">
        <w:rPr>
          <w:rFonts w:cs="Calibri"/>
          <w:sz w:val="24"/>
          <w:szCs w:val="24"/>
          <w:lang w:val="en-US"/>
        </w:rPr>
        <w:t xml:space="preserve"> or other experienced researcher before setting up any flow cytometry analysis. When many samples need to be screened at the same time, a high throughput sampler may be appropriate. In this case</w:t>
      </w:r>
      <w:r w:rsidR="00CB03AD" w:rsidRPr="00C96363">
        <w:rPr>
          <w:rFonts w:cs="Calibri"/>
          <w:sz w:val="24"/>
          <w:szCs w:val="24"/>
          <w:lang w:val="en-US"/>
        </w:rPr>
        <w:t>,</w:t>
      </w:r>
      <w:r w:rsidRPr="00C96363">
        <w:rPr>
          <w:rFonts w:cs="Calibri"/>
          <w:sz w:val="24"/>
          <w:szCs w:val="24"/>
          <w:lang w:val="en-US"/>
        </w:rPr>
        <w:t xml:space="preserve"> a larger cell number and volume are advised.</w:t>
      </w:r>
    </w:p>
    <w:p w14:paraId="356CF163" w14:textId="77777777" w:rsidR="00D37458" w:rsidRPr="00C96363" w:rsidRDefault="00D37458" w:rsidP="00851755">
      <w:pPr>
        <w:pStyle w:val="NoSpacing"/>
        <w:jc w:val="both"/>
        <w:rPr>
          <w:rFonts w:cs="Calibri"/>
          <w:sz w:val="24"/>
          <w:szCs w:val="24"/>
          <w:highlight w:val="yellow"/>
          <w:lang w:val="en-US"/>
        </w:rPr>
      </w:pPr>
    </w:p>
    <w:p w14:paraId="2F7525BA" w14:textId="77777777" w:rsidR="00D37458" w:rsidRPr="00C96363" w:rsidRDefault="00D37458" w:rsidP="00851755">
      <w:pPr>
        <w:pStyle w:val="NoSpacing"/>
        <w:numPr>
          <w:ilvl w:val="0"/>
          <w:numId w:val="32"/>
        </w:numPr>
        <w:ind w:left="0" w:firstLine="0"/>
        <w:jc w:val="both"/>
        <w:rPr>
          <w:rFonts w:cs="Calibri"/>
          <w:b/>
          <w:bCs/>
          <w:sz w:val="24"/>
          <w:szCs w:val="24"/>
          <w:highlight w:val="yellow"/>
          <w:lang w:val="en-US"/>
        </w:rPr>
      </w:pPr>
      <w:bookmarkStart w:id="0" w:name="_Hlk68103742"/>
      <w:r w:rsidRPr="00C96363">
        <w:rPr>
          <w:rFonts w:cs="Calibri"/>
          <w:b/>
          <w:bCs/>
          <w:sz w:val="24"/>
          <w:szCs w:val="24"/>
          <w:highlight w:val="yellow"/>
          <w:lang w:val="en-US"/>
        </w:rPr>
        <w:t>Flow cytometry analysis</w:t>
      </w:r>
    </w:p>
    <w:p w14:paraId="3C352457" w14:textId="77777777" w:rsidR="00FE2078" w:rsidRPr="00C96363" w:rsidRDefault="00FE2078" w:rsidP="00851755">
      <w:pPr>
        <w:pStyle w:val="NoSpacing"/>
        <w:jc w:val="both"/>
        <w:rPr>
          <w:rFonts w:cs="Calibri"/>
          <w:sz w:val="24"/>
          <w:szCs w:val="24"/>
          <w:highlight w:val="yellow"/>
          <w:lang w:val="en-US"/>
        </w:rPr>
      </w:pPr>
    </w:p>
    <w:p w14:paraId="5DBFFA4A" w14:textId="55AA9231" w:rsidR="00D37458" w:rsidRPr="00C96363" w:rsidRDefault="00811C0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Turn on the cytometer 10 min before it is required and turn on the computer. </w:t>
      </w:r>
      <w:r w:rsidR="00D37458" w:rsidRPr="00C96363">
        <w:rPr>
          <w:rFonts w:cs="Calibri"/>
          <w:sz w:val="24"/>
          <w:szCs w:val="24"/>
          <w:highlight w:val="yellow"/>
          <w:lang w:val="en-US"/>
        </w:rPr>
        <w:t>Check that the waste is empty</w:t>
      </w:r>
      <w:r w:rsidRPr="00C96363">
        <w:rPr>
          <w:rFonts w:cs="Calibri"/>
          <w:sz w:val="24"/>
          <w:szCs w:val="24"/>
          <w:highlight w:val="yellow"/>
          <w:lang w:val="en-US"/>
        </w:rPr>
        <w:t xml:space="preserve"> and that the sheath tank is full</w:t>
      </w:r>
      <w:r w:rsidR="004A4A05" w:rsidRPr="00C96363">
        <w:rPr>
          <w:rFonts w:cs="Calibri"/>
          <w:sz w:val="24"/>
          <w:szCs w:val="24"/>
          <w:highlight w:val="yellow"/>
          <w:lang w:val="en-US"/>
        </w:rPr>
        <w:t>.</w:t>
      </w:r>
    </w:p>
    <w:p w14:paraId="28F1DD2C" w14:textId="77777777" w:rsidR="00811C08" w:rsidRPr="00C96363" w:rsidRDefault="00811C08" w:rsidP="00851755">
      <w:pPr>
        <w:pStyle w:val="NoSpacing"/>
        <w:jc w:val="both"/>
        <w:rPr>
          <w:rFonts w:cs="Calibri"/>
          <w:sz w:val="24"/>
          <w:szCs w:val="24"/>
          <w:highlight w:val="yellow"/>
          <w:lang w:val="en-US"/>
        </w:rPr>
      </w:pPr>
    </w:p>
    <w:p w14:paraId="61BEB73A" w14:textId="6178E7D4" w:rsidR="00D37458" w:rsidRPr="00C96363" w:rsidRDefault="00811C0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Login </w:t>
      </w:r>
      <w:r w:rsidR="00B25886" w:rsidRPr="00C96363">
        <w:rPr>
          <w:rFonts w:cs="Calibri"/>
          <w:sz w:val="24"/>
          <w:szCs w:val="24"/>
          <w:highlight w:val="yellow"/>
          <w:lang w:val="en-US"/>
        </w:rPr>
        <w:t>into</w:t>
      </w:r>
      <w:r w:rsidRPr="00C96363">
        <w:rPr>
          <w:rFonts w:cs="Calibri"/>
          <w:sz w:val="24"/>
          <w:szCs w:val="24"/>
          <w:highlight w:val="yellow"/>
          <w:lang w:val="en-US"/>
        </w:rPr>
        <w:t xml:space="preserve"> the machine and open the analysis software</w:t>
      </w:r>
      <w:r w:rsidR="004A4A05" w:rsidRPr="00C96363">
        <w:rPr>
          <w:rFonts w:cs="Calibri"/>
          <w:sz w:val="24"/>
          <w:szCs w:val="24"/>
          <w:highlight w:val="yellow"/>
          <w:lang w:val="en-US"/>
        </w:rPr>
        <w:t>.</w:t>
      </w:r>
    </w:p>
    <w:p w14:paraId="6C880888" w14:textId="77777777" w:rsidR="00811C08" w:rsidRPr="00C96363" w:rsidRDefault="00811C08" w:rsidP="00851755">
      <w:pPr>
        <w:pStyle w:val="NoSpacing"/>
        <w:jc w:val="both"/>
        <w:rPr>
          <w:rFonts w:cs="Calibri"/>
          <w:sz w:val="24"/>
          <w:szCs w:val="24"/>
          <w:highlight w:val="yellow"/>
          <w:lang w:val="en-US"/>
        </w:rPr>
      </w:pPr>
    </w:p>
    <w:p w14:paraId="39BC28CA" w14:textId="0E1C03E7" w:rsidR="00D37458" w:rsidRPr="00C96363" w:rsidRDefault="00D3745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lastRenderedPageBreak/>
        <w:t xml:space="preserve">Move the arm to the side, take the </w:t>
      </w:r>
      <w:r w:rsidR="003A4558" w:rsidRPr="00C96363">
        <w:rPr>
          <w:rFonts w:cs="Calibri"/>
          <w:sz w:val="24"/>
          <w:szCs w:val="24"/>
          <w:highlight w:val="yellow"/>
          <w:lang w:val="en-US"/>
        </w:rPr>
        <w:t>water</w:t>
      </w:r>
      <w:r w:rsidRPr="00C96363">
        <w:rPr>
          <w:rFonts w:cs="Calibri"/>
          <w:sz w:val="24"/>
          <w:szCs w:val="24"/>
          <w:highlight w:val="yellow"/>
          <w:lang w:val="en-US"/>
        </w:rPr>
        <w:t xml:space="preserve"> tube off, set the flow rate to </w:t>
      </w:r>
      <w:r w:rsidR="00506525" w:rsidRPr="00C96363">
        <w:rPr>
          <w:rFonts w:cs="Calibri"/>
          <w:b/>
          <w:bCs/>
          <w:sz w:val="24"/>
          <w:szCs w:val="24"/>
          <w:highlight w:val="yellow"/>
          <w:lang w:val="en-US"/>
        </w:rPr>
        <w:t>High</w:t>
      </w:r>
      <w:r w:rsidR="00506525" w:rsidRPr="00C96363">
        <w:rPr>
          <w:rFonts w:cs="Calibri"/>
          <w:sz w:val="24"/>
          <w:szCs w:val="24"/>
          <w:highlight w:val="yellow"/>
          <w:lang w:val="en-US"/>
        </w:rPr>
        <w:t xml:space="preserve"> </w:t>
      </w:r>
      <w:r w:rsidRPr="00C96363">
        <w:rPr>
          <w:rFonts w:cs="Calibri"/>
          <w:sz w:val="24"/>
          <w:szCs w:val="24"/>
          <w:highlight w:val="yellow"/>
          <w:lang w:val="en-US"/>
        </w:rPr>
        <w:t xml:space="preserve">and press </w:t>
      </w:r>
      <w:r w:rsidR="00506525" w:rsidRPr="00C96363">
        <w:rPr>
          <w:rFonts w:cs="Calibri"/>
          <w:b/>
          <w:bCs/>
          <w:sz w:val="24"/>
          <w:szCs w:val="24"/>
          <w:highlight w:val="yellow"/>
          <w:lang w:val="en-US"/>
        </w:rPr>
        <w:t>Prime</w:t>
      </w:r>
      <w:r w:rsidRPr="00C96363">
        <w:rPr>
          <w:rFonts w:cs="Calibri"/>
          <w:sz w:val="24"/>
          <w:szCs w:val="24"/>
          <w:highlight w:val="yellow"/>
          <w:lang w:val="en-US"/>
        </w:rPr>
        <w:t>. Wait for the light to go out and repeat three more times.</w:t>
      </w:r>
    </w:p>
    <w:p w14:paraId="0275B011" w14:textId="77777777" w:rsidR="00811C08" w:rsidRPr="00C96363" w:rsidRDefault="00811C08" w:rsidP="00851755">
      <w:pPr>
        <w:pStyle w:val="NoSpacing"/>
        <w:jc w:val="both"/>
        <w:rPr>
          <w:rFonts w:cs="Calibri"/>
          <w:sz w:val="24"/>
          <w:szCs w:val="24"/>
          <w:highlight w:val="yellow"/>
          <w:lang w:val="en-US"/>
        </w:rPr>
      </w:pPr>
    </w:p>
    <w:p w14:paraId="77F0381E" w14:textId="137298BA" w:rsidR="00D37458" w:rsidRPr="00C96363" w:rsidRDefault="00D3745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Put the </w:t>
      </w:r>
      <w:r w:rsidR="003A4558" w:rsidRPr="00C96363">
        <w:rPr>
          <w:rFonts w:cs="Calibri"/>
          <w:sz w:val="24"/>
          <w:szCs w:val="24"/>
          <w:highlight w:val="yellow"/>
          <w:lang w:val="en-US"/>
        </w:rPr>
        <w:t>water</w:t>
      </w:r>
      <w:r w:rsidRPr="00C96363">
        <w:rPr>
          <w:rFonts w:cs="Calibri"/>
          <w:sz w:val="24"/>
          <w:szCs w:val="24"/>
          <w:highlight w:val="yellow"/>
          <w:lang w:val="en-US"/>
        </w:rPr>
        <w:t xml:space="preserve"> back on and run on high for 3 min</w:t>
      </w:r>
      <w:r w:rsidR="00811C08" w:rsidRPr="00C96363">
        <w:rPr>
          <w:rFonts w:cs="Calibri"/>
          <w:sz w:val="24"/>
          <w:szCs w:val="24"/>
          <w:highlight w:val="yellow"/>
          <w:lang w:val="en-US"/>
        </w:rPr>
        <w:t xml:space="preserve"> and then </w:t>
      </w:r>
      <w:r w:rsidR="004A4A05" w:rsidRPr="00C96363">
        <w:rPr>
          <w:rFonts w:cs="Calibri"/>
          <w:sz w:val="24"/>
          <w:szCs w:val="24"/>
          <w:highlight w:val="yellow"/>
          <w:lang w:val="en-US"/>
        </w:rPr>
        <w:t xml:space="preserve">switch to </w:t>
      </w:r>
      <w:r w:rsidR="00506525" w:rsidRPr="00C96363">
        <w:rPr>
          <w:rFonts w:cs="Calibri"/>
          <w:b/>
          <w:bCs/>
          <w:sz w:val="24"/>
          <w:szCs w:val="24"/>
          <w:highlight w:val="yellow"/>
          <w:lang w:val="en-US"/>
        </w:rPr>
        <w:t>Low</w:t>
      </w:r>
      <w:r w:rsidR="00506525" w:rsidRPr="00C96363">
        <w:rPr>
          <w:rFonts w:cs="Calibri"/>
          <w:sz w:val="24"/>
          <w:szCs w:val="24"/>
          <w:highlight w:val="yellow"/>
          <w:lang w:val="en-US"/>
        </w:rPr>
        <w:t xml:space="preserve"> </w:t>
      </w:r>
      <w:r w:rsidR="004A4A05" w:rsidRPr="00C96363">
        <w:rPr>
          <w:rFonts w:cs="Calibri"/>
          <w:sz w:val="24"/>
          <w:szCs w:val="24"/>
          <w:highlight w:val="yellow"/>
          <w:lang w:val="en-US"/>
        </w:rPr>
        <w:t xml:space="preserve">and </w:t>
      </w:r>
      <w:r w:rsidR="008D77BB" w:rsidRPr="00C96363">
        <w:rPr>
          <w:rFonts w:cs="Calibri"/>
          <w:sz w:val="24"/>
          <w:szCs w:val="24"/>
          <w:highlight w:val="yellow"/>
          <w:lang w:val="en-US"/>
        </w:rPr>
        <w:t xml:space="preserve">press </w:t>
      </w:r>
      <w:r w:rsidR="00506525" w:rsidRPr="00C96363">
        <w:rPr>
          <w:rFonts w:cs="Calibri"/>
          <w:b/>
          <w:bCs/>
          <w:sz w:val="24"/>
          <w:szCs w:val="24"/>
          <w:highlight w:val="yellow"/>
          <w:lang w:val="en-US"/>
        </w:rPr>
        <w:t>Standby</w:t>
      </w:r>
      <w:r w:rsidR="00506525" w:rsidRPr="00C96363">
        <w:rPr>
          <w:rFonts w:cs="Calibri"/>
          <w:sz w:val="24"/>
          <w:szCs w:val="24"/>
          <w:highlight w:val="yellow"/>
          <w:lang w:val="en-US"/>
        </w:rPr>
        <w:t xml:space="preserve"> </w:t>
      </w:r>
      <w:r w:rsidR="008D77BB" w:rsidRPr="00C96363">
        <w:rPr>
          <w:rFonts w:cs="Calibri"/>
          <w:sz w:val="24"/>
          <w:szCs w:val="24"/>
          <w:highlight w:val="yellow"/>
          <w:lang w:val="en-US"/>
        </w:rPr>
        <w:t xml:space="preserve">until proceeding to </w:t>
      </w:r>
      <w:r w:rsidR="00287D84" w:rsidRPr="00C96363">
        <w:rPr>
          <w:rFonts w:cs="Calibri"/>
          <w:sz w:val="24"/>
          <w:szCs w:val="24"/>
          <w:highlight w:val="yellow"/>
          <w:lang w:val="en-US"/>
        </w:rPr>
        <w:t>acquisition</w:t>
      </w:r>
      <w:r w:rsidR="008D77BB" w:rsidRPr="00C96363">
        <w:rPr>
          <w:rFonts w:cs="Calibri"/>
          <w:sz w:val="24"/>
          <w:szCs w:val="24"/>
          <w:highlight w:val="yellow"/>
          <w:lang w:val="en-US"/>
        </w:rPr>
        <w:t>.</w:t>
      </w:r>
    </w:p>
    <w:p w14:paraId="55A5BCBA" w14:textId="77777777" w:rsidR="00811C08" w:rsidRPr="00C96363" w:rsidRDefault="00811C08" w:rsidP="00851755">
      <w:pPr>
        <w:pStyle w:val="NoSpacing"/>
        <w:jc w:val="both"/>
        <w:rPr>
          <w:rFonts w:cs="Calibri"/>
          <w:sz w:val="24"/>
          <w:szCs w:val="24"/>
          <w:highlight w:val="yellow"/>
          <w:lang w:val="en-US"/>
        </w:rPr>
      </w:pPr>
    </w:p>
    <w:p w14:paraId="524616A4" w14:textId="33CAA344" w:rsidR="00D37458" w:rsidRPr="00C96363" w:rsidRDefault="00811C0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Meanwhile set </w:t>
      </w:r>
      <w:r w:rsidR="008D77BB" w:rsidRPr="00C96363">
        <w:rPr>
          <w:rFonts w:cs="Calibri"/>
          <w:sz w:val="24"/>
          <w:szCs w:val="24"/>
          <w:highlight w:val="yellow"/>
          <w:lang w:val="en-US"/>
        </w:rPr>
        <w:t xml:space="preserve">up </w:t>
      </w:r>
      <w:r w:rsidRPr="00C96363">
        <w:rPr>
          <w:rFonts w:cs="Calibri"/>
          <w:sz w:val="24"/>
          <w:szCs w:val="24"/>
          <w:highlight w:val="yellow"/>
          <w:lang w:val="en-US"/>
        </w:rPr>
        <w:t>the experiment within the software:</w:t>
      </w:r>
    </w:p>
    <w:p w14:paraId="7FE62D75" w14:textId="77777777" w:rsidR="008D6FA0" w:rsidRPr="00C96363" w:rsidRDefault="008D6FA0" w:rsidP="008D6FA0">
      <w:pPr>
        <w:pStyle w:val="NoSpacing"/>
        <w:jc w:val="both"/>
        <w:rPr>
          <w:rFonts w:cs="Calibri"/>
          <w:sz w:val="24"/>
          <w:szCs w:val="24"/>
          <w:highlight w:val="yellow"/>
          <w:lang w:val="en-US"/>
        </w:rPr>
      </w:pPr>
    </w:p>
    <w:p w14:paraId="4A67742B" w14:textId="31E8164D" w:rsidR="00D37458" w:rsidRPr="00C96363" w:rsidRDefault="00A40153"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Select</w:t>
      </w:r>
      <w:r w:rsidRPr="00C96363">
        <w:rPr>
          <w:rFonts w:cs="Calibri"/>
          <w:b/>
          <w:bCs/>
          <w:sz w:val="24"/>
          <w:szCs w:val="24"/>
          <w:highlight w:val="yellow"/>
          <w:lang w:val="en-US"/>
        </w:rPr>
        <w:t xml:space="preserve"> </w:t>
      </w:r>
      <w:r w:rsidR="00D37458" w:rsidRPr="00C96363">
        <w:rPr>
          <w:rFonts w:cs="Calibri"/>
          <w:b/>
          <w:bCs/>
          <w:sz w:val="24"/>
          <w:szCs w:val="24"/>
          <w:highlight w:val="yellow"/>
          <w:lang w:val="en-US"/>
        </w:rPr>
        <w:t>Experiment</w:t>
      </w:r>
      <w:r w:rsidR="00D37458" w:rsidRPr="00C96363">
        <w:rPr>
          <w:rFonts w:cs="Calibri"/>
          <w:sz w:val="24"/>
          <w:szCs w:val="24"/>
          <w:highlight w:val="yellow"/>
          <w:lang w:val="en-US"/>
        </w:rPr>
        <w:t>/</w:t>
      </w:r>
      <w:r w:rsidR="00D37458" w:rsidRPr="00C96363">
        <w:rPr>
          <w:rFonts w:cs="Calibri"/>
          <w:b/>
          <w:bCs/>
          <w:sz w:val="24"/>
          <w:szCs w:val="24"/>
          <w:highlight w:val="yellow"/>
          <w:lang w:val="en-US"/>
        </w:rPr>
        <w:t>New Experiment</w:t>
      </w:r>
      <w:r w:rsidR="00D37458" w:rsidRPr="00C96363">
        <w:rPr>
          <w:rFonts w:cs="Calibri"/>
          <w:sz w:val="24"/>
          <w:szCs w:val="24"/>
          <w:highlight w:val="yellow"/>
          <w:lang w:val="en-US"/>
        </w:rPr>
        <w:t xml:space="preserve"> (name </w:t>
      </w:r>
      <w:r w:rsidR="008D77BB" w:rsidRPr="00C96363">
        <w:rPr>
          <w:rFonts w:cs="Calibri"/>
          <w:sz w:val="24"/>
          <w:szCs w:val="24"/>
          <w:highlight w:val="yellow"/>
          <w:lang w:val="en-US"/>
        </w:rPr>
        <w:t>according to local guidance</w:t>
      </w:r>
      <w:r w:rsidR="00D37458" w:rsidRPr="00C96363">
        <w:rPr>
          <w:rFonts w:cs="Calibri"/>
          <w:sz w:val="24"/>
          <w:szCs w:val="24"/>
          <w:highlight w:val="yellow"/>
          <w:lang w:val="en-US"/>
        </w:rPr>
        <w:t>)</w:t>
      </w:r>
      <w:r w:rsidR="00AE13A3" w:rsidRPr="00C96363">
        <w:rPr>
          <w:rFonts w:cs="Calibri"/>
          <w:sz w:val="24"/>
          <w:szCs w:val="24"/>
          <w:highlight w:val="yellow"/>
          <w:lang w:val="en-US"/>
        </w:rPr>
        <w:t xml:space="preserve">. </w:t>
      </w:r>
      <w:r w:rsidR="00D37458" w:rsidRPr="00C96363">
        <w:rPr>
          <w:rFonts w:cs="Calibri"/>
          <w:sz w:val="24"/>
          <w:szCs w:val="24"/>
          <w:highlight w:val="yellow"/>
          <w:lang w:val="en-US"/>
        </w:rPr>
        <w:t xml:space="preserve">In the inspector, delete the </w:t>
      </w:r>
      <w:r w:rsidR="004870A8" w:rsidRPr="00C96363">
        <w:rPr>
          <w:rFonts w:cs="Calibri"/>
          <w:sz w:val="24"/>
          <w:szCs w:val="24"/>
          <w:highlight w:val="yellow"/>
          <w:lang w:val="en-US"/>
        </w:rPr>
        <w:t xml:space="preserve">unrequired </w:t>
      </w:r>
      <w:r w:rsidR="00D37458" w:rsidRPr="00C96363">
        <w:rPr>
          <w:rFonts w:cs="Calibri"/>
          <w:sz w:val="24"/>
          <w:szCs w:val="24"/>
          <w:highlight w:val="yellow"/>
          <w:lang w:val="en-US"/>
        </w:rPr>
        <w:t>fluorochromes</w:t>
      </w:r>
      <w:r w:rsidR="004870A8" w:rsidRPr="00C96363">
        <w:rPr>
          <w:rFonts w:cs="Calibri"/>
          <w:sz w:val="24"/>
          <w:szCs w:val="24"/>
          <w:highlight w:val="yellow"/>
          <w:lang w:val="en-US"/>
        </w:rPr>
        <w:t>,</w:t>
      </w:r>
      <w:r w:rsidR="00D37458" w:rsidRPr="00C96363">
        <w:rPr>
          <w:rFonts w:cs="Calibri"/>
          <w:sz w:val="24"/>
          <w:szCs w:val="24"/>
          <w:highlight w:val="yellow"/>
          <w:lang w:val="en-US"/>
        </w:rPr>
        <w:t xml:space="preserve"> </w:t>
      </w:r>
      <w:r w:rsidR="008D77BB" w:rsidRPr="00C96363">
        <w:rPr>
          <w:rFonts w:cs="Calibri"/>
          <w:sz w:val="24"/>
          <w:szCs w:val="24"/>
          <w:highlight w:val="yellow"/>
          <w:lang w:val="en-US"/>
        </w:rPr>
        <w:t xml:space="preserve">leaving </w:t>
      </w:r>
      <w:r w:rsidR="003A4558" w:rsidRPr="00C96363">
        <w:rPr>
          <w:rFonts w:cs="Calibri"/>
          <w:sz w:val="24"/>
          <w:szCs w:val="24"/>
          <w:highlight w:val="yellow"/>
          <w:lang w:val="en-US"/>
        </w:rPr>
        <w:t xml:space="preserve">Blue Laser 530/30 and Yellow Laser 610/20 or the recommended laser and filter combinations for YFP and RFP for </w:t>
      </w:r>
      <w:r w:rsidR="00D90B34" w:rsidRPr="00C96363">
        <w:rPr>
          <w:rFonts w:cs="Calibri"/>
          <w:sz w:val="24"/>
          <w:szCs w:val="24"/>
          <w:highlight w:val="yellow"/>
          <w:lang w:val="en-US"/>
        </w:rPr>
        <w:t>the</w:t>
      </w:r>
      <w:r w:rsidR="003A4558" w:rsidRPr="00C96363">
        <w:rPr>
          <w:rFonts w:cs="Calibri"/>
          <w:sz w:val="24"/>
          <w:szCs w:val="24"/>
          <w:highlight w:val="yellow"/>
          <w:lang w:val="en-US"/>
        </w:rPr>
        <w:t xml:space="preserve"> machine.</w:t>
      </w:r>
    </w:p>
    <w:p w14:paraId="4E93E4B7" w14:textId="77777777" w:rsidR="008D6FA0" w:rsidRPr="00C96363" w:rsidRDefault="008D6FA0" w:rsidP="008D6FA0">
      <w:pPr>
        <w:pStyle w:val="NoSpacing"/>
        <w:jc w:val="both"/>
        <w:rPr>
          <w:rFonts w:cs="Calibri"/>
          <w:sz w:val="24"/>
          <w:szCs w:val="24"/>
          <w:highlight w:val="yellow"/>
          <w:lang w:val="en-US"/>
        </w:rPr>
      </w:pPr>
    </w:p>
    <w:p w14:paraId="25CD774B" w14:textId="70B2DD6E" w:rsidR="00D37458" w:rsidRPr="00C96363" w:rsidRDefault="00D37458"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Right click on the experiment</w:t>
      </w:r>
      <w:r w:rsidR="00AE13A3" w:rsidRPr="00C96363">
        <w:rPr>
          <w:rFonts w:cs="Calibri"/>
          <w:b/>
          <w:bCs/>
          <w:sz w:val="24"/>
          <w:szCs w:val="24"/>
          <w:highlight w:val="yellow"/>
          <w:lang w:val="en-US"/>
        </w:rPr>
        <w:t xml:space="preserve"> </w:t>
      </w:r>
      <w:r w:rsidR="00AE13A3" w:rsidRPr="00C96363">
        <w:rPr>
          <w:rFonts w:cs="Calibri"/>
          <w:sz w:val="24"/>
          <w:szCs w:val="24"/>
          <w:highlight w:val="yellow"/>
          <w:lang w:val="en-US"/>
        </w:rPr>
        <w:t xml:space="preserve">and choose </w:t>
      </w:r>
      <w:r w:rsidR="003B58CE" w:rsidRPr="00C96363">
        <w:rPr>
          <w:rFonts w:cs="Calibri"/>
          <w:b/>
          <w:bCs/>
          <w:sz w:val="24"/>
          <w:szCs w:val="24"/>
          <w:highlight w:val="yellow"/>
          <w:lang w:val="en-US"/>
        </w:rPr>
        <w:t>Cytometer Settings</w:t>
      </w:r>
      <w:r w:rsidRPr="00C96363">
        <w:rPr>
          <w:rFonts w:cs="Calibri"/>
          <w:b/>
          <w:bCs/>
          <w:sz w:val="24"/>
          <w:szCs w:val="24"/>
          <w:highlight w:val="yellow"/>
          <w:lang w:val="en-US"/>
        </w:rPr>
        <w:t>/</w:t>
      </w:r>
      <w:r w:rsidR="003B58CE" w:rsidRPr="00C96363">
        <w:rPr>
          <w:rFonts w:cs="Calibri"/>
          <w:b/>
          <w:bCs/>
          <w:sz w:val="24"/>
          <w:szCs w:val="24"/>
          <w:highlight w:val="yellow"/>
          <w:lang w:val="en-US"/>
        </w:rPr>
        <w:t>Application Settings</w:t>
      </w:r>
      <w:r w:rsidRPr="00C96363">
        <w:rPr>
          <w:rFonts w:cs="Calibri"/>
          <w:b/>
          <w:bCs/>
          <w:sz w:val="24"/>
          <w:szCs w:val="24"/>
          <w:highlight w:val="yellow"/>
          <w:lang w:val="en-US"/>
        </w:rPr>
        <w:t>/</w:t>
      </w:r>
      <w:r w:rsidR="003B58CE" w:rsidRPr="00C96363">
        <w:rPr>
          <w:rFonts w:cs="Calibri"/>
          <w:b/>
          <w:bCs/>
          <w:sz w:val="24"/>
          <w:szCs w:val="24"/>
          <w:highlight w:val="yellow"/>
          <w:lang w:val="en-US"/>
        </w:rPr>
        <w:t>Create Worksheet</w:t>
      </w:r>
      <w:r w:rsidR="00AE13A3" w:rsidRPr="00C96363">
        <w:rPr>
          <w:rFonts w:cs="Calibri"/>
          <w:sz w:val="24"/>
          <w:szCs w:val="24"/>
          <w:highlight w:val="yellow"/>
          <w:lang w:val="en-US"/>
        </w:rPr>
        <w:t>. On the worksheet</w:t>
      </w:r>
      <w:r w:rsidR="00C352CF" w:rsidRPr="00C96363">
        <w:rPr>
          <w:rFonts w:cs="Calibri"/>
          <w:sz w:val="24"/>
          <w:szCs w:val="24"/>
          <w:highlight w:val="yellow"/>
          <w:lang w:val="en-US"/>
        </w:rPr>
        <w:t>,</w:t>
      </w:r>
      <w:r w:rsidR="00AE13A3" w:rsidRPr="00C96363">
        <w:rPr>
          <w:rFonts w:cs="Calibri"/>
          <w:sz w:val="24"/>
          <w:szCs w:val="24"/>
          <w:highlight w:val="yellow"/>
          <w:lang w:val="en-US"/>
        </w:rPr>
        <w:t xml:space="preserve"> c</w:t>
      </w:r>
      <w:r w:rsidR="008D77BB" w:rsidRPr="00C96363">
        <w:rPr>
          <w:rFonts w:cs="Calibri"/>
          <w:sz w:val="24"/>
          <w:szCs w:val="24"/>
          <w:highlight w:val="yellow"/>
          <w:lang w:val="en-US"/>
        </w:rPr>
        <w:t>reate</w:t>
      </w:r>
      <w:r w:rsidRPr="00C96363">
        <w:rPr>
          <w:rFonts w:cs="Calibri"/>
          <w:sz w:val="24"/>
          <w:szCs w:val="24"/>
          <w:highlight w:val="yellow"/>
          <w:lang w:val="en-US"/>
        </w:rPr>
        <w:t xml:space="preserve"> </w:t>
      </w:r>
      <w:r w:rsidR="00AE13A3" w:rsidRPr="00C96363">
        <w:rPr>
          <w:rFonts w:cs="Calibri"/>
          <w:sz w:val="24"/>
          <w:szCs w:val="24"/>
          <w:highlight w:val="yellow"/>
          <w:lang w:val="en-US"/>
        </w:rPr>
        <w:t xml:space="preserve">a </w:t>
      </w:r>
      <w:r w:rsidRPr="00C96363">
        <w:rPr>
          <w:rFonts w:cs="Calibri"/>
          <w:sz w:val="24"/>
          <w:szCs w:val="24"/>
          <w:highlight w:val="yellow"/>
          <w:lang w:val="en-US"/>
        </w:rPr>
        <w:t>F</w:t>
      </w:r>
      <w:r w:rsidR="00464101" w:rsidRPr="00C96363">
        <w:rPr>
          <w:rFonts w:cs="Calibri"/>
          <w:sz w:val="24"/>
          <w:szCs w:val="24"/>
          <w:highlight w:val="yellow"/>
          <w:lang w:val="en-US"/>
        </w:rPr>
        <w:t xml:space="preserve">orward </w:t>
      </w:r>
      <w:r w:rsidRPr="00C96363">
        <w:rPr>
          <w:rFonts w:cs="Calibri"/>
          <w:sz w:val="24"/>
          <w:szCs w:val="24"/>
          <w:highlight w:val="yellow"/>
          <w:lang w:val="en-US"/>
        </w:rPr>
        <w:t>S</w:t>
      </w:r>
      <w:r w:rsidR="00464101" w:rsidRPr="00C96363">
        <w:rPr>
          <w:rFonts w:cs="Calibri"/>
          <w:sz w:val="24"/>
          <w:szCs w:val="24"/>
          <w:highlight w:val="yellow"/>
          <w:lang w:val="en-US"/>
        </w:rPr>
        <w:t>catter-Area (FS</w:t>
      </w:r>
      <w:r w:rsidRPr="00C96363">
        <w:rPr>
          <w:rFonts w:cs="Calibri"/>
          <w:sz w:val="24"/>
          <w:szCs w:val="24"/>
          <w:highlight w:val="yellow"/>
          <w:lang w:val="en-US"/>
        </w:rPr>
        <w:t>C</w:t>
      </w:r>
      <w:r w:rsidR="00464101" w:rsidRPr="00C96363">
        <w:rPr>
          <w:rFonts w:cs="Calibri"/>
          <w:sz w:val="24"/>
          <w:szCs w:val="24"/>
          <w:highlight w:val="yellow"/>
          <w:lang w:val="en-US"/>
        </w:rPr>
        <w:t>-A)</w:t>
      </w:r>
      <w:r w:rsidRPr="00C96363">
        <w:rPr>
          <w:rFonts w:cs="Calibri"/>
          <w:sz w:val="24"/>
          <w:szCs w:val="24"/>
          <w:highlight w:val="yellow"/>
          <w:lang w:val="en-US"/>
        </w:rPr>
        <w:t>/S</w:t>
      </w:r>
      <w:r w:rsidR="00464101" w:rsidRPr="00C96363">
        <w:rPr>
          <w:rFonts w:cs="Calibri"/>
          <w:sz w:val="24"/>
          <w:szCs w:val="24"/>
          <w:highlight w:val="yellow"/>
          <w:lang w:val="en-US"/>
        </w:rPr>
        <w:t xml:space="preserve">ide </w:t>
      </w:r>
      <w:r w:rsidRPr="00C96363">
        <w:rPr>
          <w:rFonts w:cs="Calibri"/>
          <w:sz w:val="24"/>
          <w:szCs w:val="24"/>
          <w:highlight w:val="yellow"/>
          <w:lang w:val="en-US"/>
        </w:rPr>
        <w:t>S</w:t>
      </w:r>
      <w:r w:rsidR="00464101" w:rsidRPr="00C96363">
        <w:rPr>
          <w:rFonts w:cs="Calibri"/>
          <w:sz w:val="24"/>
          <w:szCs w:val="24"/>
          <w:highlight w:val="yellow"/>
          <w:lang w:val="en-US"/>
        </w:rPr>
        <w:t>catter Area (FS</w:t>
      </w:r>
      <w:r w:rsidRPr="00C96363">
        <w:rPr>
          <w:rFonts w:cs="Calibri"/>
          <w:sz w:val="24"/>
          <w:szCs w:val="24"/>
          <w:highlight w:val="yellow"/>
          <w:lang w:val="en-US"/>
        </w:rPr>
        <w:t>C</w:t>
      </w:r>
      <w:r w:rsidR="00464101" w:rsidRPr="00C96363">
        <w:rPr>
          <w:rFonts w:cs="Calibri"/>
          <w:sz w:val="24"/>
          <w:szCs w:val="24"/>
          <w:highlight w:val="yellow"/>
          <w:lang w:val="en-US"/>
        </w:rPr>
        <w:t>-A)</w:t>
      </w:r>
      <w:r w:rsidRPr="00C96363">
        <w:rPr>
          <w:rFonts w:cs="Calibri"/>
          <w:sz w:val="24"/>
          <w:szCs w:val="24"/>
          <w:highlight w:val="yellow"/>
          <w:lang w:val="en-US"/>
        </w:rPr>
        <w:t xml:space="preserve"> </w:t>
      </w:r>
      <w:r w:rsidR="00AF16D5" w:rsidRPr="00C96363">
        <w:rPr>
          <w:rFonts w:cs="Calibri"/>
          <w:sz w:val="24"/>
          <w:szCs w:val="24"/>
          <w:highlight w:val="yellow"/>
          <w:lang w:val="en-US"/>
        </w:rPr>
        <w:t>dot blot</w:t>
      </w:r>
      <w:r w:rsidR="008D77BB" w:rsidRPr="00C96363">
        <w:rPr>
          <w:rFonts w:cs="Calibri"/>
          <w:sz w:val="24"/>
          <w:szCs w:val="24"/>
          <w:highlight w:val="yellow"/>
          <w:lang w:val="en-US"/>
        </w:rPr>
        <w:t xml:space="preserve"> </w:t>
      </w:r>
      <w:r w:rsidRPr="00C96363">
        <w:rPr>
          <w:rFonts w:cs="Calibri"/>
          <w:sz w:val="24"/>
          <w:szCs w:val="24"/>
          <w:highlight w:val="yellow"/>
          <w:lang w:val="en-US"/>
        </w:rPr>
        <w:t xml:space="preserve">and </w:t>
      </w:r>
      <w:r w:rsidR="008D77BB" w:rsidRPr="00C96363">
        <w:rPr>
          <w:rFonts w:cs="Calibri"/>
          <w:sz w:val="24"/>
          <w:szCs w:val="24"/>
          <w:highlight w:val="yellow"/>
          <w:lang w:val="en-US"/>
        </w:rPr>
        <w:t>YFP</w:t>
      </w:r>
      <w:r w:rsidRPr="00C96363">
        <w:rPr>
          <w:rFonts w:cs="Calibri"/>
          <w:sz w:val="24"/>
          <w:szCs w:val="24"/>
          <w:highlight w:val="yellow"/>
          <w:lang w:val="en-US"/>
        </w:rPr>
        <w:t xml:space="preserve"> histogram</w:t>
      </w:r>
      <w:r w:rsidR="008D77BB" w:rsidRPr="00C96363">
        <w:rPr>
          <w:rFonts w:cs="Calibri"/>
          <w:sz w:val="24"/>
          <w:szCs w:val="24"/>
          <w:highlight w:val="yellow"/>
          <w:lang w:val="en-US"/>
        </w:rPr>
        <w:t>, RFP histogram</w:t>
      </w:r>
      <w:r w:rsidR="00C352CF" w:rsidRPr="00C96363">
        <w:rPr>
          <w:rFonts w:cs="Calibri"/>
          <w:sz w:val="24"/>
          <w:szCs w:val="24"/>
          <w:highlight w:val="yellow"/>
          <w:lang w:val="en-US"/>
        </w:rPr>
        <w:t>,</w:t>
      </w:r>
      <w:r w:rsidR="008D77BB" w:rsidRPr="00C96363">
        <w:rPr>
          <w:rFonts w:cs="Calibri"/>
          <w:sz w:val="24"/>
          <w:szCs w:val="24"/>
          <w:highlight w:val="yellow"/>
          <w:lang w:val="en-US"/>
        </w:rPr>
        <w:t xml:space="preserve"> </w:t>
      </w:r>
      <w:r w:rsidRPr="00C96363">
        <w:rPr>
          <w:rFonts w:cs="Calibri"/>
          <w:sz w:val="24"/>
          <w:szCs w:val="24"/>
          <w:highlight w:val="yellow"/>
          <w:lang w:val="en-US"/>
        </w:rPr>
        <w:t xml:space="preserve">and GFP/YFP </w:t>
      </w:r>
      <w:r w:rsidR="00AF16D5" w:rsidRPr="00C96363">
        <w:rPr>
          <w:rFonts w:cs="Calibri"/>
          <w:sz w:val="24"/>
          <w:szCs w:val="24"/>
          <w:highlight w:val="yellow"/>
          <w:lang w:val="en-US"/>
        </w:rPr>
        <w:t>dot blot</w:t>
      </w:r>
      <w:r w:rsidR="00AE13A3" w:rsidRPr="00C96363">
        <w:rPr>
          <w:rFonts w:cs="Calibri"/>
          <w:sz w:val="24"/>
          <w:szCs w:val="24"/>
          <w:highlight w:val="yellow"/>
          <w:lang w:val="en-US"/>
        </w:rPr>
        <w:t xml:space="preserve"> by clicking on the corresponding icon and changing the axes by clicking on the axis label.</w:t>
      </w:r>
    </w:p>
    <w:p w14:paraId="70B30BE8" w14:textId="77777777" w:rsidR="008D6FA0" w:rsidRPr="00C96363" w:rsidRDefault="008D6FA0" w:rsidP="008D6FA0">
      <w:pPr>
        <w:pStyle w:val="NoSpacing"/>
        <w:jc w:val="both"/>
        <w:rPr>
          <w:rFonts w:cs="Calibri"/>
          <w:sz w:val="24"/>
          <w:szCs w:val="24"/>
          <w:highlight w:val="yellow"/>
          <w:lang w:val="en-US"/>
        </w:rPr>
      </w:pPr>
    </w:p>
    <w:p w14:paraId="294362E6" w14:textId="042C9552" w:rsidR="008D77BB" w:rsidRPr="00C96363" w:rsidRDefault="00AE13A3"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Right click again on </w:t>
      </w:r>
      <w:r w:rsidRPr="00C96363">
        <w:rPr>
          <w:rFonts w:cs="Calibri"/>
          <w:b/>
          <w:bCs/>
          <w:sz w:val="24"/>
          <w:szCs w:val="24"/>
          <w:highlight w:val="yellow"/>
          <w:lang w:val="en-US"/>
        </w:rPr>
        <w:t>Experiment</w:t>
      </w:r>
      <w:r w:rsidRPr="00C96363">
        <w:rPr>
          <w:rFonts w:cs="Calibri"/>
          <w:sz w:val="24"/>
          <w:szCs w:val="24"/>
          <w:highlight w:val="yellow"/>
          <w:lang w:val="en-US"/>
        </w:rPr>
        <w:t xml:space="preserve"> and a</w:t>
      </w:r>
      <w:r w:rsidR="00D37458" w:rsidRPr="00C96363">
        <w:rPr>
          <w:rFonts w:cs="Calibri"/>
          <w:sz w:val="24"/>
          <w:szCs w:val="24"/>
          <w:highlight w:val="yellow"/>
          <w:lang w:val="en-US"/>
        </w:rPr>
        <w:t xml:space="preserve">dd </w:t>
      </w:r>
      <w:r w:rsidR="003B58CE" w:rsidRPr="00C96363">
        <w:rPr>
          <w:rFonts w:cs="Calibri"/>
          <w:b/>
          <w:bCs/>
          <w:sz w:val="24"/>
          <w:szCs w:val="24"/>
          <w:highlight w:val="yellow"/>
          <w:lang w:val="en-US"/>
        </w:rPr>
        <w:t>New S</w:t>
      </w:r>
      <w:r w:rsidR="00D37458" w:rsidRPr="00C96363">
        <w:rPr>
          <w:rFonts w:cs="Calibri"/>
          <w:b/>
          <w:bCs/>
          <w:sz w:val="24"/>
          <w:szCs w:val="24"/>
          <w:highlight w:val="yellow"/>
          <w:lang w:val="en-US"/>
        </w:rPr>
        <w:t>pecimen</w:t>
      </w:r>
      <w:r w:rsidRPr="00C96363">
        <w:rPr>
          <w:rFonts w:cs="Calibri"/>
          <w:sz w:val="24"/>
          <w:szCs w:val="24"/>
          <w:highlight w:val="yellow"/>
          <w:lang w:val="en-US"/>
        </w:rPr>
        <w:t>.</w:t>
      </w:r>
      <w:r w:rsidR="00D37458" w:rsidRPr="00C96363">
        <w:rPr>
          <w:rFonts w:cs="Calibri"/>
          <w:sz w:val="24"/>
          <w:szCs w:val="24"/>
          <w:highlight w:val="yellow"/>
          <w:lang w:val="en-US"/>
        </w:rPr>
        <w:t xml:space="preserve"> </w:t>
      </w:r>
      <w:r w:rsidRPr="00C96363">
        <w:rPr>
          <w:rFonts w:cs="Calibri"/>
          <w:sz w:val="24"/>
          <w:szCs w:val="24"/>
          <w:highlight w:val="yellow"/>
          <w:lang w:val="en-US"/>
        </w:rPr>
        <w:t>R</w:t>
      </w:r>
      <w:r w:rsidR="00D37458" w:rsidRPr="00C96363">
        <w:rPr>
          <w:rFonts w:cs="Calibri"/>
          <w:sz w:val="24"/>
          <w:szCs w:val="24"/>
          <w:highlight w:val="yellow"/>
          <w:lang w:val="en-US"/>
        </w:rPr>
        <w:t xml:space="preserve">ename </w:t>
      </w:r>
      <w:r w:rsidR="004A4A05" w:rsidRPr="00C96363">
        <w:rPr>
          <w:rFonts w:cs="Calibri"/>
          <w:sz w:val="24"/>
          <w:szCs w:val="24"/>
          <w:highlight w:val="yellow"/>
          <w:lang w:val="en-US"/>
        </w:rPr>
        <w:t>as appropriate</w:t>
      </w:r>
      <w:r w:rsidRPr="00C96363">
        <w:rPr>
          <w:rFonts w:cs="Calibri"/>
          <w:sz w:val="24"/>
          <w:szCs w:val="24"/>
          <w:highlight w:val="yellow"/>
          <w:lang w:val="en-US"/>
        </w:rPr>
        <w:t xml:space="preserve">. </w:t>
      </w:r>
      <w:r w:rsidR="00D37458" w:rsidRPr="00C96363">
        <w:rPr>
          <w:rFonts w:cs="Calibri"/>
          <w:sz w:val="24"/>
          <w:szCs w:val="24"/>
          <w:highlight w:val="yellow"/>
          <w:lang w:val="en-US"/>
        </w:rPr>
        <w:t xml:space="preserve">Open the specimen </w:t>
      </w:r>
      <w:r w:rsidR="004A4A05" w:rsidRPr="00C96363">
        <w:rPr>
          <w:rFonts w:cs="Calibri"/>
          <w:sz w:val="24"/>
          <w:szCs w:val="24"/>
          <w:highlight w:val="yellow"/>
          <w:lang w:val="en-US"/>
        </w:rPr>
        <w:t xml:space="preserve">by clicking the plus sign </w:t>
      </w:r>
      <w:r w:rsidR="00D37458" w:rsidRPr="00C96363">
        <w:rPr>
          <w:rFonts w:cs="Calibri"/>
          <w:sz w:val="24"/>
          <w:szCs w:val="24"/>
          <w:highlight w:val="yellow"/>
          <w:lang w:val="en-US"/>
        </w:rPr>
        <w:t>to reveal</w:t>
      </w:r>
      <w:r w:rsidR="004A4A05" w:rsidRPr="00C96363">
        <w:rPr>
          <w:rFonts w:cs="Calibri"/>
          <w:sz w:val="24"/>
          <w:szCs w:val="24"/>
          <w:highlight w:val="yellow"/>
          <w:lang w:val="en-US"/>
        </w:rPr>
        <w:t xml:space="preserve"> a</w:t>
      </w:r>
      <w:r w:rsidR="00D37458" w:rsidRPr="00C96363">
        <w:rPr>
          <w:rFonts w:cs="Calibri"/>
          <w:sz w:val="24"/>
          <w:szCs w:val="24"/>
          <w:highlight w:val="yellow"/>
          <w:lang w:val="en-US"/>
        </w:rPr>
        <w:t xml:space="preserve"> new tube</w:t>
      </w:r>
      <w:r w:rsidR="004A4A05" w:rsidRPr="00C96363">
        <w:rPr>
          <w:rFonts w:cs="Calibri"/>
          <w:sz w:val="24"/>
          <w:szCs w:val="24"/>
          <w:highlight w:val="yellow"/>
          <w:lang w:val="en-US"/>
        </w:rPr>
        <w:t>.</w:t>
      </w:r>
    </w:p>
    <w:p w14:paraId="1935CC3A" w14:textId="77777777" w:rsidR="00811C08" w:rsidRPr="00C96363" w:rsidRDefault="00811C08" w:rsidP="00851755">
      <w:pPr>
        <w:pStyle w:val="NoSpacing"/>
        <w:jc w:val="both"/>
        <w:rPr>
          <w:rFonts w:cs="Calibri"/>
          <w:sz w:val="24"/>
          <w:szCs w:val="24"/>
          <w:highlight w:val="yellow"/>
          <w:lang w:val="en-US"/>
        </w:rPr>
      </w:pPr>
    </w:p>
    <w:p w14:paraId="3FE8892A" w14:textId="1FE0A7A2" w:rsidR="00811C08" w:rsidRPr="00C96363" w:rsidRDefault="00D3745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Open the acquisition dashboard from </w:t>
      </w:r>
      <w:r w:rsidR="003B58CE" w:rsidRPr="00C96363">
        <w:rPr>
          <w:rFonts w:cs="Calibri"/>
          <w:b/>
          <w:bCs/>
          <w:sz w:val="24"/>
          <w:szCs w:val="24"/>
          <w:highlight w:val="yellow"/>
          <w:lang w:val="en-US"/>
        </w:rPr>
        <w:t>View</w:t>
      </w:r>
      <w:r w:rsidR="008D77BB" w:rsidRPr="00C96363">
        <w:rPr>
          <w:rFonts w:cs="Calibri"/>
          <w:sz w:val="24"/>
          <w:szCs w:val="24"/>
          <w:highlight w:val="yellow"/>
          <w:lang w:val="en-US"/>
        </w:rPr>
        <w:t>, load the uninfected</w:t>
      </w:r>
      <w:r w:rsidR="00866B06" w:rsidRPr="00C96363">
        <w:rPr>
          <w:rFonts w:cs="Calibri"/>
          <w:sz w:val="24"/>
          <w:szCs w:val="24"/>
          <w:highlight w:val="yellow"/>
          <w:lang w:val="en-US"/>
        </w:rPr>
        <w:t>,</w:t>
      </w:r>
      <w:r w:rsidR="008D77BB" w:rsidRPr="00C96363">
        <w:rPr>
          <w:rFonts w:cs="Calibri"/>
          <w:sz w:val="24"/>
          <w:szCs w:val="24"/>
          <w:highlight w:val="yellow"/>
          <w:lang w:val="en-US"/>
        </w:rPr>
        <w:t xml:space="preserve"> </w:t>
      </w:r>
      <w:proofErr w:type="spellStart"/>
      <w:r w:rsidR="008D77BB" w:rsidRPr="00C96363">
        <w:rPr>
          <w:rFonts w:cs="Calibri"/>
          <w:sz w:val="24"/>
          <w:szCs w:val="24"/>
          <w:highlight w:val="yellow"/>
          <w:lang w:val="en-US"/>
        </w:rPr>
        <w:t>untransduced</w:t>
      </w:r>
      <w:proofErr w:type="spellEnd"/>
      <w:r w:rsidR="008D77BB" w:rsidRPr="00C96363">
        <w:rPr>
          <w:rFonts w:cs="Calibri"/>
          <w:sz w:val="24"/>
          <w:szCs w:val="24"/>
          <w:highlight w:val="yellow"/>
          <w:lang w:val="en-US"/>
        </w:rPr>
        <w:t xml:space="preserve"> control and press </w:t>
      </w:r>
      <w:r w:rsidR="003B58CE" w:rsidRPr="00C96363">
        <w:rPr>
          <w:rFonts w:cs="Calibri"/>
          <w:b/>
          <w:bCs/>
          <w:sz w:val="24"/>
          <w:szCs w:val="24"/>
          <w:highlight w:val="yellow"/>
          <w:lang w:val="en-US"/>
        </w:rPr>
        <w:t>Acquire</w:t>
      </w:r>
      <w:r w:rsidR="008D77BB" w:rsidRPr="00C96363">
        <w:rPr>
          <w:rFonts w:cs="Calibri"/>
          <w:sz w:val="24"/>
          <w:szCs w:val="24"/>
          <w:highlight w:val="yellow"/>
          <w:lang w:val="en-US"/>
        </w:rPr>
        <w:t xml:space="preserve">. Adjust FSC and SSC voltages </w:t>
      </w:r>
      <w:r w:rsidR="00AE13A3" w:rsidRPr="00C96363">
        <w:rPr>
          <w:rFonts w:cs="Calibri"/>
          <w:sz w:val="24"/>
          <w:szCs w:val="24"/>
          <w:highlight w:val="yellow"/>
          <w:lang w:val="en-US"/>
        </w:rPr>
        <w:t xml:space="preserve">in the dashboard </w:t>
      </w:r>
      <w:r w:rsidR="008D77BB" w:rsidRPr="00C96363">
        <w:rPr>
          <w:rFonts w:cs="Calibri"/>
          <w:sz w:val="24"/>
          <w:szCs w:val="24"/>
          <w:highlight w:val="yellow"/>
          <w:lang w:val="en-US"/>
        </w:rPr>
        <w:t>to position cells in the lower-left quadrant (no cells on the axes).</w:t>
      </w:r>
      <w:r w:rsidR="00663934" w:rsidRPr="00C96363">
        <w:rPr>
          <w:rFonts w:cs="Calibri"/>
          <w:sz w:val="24"/>
          <w:szCs w:val="24"/>
          <w:highlight w:val="yellow"/>
          <w:lang w:val="en-US"/>
        </w:rPr>
        <w:t xml:space="preserve"> Gate around this population </w:t>
      </w:r>
      <w:r w:rsidR="00663934" w:rsidRPr="00C96363">
        <w:rPr>
          <w:rFonts w:cs="Calibri"/>
          <w:b/>
          <w:bCs/>
          <w:sz w:val="24"/>
          <w:szCs w:val="24"/>
          <w:highlight w:val="yellow"/>
          <w:lang w:val="en-US"/>
        </w:rPr>
        <w:t>P1</w:t>
      </w:r>
      <w:r w:rsidR="00663934" w:rsidRPr="00C96363">
        <w:rPr>
          <w:rFonts w:cs="Calibri"/>
          <w:sz w:val="24"/>
          <w:szCs w:val="24"/>
          <w:highlight w:val="yellow"/>
          <w:lang w:val="en-US"/>
        </w:rPr>
        <w:t>.</w:t>
      </w:r>
      <w:r w:rsidR="00287D84" w:rsidRPr="00C96363">
        <w:rPr>
          <w:rFonts w:cs="Calibri"/>
          <w:sz w:val="24"/>
          <w:szCs w:val="24"/>
          <w:highlight w:val="yellow"/>
          <w:lang w:val="en-US"/>
        </w:rPr>
        <w:t xml:space="preserve"> Right click on other plots and </w:t>
      </w:r>
      <w:r w:rsidR="00816751" w:rsidRPr="00C96363">
        <w:rPr>
          <w:rFonts w:cs="Calibri"/>
          <w:sz w:val="24"/>
          <w:szCs w:val="24"/>
          <w:highlight w:val="yellow"/>
          <w:lang w:val="en-US"/>
        </w:rPr>
        <w:t>select show P1 to remove debris from subsequent analysis.</w:t>
      </w:r>
    </w:p>
    <w:p w14:paraId="56E2DDA8" w14:textId="77777777" w:rsidR="00497F65" w:rsidRPr="00C96363" w:rsidRDefault="00497F65" w:rsidP="00851755">
      <w:pPr>
        <w:pStyle w:val="NoSpacing"/>
        <w:jc w:val="both"/>
        <w:rPr>
          <w:rFonts w:cs="Calibri"/>
          <w:sz w:val="24"/>
          <w:szCs w:val="24"/>
          <w:highlight w:val="yellow"/>
          <w:lang w:val="en-US"/>
        </w:rPr>
      </w:pPr>
    </w:p>
    <w:p w14:paraId="4A9E546E" w14:textId="4DC21253" w:rsidR="00497F65" w:rsidRPr="00C96363" w:rsidRDefault="00866B06"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Load the </w:t>
      </w:r>
      <w:r w:rsidR="00C96363" w:rsidRPr="00C96363">
        <w:rPr>
          <w:rFonts w:cs="Calibri"/>
          <w:sz w:val="24"/>
          <w:szCs w:val="24"/>
          <w:highlight w:val="yellow"/>
          <w:lang w:val="en-US"/>
        </w:rPr>
        <w:t>single-color</w:t>
      </w:r>
      <w:r w:rsidR="00C352CF" w:rsidRPr="00C96363">
        <w:rPr>
          <w:rFonts w:cs="Calibri"/>
          <w:sz w:val="24"/>
          <w:szCs w:val="24"/>
          <w:highlight w:val="yellow"/>
          <w:lang w:val="en-US"/>
        </w:rPr>
        <w:t xml:space="preserve"> </w:t>
      </w:r>
      <w:r w:rsidRPr="00C96363">
        <w:rPr>
          <w:rFonts w:cs="Calibri"/>
          <w:sz w:val="24"/>
          <w:szCs w:val="24"/>
          <w:highlight w:val="yellow"/>
          <w:lang w:val="en-US"/>
        </w:rPr>
        <w:t>control for YFP (wild-type</w:t>
      </w:r>
      <w:r w:rsidR="009471EF" w:rsidRPr="00C96363">
        <w:rPr>
          <w:rFonts w:cs="Calibri"/>
          <w:sz w:val="24"/>
          <w:szCs w:val="24"/>
          <w:highlight w:val="yellow"/>
          <w:lang w:val="en-US"/>
        </w:rPr>
        <w:t xml:space="preserve"> SAMHD1 only) and acquire. Adjust the YFP voltage</w:t>
      </w:r>
      <w:r w:rsidR="00AE13A3" w:rsidRPr="00C96363">
        <w:rPr>
          <w:rFonts w:cs="Calibri"/>
          <w:sz w:val="24"/>
          <w:szCs w:val="24"/>
          <w:highlight w:val="yellow"/>
          <w:lang w:val="en-US"/>
        </w:rPr>
        <w:t xml:space="preserve"> in the dashboard</w:t>
      </w:r>
      <w:r w:rsidR="009471EF" w:rsidRPr="00C96363">
        <w:rPr>
          <w:rFonts w:cs="Calibri"/>
          <w:sz w:val="24"/>
          <w:szCs w:val="24"/>
          <w:highlight w:val="yellow"/>
          <w:lang w:val="en-US"/>
        </w:rPr>
        <w:t xml:space="preserve"> so that the most fluorescent </w:t>
      </w:r>
      <w:r w:rsidR="00497F65" w:rsidRPr="00C96363">
        <w:rPr>
          <w:rFonts w:cs="Calibri"/>
          <w:sz w:val="24"/>
          <w:szCs w:val="24"/>
          <w:highlight w:val="yellow"/>
          <w:lang w:val="en-US"/>
        </w:rPr>
        <w:t xml:space="preserve">cells are within the range of the detector (not on the edge of the axis). Repeat for single </w:t>
      </w:r>
      <w:r w:rsidR="00C352CF" w:rsidRPr="00C96363">
        <w:rPr>
          <w:rFonts w:cs="Calibri"/>
          <w:sz w:val="24"/>
          <w:szCs w:val="24"/>
          <w:highlight w:val="yellow"/>
          <w:lang w:val="en-US"/>
        </w:rPr>
        <w:t xml:space="preserve">color </w:t>
      </w:r>
      <w:r w:rsidR="00497F65" w:rsidRPr="00C96363">
        <w:rPr>
          <w:rFonts w:cs="Calibri"/>
          <w:sz w:val="24"/>
          <w:szCs w:val="24"/>
          <w:highlight w:val="yellow"/>
          <w:lang w:val="en-US"/>
        </w:rPr>
        <w:t>RFP control.</w:t>
      </w:r>
    </w:p>
    <w:p w14:paraId="3719D4DB" w14:textId="77777777" w:rsidR="00811C08" w:rsidRPr="00C96363" w:rsidRDefault="00811C08" w:rsidP="00851755">
      <w:pPr>
        <w:pStyle w:val="NoSpacing"/>
        <w:jc w:val="both"/>
        <w:rPr>
          <w:rFonts w:cs="Calibri"/>
          <w:sz w:val="24"/>
          <w:szCs w:val="24"/>
          <w:highlight w:val="yellow"/>
          <w:lang w:val="en-US"/>
        </w:rPr>
      </w:pPr>
    </w:p>
    <w:p w14:paraId="7507A7AD" w14:textId="7541BBB2" w:rsidR="00D37458" w:rsidRPr="00C96363" w:rsidRDefault="00811C08"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Run automatic compensation using the </w:t>
      </w:r>
      <w:proofErr w:type="spellStart"/>
      <w:r w:rsidRPr="00C96363">
        <w:rPr>
          <w:rFonts w:cs="Calibri"/>
          <w:sz w:val="24"/>
          <w:szCs w:val="24"/>
          <w:highlight w:val="yellow"/>
          <w:lang w:val="en-US"/>
        </w:rPr>
        <w:t>untransduced</w:t>
      </w:r>
      <w:proofErr w:type="spellEnd"/>
      <w:r w:rsidRPr="00C96363">
        <w:rPr>
          <w:rFonts w:cs="Calibri"/>
          <w:sz w:val="24"/>
          <w:szCs w:val="24"/>
          <w:highlight w:val="yellow"/>
          <w:lang w:val="en-US"/>
        </w:rPr>
        <w:t xml:space="preserve">, uninfected and </w:t>
      </w:r>
      <w:r w:rsidR="00C96363" w:rsidRPr="00C96363">
        <w:rPr>
          <w:rFonts w:cs="Calibri"/>
          <w:sz w:val="24"/>
          <w:szCs w:val="24"/>
          <w:highlight w:val="yellow"/>
          <w:lang w:val="en-US"/>
        </w:rPr>
        <w:t>single-color</w:t>
      </w:r>
      <w:r w:rsidR="00C352CF" w:rsidRPr="00C96363">
        <w:rPr>
          <w:rFonts w:cs="Calibri"/>
          <w:sz w:val="24"/>
          <w:szCs w:val="24"/>
          <w:highlight w:val="yellow"/>
          <w:lang w:val="en-US"/>
        </w:rPr>
        <w:t xml:space="preserve"> </w:t>
      </w:r>
      <w:r w:rsidRPr="00C96363">
        <w:rPr>
          <w:rFonts w:cs="Calibri"/>
          <w:sz w:val="24"/>
          <w:szCs w:val="24"/>
          <w:highlight w:val="yellow"/>
          <w:lang w:val="en-US"/>
        </w:rPr>
        <w:t>controls.</w:t>
      </w:r>
    </w:p>
    <w:p w14:paraId="45A7C1F1" w14:textId="77777777" w:rsidR="008D6FA0" w:rsidRPr="00C96363" w:rsidRDefault="008D6FA0" w:rsidP="008D6FA0">
      <w:pPr>
        <w:pStyle w:val="NoSpacing"/>
        <w:jc w:val="both"/>
        <w:rPr>
          <w:rFonts w:cs="Calibri"/>
          <w:sz w:val="24"/>
          <w:szCs w:val="24"/>
          <w:highlight w:val="yellow"/>
          <w:lang w:val="en-US"/>
        </w:rPr>
      </w:pPr>
    </w:p>
    <w:p w14:paraId="6220F74B" w14:textId="33AED060" w:rsidR="00D37458" w:rsidRPr="00C96363" w:rsidRDefault="00811C08"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Select </w:t>
      </w:r>
      <w:r w:rsidR="00D37458" w:rsidRPr="00C96363">
        <w:rPr>
          <w:rFonts w:cs="Calibri"/>
          <w:b/>
          <w:bCs/>
          <w:sz w:val="24"/>
          <w:szCs w:val="24"/>
          <w:highlight w:val="yellow"/>
          <w:lang w:val="en-US"/>
        </w:rPr>
        <w:t>Experiment</w:t>
      </w:r>
      <w:r w:rsidR="003B58CE" w:rsidRPr="00C96363">
        <w:rPr>
          <w:rFonts w:cs="Calibri"/>
          <w:b/>
          <w:bCs/>
          <w:sz w:val="24"/>
          <w:szCs w:val="24"/>
          <w:highlight w:val="yellow"/>
          <w:lang w:val="en-US"/>
        </w:rPr>
        <w:t xml:space="preserve"> </w:t>
      </w:r>
      <w:r w:rsidRPr="00C96363">
        <w:rPr>
          <w:rFonts w:cs="Calibri"/>
          <w:sz w:val="24"/>
          <w:szCs w:val="24"/>
          <w:highlight w:val="yellow"/>
          <w:lang w:val="en-US"/>
        </w:rPr>
        <w:t>&gt;</w:t>
      </w:r>
      <w:r w:rsidR="003B58CE" w:rsidRPr="00C96363">
        <w:rPr>
          <w:rFonts w:cs="Calibri"/>
          <w:b/>
          <w:bCs/>
          <w:sz w:val="24"/>
          <w:szCs w:val="24"/>
          <w:highlight w:val="yellow"/>
          <w:lang w:val="en-US"/>
        </w:rPr>
        <w:t xml:space="preserve"> Compensation Setup</w:t>
      </w:r>
      <w:r w:rsidR="003B58CE" w:rsidRPr="00C96363">
        <w:rPr>
          <w:rFonts w:cs="Calibri"/>
          <w:sz w:val="24"/>
          <w:szCs w:val="24"/>
          <w:highlight w:val="yellow"/>
          <w:lang w:val="en-US"/>
        </w:rPr>
        <w:t xml:space="preserve"> </w:t>
      </w:r>
      <w:r w:rsidRPr="00C96363">
        <w:rPr>
          <w:rFonts w:cs="Calibri"/>
          <w:sz w:val="24"/>
          <w:szCs w:val="24"/>
          <w:highlight w:val="yellow"/>
          <w:lang w:val="en-US"/>
        </w:rPr>
        <w:t>&gt;</w:t>
      </w:r>
      <w:r w:rsidR="003B58CE" w:rsidRPr="00C96363">
        <w:rPr>
          <w:rFonts w:cs="Calibri"/>
          <w:b/>
          <w:bCs/>
          <w:sz w:val="24"/>
          <w:szCs w:val="24"/>
          <w:highlight w:val="yellow"/>
          <w:lang w:val="en-US"/>
        </w:rPr>
        <w:t xml:space="preserve"> Create Compensation Controls</w:t>
      </w:r>
      <w:r w:rsidR="003B58CE" w:rsidRPr="00C96363">
        <w:rPr>
          <w:rFonts w:cs="Calibri"/>
          <w:sz w:val="24"/>
          <w:szCs w:val="24"/>
          <w:highlight w:val="yellow"/>
          <w:lang w:val="en-US"/>
        </w:rPr>
        <w:t xml:space="preserve"> </w:t>
      </w:r>
      <w:r w:rsidR="00AE13A3" w:rsidRPr="00C96363">
        <w:rPr>
          <w:rFonts w:cs="Calibri"/>
          <w:sz w:val="24"/>
          <w:szCs w:val="24"/>
          <w:highlight w:val="yellow"/>
          <w:lang w:val="en-US"/>
        </w:rPr>
        <w:t>from the menu</w:t>
      </w:r>
      <w:r w:rsidR="003B58CE" w:rsidRPr="00C96363">
        <w:rPr>
          <w:rFonts w:cs="Calibri"/>
          <w:sz w:val="24"/>
          <w:szCs w:val="24"/>
          <w:highlight w:val="yellow"/>
          <w:lang w:val="en-US"/>
        </w:rPr>
        <w:t xml:space="preserve"> to</w:t>
      </w:r>
      <w:r w:rsidRPr="00C96363">
        <w:rPr>
          <w:rFonts w:cs="Calibri"/>
          <w:sz w:val="24"/>
          <w:szCs w:val="24"/>
          <w:highlight w:val="yellow"/>
          <w:lang w:val="en-US"/>
        </w:rPr>
        <w:t xml:space="preserve"> </w:t>
      </w:r>
      <w:r w:rsidR="00D37458" w:rsidRPr="00C96363">
        <w:rPr>
          <w:rFonts w:cs="Calibri"/>
          <w:sz w:val="24"/>
          <w:szCs w:val="24"/>
          <w:highlight w:val="yellow"/>
          <w:lang w:val="en-US"/>
        </w:rPr>
        <w:t xml:space="preserve">toggle to </w:t>
      </w:r>
      <w:r w:rsidRPr="00C96363">
        <w:rPr>
          <w:rFonts w:cs="Calibri"/>
          <w:sz w:val="24"/>
          <w:szCs w:val="24"/>
          <w:highlight w:val="yellow"/>
          <w:lang w:val="en-US"/>
        </w:rPr>
        <w:t>a</w:t>
      </w:r>
      <w:r w:rsidR="00AE13A3" w:rsidRPr="00C96363">
        <w:rPr>
          <w:rFonts w:cs="Calibri"/>
          <w:sz w:val="24"/>
          <w:szCs w:val="24"/>
          <w:highlight w:val="yellow"/>
          <w:lang w:val="en-US"/>
        </w:rPr>
        <w:t xml:space="preserve"> </w:t>
      </w:r>
      <w:r w:rsidR="00D37458" w:rsidRPr="00C96363">
        <w:rPr>
          <w:rFonts w:cs="Calibri"/>
          <w:sz w:val="24"/>
          <w:szCs w:val="24"/>
          <w:highlight w:val="yellow"/>
          <w:lang w:val="en-US"/>
        </w:rPr>
        <w:t>normal worksheet</w:t>
      </w:r>
      <w:r w:rsidR="00AE13A3" w:rsidRPr="00C96363">
        <w:rPr>
          <w:rFonts w:cs="Calibri"/>
          <w:sz w:val="24"/>
          <w:szCs w:val="24"/>
          <w:highlight w:val="yellow"/>
          <w:lang w:val="en-US"/>
        </w:rPr>
        <w:t xml:space="preserve">. </w:t>
      </w:r>
      <w:r w:rsidRPr="00C96363">
        <w:rPr>
          <w:rFonts w:cs="Calibri"/>
          <w:sz w:val="24"/>
          <w:szCs w:val="24"/>
          <w:highlight w:val="yellow"/>
          <w:lang w:val="en-US"/>
        </w:rPr>
        <w:t>Select</w:t>
      </w:r>
      <w:r w:rsidR="00D37458" w:rsidRPr="00C96363">
        <w:rPr>
          <w:rFonts w:cs="Calibri"/>
          <w:sz w:val="24"/>
          <w:szCs w:val="24"/>
          <w:highlight w:val="yellow"/>
          <w:lang w:val="en-US"/>
        </w:rPr>
        <w:t xml:space="preserve"> unstained normal worksheet</w:t>
      </w:r>
      <w:r w:rsidRPr="00C96363">
        <w:rPr>
          <w:rFonts w:cs="Calibri"/>
          <w:sz w:val="24"/>
          <w:szCs w:val="24"/>
          <w:highlight w:val="yellow"/>
          <w:lang w:val="en-US"/>
        </w:rPr>
        <w:t>,</w:t>
      </w:r>
      <w:r w:rsidR="00D37458" w:rsidRPr="00C96363">
        <w:rPr>
          <w:rFonts w:cs="Calibri"/>
          <w:sz w:val="24"/>
          <w:szCs w:val="24"/>
          <w:highlight w:val="yellow"/>
          <w:lang w:val="en-US"/>
        </w:rPr>
        <w:t xml:space="preserve"> </w:t>
      </w:r>
      <w:r w:rsidR="00497F65" w:rsidRPr="00C96363">
        <w:rPr>
          <w:rFonts w:cs="Calibri"/>
          <w:sz w:val="24"/>
          <w:szCs w:val="24"/>
          <w:highlight w:val="yellow"/>
          <w:lang w:val="en-US"/>
        </w:rPr>
        <w:t>press</w:t>
      </w:r>
      <w:r w:rsidR="003B58CE" w:rsidRPr="00C96363">
        <w:rPr>
          <w:rFonts w:cs="Calibri"/>
          <w:sz w:val="24"/>
          <w:szCs w:val="24"/>
          <w:highlight w:val="yellow"/>
          <w:lang w:val="en-US"/>
        </w:rPr>
        <w:t xml:space="preserve"> on</w:t>
      </w:r>
      <w:r w:rsidR="00497F65" w:rsidRPr="00C96363">
        <w:rPr>
          <w:rFonts w:cs="Calibri"/>
          <w:sz w:val="24"/>
          <w:szCs w:val="24"/>
          <w:highlight w:val="yellow"/>
          <w:lang w:val="en-US"/>
        </w:rPr>
        <w:t xml:space="preserve"> </w:t>
      </w:r>
      <w:proofErr w:type="gramStart"/>
      <w:r w:rsidR="003B58CE" w:rsidRPr="00C96363">
        <w:rPr>
          <w:rFonts w:cs="Calibri"/>
          <w:b/>
          <w:bCs/>
          <w:sz w:val="24"/>
          <w:szCs w:val="24"/>
          <w:highlight w:val="yellow"/>
          <w:lang w:val="en-US"/>
        </w:rPr>
        <w:t>Run</w:t>
      </w:r>
      <w:proofErr w:type="gramEnd"/>
      <w:r w:rsidR="003B58CE" w:rsidRPr="00C96363">
        <w:rPr>
          <w:rFonts w:cs="Calibri"/>
          <w:sz w:val="24"/>
          <w:szCs w:val="24"/>
          <w:highlight w:val="yellow"/>
          <w:lang w:val="en-US"/>
        </w:rPr>
        <w:t xml:space="preserve"> </w:t>
      </w:r>
      <w:r w:rsidR="00497F65" w:rsidRPr="00C96363">
        <w:rPr>
          <w:rFonts w:cs="Calibri"/>
          <w:sz w:val="24"/>
          <w:szCs w:val="24"/>
          <w:highlight w:val="yellow"/>
          <w:lang w:val="en-US"/>
        </w:rPr>
        <w:t xml:space="preserve">and </w:t>
      </w:r>
      <w:r w:rsidR="00D37458" w:rsidRPr="00C96363">
        <w:rPr>
          <w:rFonts w:cs="Calibri"/>
          <w:sz w:val="24"/>
          <w:szCs w:val="24"/>
          <w:highlight w:val="yellow"/>
          <w:lang w:val="en-US"/>
        </w:rPr>
        <w:t>acquire for the unstained control</w:t>
      </w:r>
      <w:r w:rsidR="008D6FA0" w:rsidRPr="00C96363">
        <w:rPr>
          <w:rFonts w:cs="Calibri"/>
          <w:sz w:val="24"/>
          <w:szCs w:val="24"/>
          <w:highlight w:val="yellow"/>
          <w:lang w:val="en-US"/>
        </w:rPr>
        <w:t>.</w:t>
      </w:r>
    </w:p>
    <w:p w14:paraId="448D8A7A" w14:textId="77777777" w:rsidR="008D6FA0" w:rsidRPr="00C96363" w:rsidRDefault="008D6FA0" w:rsidP="008D6FA0">
      <w:pPr>
        <w:pStyle w:val="NoSpacing"/>
        <w:jc w:val="both"/>
        <w:rPr>
          <w:rFonts w:cs="Calibri"/>
          <w:sz w:val="24"/>
          <w:szCs w:val="24"/>
          <w:highlight w:val="yellow"/>
          <w:lang w:val="en-US"/>
        </w:rPr>
      </w:pPr>
    </w:p>
    <w:p w14:paraId="367C4DDB" w14:textId="30925430" w:rsidR="00D37458" w:rsidRPr="00C96363" w:rsidRDefault="00AE13A3"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Draw a g</w:t>
      </w:r>
      <w:r w:rsidR="00D37458" w:rsidRPr="00C96363">
        <w:rPr>
          <w:rFonts w:cs="Calibri"/>
          <w:sz w:val="24"/>
          <w:szCs w:val="24"/>
          <w:highlight w:val="yellow"/>
          <w:lang w:val="en-US"/>
        </w:rPr>
        <w:t>ate</w:t>
      </w:r>
      <w:r w:rsidR="00811C08" w:rsidRPr="00C96363">
        <w:rPr>
          <w:rFonts w:cs="Calibri"/>
          <w:sz w:val="24"/>
          <w:szCs w:val="24"/>
          <w:highlight w:val="yellow"/>
          <w:lang w:val="en-US"/>
        </w:rPr>
        <w:t xml:space="preserve"> </w:t>
      </w:r>
      <w:r w:rsidRPr="00C96363">
        <w:rPr>
          <w:rFonts w:cs="Calibri"/>
          <w:sz w:val="24"/>
          <w:szCs w:val="24"/>
          <w:highlight w:val="yellow"/>
          <w:lang w:val="en-US"/>
        </w:rPr>
        <w:t>around</w:t>
      </w:r>
      <w:r w:rsidR="00811C08" w:rsidRPr="00C96363">
        <w:rPr>
          <w:rFonts w:cs="Calibri"/>
          <w:sz w:val="24"/>
          <w:szCs w:val="24"/>
          <w:highlight w:val="yellow"/>
          <w:lang w:val="en-US"/>
        </w:rPr>
        <w:t xml:space="preserve"> the intact cells</w:t>
      </w:r>
      <w:r w:rsidR="00497F65" w:rsidRPr="00C96363">
        <w:rPr>
          <w:rFonts w:cs="Calibri"/>
          <w:sz w:val="24"/>
          <w:szCs w:val="24"/>
          <w:highlight w:val="yellow"/>
          <w:lang w:val="en-US"/>
        </w:rPr>
        <w:t xml:space="preserve"> (P1)</w:t>
      </w:r>
      <w:r w:rsidR="00D37458" w:rsidRPr="00C96363">
        <w:rPr>
          <w:rFonts w:cs="Calibri"/>
          <w:sz w:val="24"/>
          <w:szCs w:val="24"/>
          <w:highlight w:val="yellow"/>
          <w:lang w:val="en-US"/>
        </w:rPr>
        <w:t xml:space="preserve"> and record</w:t>
      </w:r>
      <w:r w:rsidR="00497F65" w:rsidRPr="00C96363">
        <w:rPr>
          <w:rFonts w:cs="Calibri"/>
          <w:sz w:val="24"/>
          <w:szCs w:val="24"/>
          <w:highlight w:val="yellow"/>
          <w:lang w:val="en-US"/>
        </w:rPr>
        <w:t>. R</w:t>
      </w:r>
      <w:r w:rsidR="00D37458" w:rsidRPr="00C96363">
        <w:rPr>
          <w:rFonts w:cs="Calibri"/>
          <w:sz w:val="24"/>
          <w:szCs w:val="24"/>
          <w:highlight w:val="yellow"/>
          <w:lang w:val="en-US"/>
        </w:rPr>
        <w:t>emove</w:t>
      </w:r>
      <w:r w:rsidR="00A40153" w:rsidRPr="00C96363">
        <w:rPr>
          <w:rFonts w:cs="Calibri"/>
          <w:sz w:val="24"/>
          <w:szCs w:val="24"/>
          <w:highlight w:val="yellow"/>
          <w:lang w:val="en-US"/>
        </w:rPr>
        <w:t xml:space="preserve"> the</w:t>
      </w:r>
      <w:r w:rsidR="00D37458" w:rsidRPr="00C96363">
        <w:rPr>
          <w:rFonts w:cs="Calibri"/>
          <w:sz w:val="24"/>
          <w:szCs w:val="24"/>
          <w:highlight w:val="yellow"/>
          <w:lang w:val="en-US"/>
        </w:rPr>
        <w:t xml:space="preserve"> tube</w:t>
      </w:r>
      <w:r w:rsidR="00A40153" w:rsidRPr="00C96363">
        <w:rPr>
          <w:rFonts w:cs="Calibri"/>
          <w:sz w:val="24"/>
          <w:szCs w:val="24"/>
          <w:highlight w:val="yellow"/>
          <w:lang w:val="en-US"/>
        </w:rPr>
        <w:t xml:space="preserve"> and</w:t>
      </w:r>
      <w:r w:rsidR="00D37458" w:rsidRPr="00C96363">
        <w:rPr>
          <w:rFonts w:cs="Calibri"/>
          <w:sz w:val="24"/>
          <w:szCs w:val="24"/>
          <w:highlight w:val="yellow"/>
          <w:lang w:val="en-US"/>
        </w:rPr>
        <w:t xml:space="preserve"> put </w:t>
      </w:r>
      <w:r w:rsidR="00A40153" w:rsidRPr="00C96363">
        <w:rPr>
          <w:rFonts w:cs="Calibri"/>
          <w:sz w:val="24"/>
          <w:szCs w:val="24"/>
          <w:highlight w:val="yellow"/>
          <w:lang w:val="en-US"/>
        </w:rPr>
        <w:t xml:space="preserve">the </w:t>
      </w:r>
      <w:r w:rsidR="00811C08" w:rsidRPr="00C96363">
        <w:rPr>
          <w:rFonts w:cs="Calibri"/>
          <w:sz w:val="24"/>
          <w:szCs w:val="24"/>
          <w:highlight w:val="yellow"/>
          <w:lang w:val="en-US"/>
        </w:rPr>
        <w:t xml:space="preserve">machine </w:t>
      </w:r>
      <w:r w:rsidR="00D37458" w:rsidRPr="00C96363">
        <w:rPr>
          <w:rFonts w:cs="Calibri"/>
          <w:sz w:val="24"/>
          <w:szCs w:val="24"/>
          <w:highlight w:val="yellow"/>
          <w:lang w:val="en-US"/>
        </w:rPr>
        <w:t xml:space="preserve">on </w:t>
      </w:r>
      <w:r w:rsidR="003B58CE" w:rsidRPr="00C96363">
        <w:rPr>
          <w:rFonts w:cs="Calibri"/>
          <w:b/>
          <w:bCs/>
          <w:sz w:val="24"/>
          <w:szCs w:val="24"/>
          <w:highlight w:val="yellow"/>
          <w:lang w:val="en-US"/>
        </w:rPr>
        <w:t>Standby</w:t>
      </w:r>
      <w:r w:rsidRPr="00C96363">
        <w:rPr>
          <w:rFonts w:cs="Calibri"/>
          <w:sz w:val="24"/>
          <w:szCs w:val="24"/>
          <w:highlight w:val="yellow"/>
          <w:lang w:val="en-US"/>
        </w:rPr>
        <w:t xml:space="preserve">. </w:t>
      </w:r>
      <w:r w:rsidR="00497F65" w:rsidRPr="00C96363">
        <w:rPr>
          <w:rFonts w:cs="Calibri"/>
          <w:sz w:val="24"/>
          <w:szCs w:val="24"/>
          <w:highlight w:val="yellow"/>
          <w:lang w:val="en-US"/>
        </w:rPr>
        <w:t>R</w:t>
      </w:r>
      <w:r w:rsidR="00D37458" w:rsidRPr="00C96363">
        <w:rPr>
          <w:rFonts w:cs="Calibri"/>
          <w:sz w:val="24"/>
          <w:szCs w:val="24"/>
          <w:highlight w:val="yellow"/>
          <w:lang w:val="en-US"/>
        </w:rPr>
        <w:t xml:space="preserve">ight click </w:t>
      </w:r>
      <w:r w:rsidR="00C352CF" w:rsidRPr="00C96363">
        <w:rPr>
          <w:rFonts w:cs="Calibri"/>
          <w:sz w:val="24"/>
          <w:szCs w:val="24"/>
          <w:highlight w:val="yellow"/>
          <w:lang w:val="en-US"/>
        </w:rPr>
        <w:t xml:space="preserve">on </w:t>
      </w:r>
      <w:r w:rsidR="00D37458" w:rsidRPr="00C96363">
        <w:rPr>
          <w:rFonts w:cs="Calibri"/>
          <w:b/>
          <w:bCs/>
          <w:sz w:val="24"/>
          <w:szCs w:val="24"/>
          <w:highlight w:val="yellow"/>
          <w:lang w:val="en-US"/>
        </w:rPr>
        <w:t>P1</w:t>
      </w:r>
      <w:r w:rsidR="00D37458" w:rsidRPr="00C96363">
        <w:rPr>
          <w:rFonts w:cs="Calibri"/>
          <w:sz w:val="24"/>
          <w:szCs w:val="24"/>
          <w:highlight w:val="yellow"/>
          <w:lang w:val="en-US"/>
        </w:rPr>
        <w:t xml:space="preserve">, </w:t>
      </w:r>
      <w:r w:rsidR="00A40153" w:rsidRPr="00C96363">
        <w:rPr>
          <w:rFonts w:cs="Calibri"/>
          <w:sz w:val="24"/>
          <w:szCs w:val="24"/>
          <w:highlight w:val="yellow"/>
          <w:lang w:val="en-US"/>
        </w:rPr>
        <w:t>click</w:t>
      </w:r>
      <w:r w:rsidR="00C352CF" w:rsidRPr="00C96363">
        <w:rPr>
          <w:rFonts w:cs="Calibri"/>
          <w:sz w:val="24"/>
          <w:szCs w:val="24"/>
          <w:highlight w:val="yellow"/>
          <w:lang w:val="en-US"/>
        </w:rPr>
        <w:t xml:space="preserve"> on</w:t>
      </w:r>
      <w:r w:rsidR="00A40153" w:rsidRPr="00C96363">
        <w:rPr>
          <w:rFonts w:cs="Calibri"/>
          <w:sz w:val="24"/>
          <w:szCs w:val="24"/>
          <w:highlight w:val="yellow"/>
          <w:lang w:val="en-US"/>
        </w:rPr>
        <w:t xml:space="preserve"> </w:t>
      </w:r>
      <w:r w:rsidR="003B58CE" w:rsidRPr="00C96363">
        <w:rPr>
          <w:rFonts w:cs="Calibri"/>
          <w:b/>
          <w:bCs/>
          <w:sz w:val="24"/>
          <w:szCs w:val="24"/>
          <w:highlight w:val="yellow"/>
          <w:lang w:val="en-US"/>
        </w:rPr>
        <w:t xml:space="preserve">Apply </w:t>
      </w:r>
      <w:r w:rsidR="00D37458" w:rsidRPr="00C96363">
        <w:rPr>
          <w:rFonts w:cs="Calibri"/>
          <w:b/>
          <w:bCs/>
          <w:sz w:val="24"/>
          <w:szCs w:val="24"/>
          <w:highlight w:val="yellow"/>
          <w:lang w:val="en-US"/>
        </w:rPr>
        <w:t xml:space="preserve">to </w:t>
      </w:r>
      <w:r w:rsidR="003B58CE" w:rsidRPr="00C96363">
        <w:rPr>
          <w:rFonts w:cs="Calibri"/>
          <w:b/>
          <w:bCs/>
          <w:sz w:val="24"/>
          <w:szCs w:val="24"/>
          <w:highlight w:val="yellow"/>
          <w:lang w:val="en-US"/>
        </w:rPr>
        <w:t>All Compensation Controls</w:t>
      </w:r>
      <w:r w:rsidR="00A40153" w:rsidRPr="00C96363">
        <w:rPr>
          <w:rFonts w:cs="Calibri"/>
          <w:b/>
          <w:bCs/>
          <w:sz w:val="24"/>
          <w:szCs w:val="24"/>
          <w:highlight w:val="yellow"/>
          <w:lang w:val="en-US"/>
        </w:rPr>
        <w:t>.</w:t>
      </w:r>
    </w:p>
    <w:p w14:paraId="5A1BC577" w14:textId="77777777" w:rsidR="008D6FA0" w:rsidRPr="00C96363" w:rsidRDefault="008D6FA0" w:rsidP="008D6FA0">
      <w:pPr>
        <w:pStyle w:val="NoSpacing"/>
        <w:jc w:val="both"/>
        <w:rPr>
          <w:rFonts w:cs="Calibri"/>
          <w:sz w:val="24"/>
          <w:szCs w:val="24"/>
          <w:highlight w:val="yellow"/>
          <w:lang w:val="en-US"/>
        </w:rPr>
      </w:pPr>
    </w:p>
    <w:p w14:paraId="59C3A346" w14:textId="76496228" w:rsidR="00D37458" w:rsidRPr="00C96363" w:rsidRDefault="00497F65"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Switch</w:t>
      </w:r>
      <w:r w:rsidR="00D37458" w:rsidRPr="00C96363">
        <w:rPr>
          <w:rFonts w:cs="Calibri"/>
          <w:sz w:val="24"/>
          <w:szCs w:val="24"/>
          <w:highlight w:val="yellow"/>
          <w:lang w:val="en-US"/>
        </w:rPr>
        <w:t xml:space="preserve"> to </w:t>
      </w:r>
      <w:r w:rsidR="00AE13A3" w:rsidRPr="00C96363">
        <w:rPr>
          <w:rFonts w:cs="Calibri"/>
          <w:sz w:val="24"/>
          <w:szCs w:val="24"/>
          <w:highlight w:val="yellow"/>
          <w:lang w:val="en-US"/>
        </w:rPr>
        <w:t xml:space="preserve">the </w:t>
      </w:r>
      <w:r w:rsidRPr="00C96363">
        <w:rPr>
          <w:rFonts w:cs="Calibri"/>
          <w:sz w:val="24"/>
          <w:szCs w:val="24"/>
          <w:highlight w:val="yellow"/>
          <w:lang w:val="en-US"/>
        </w:rPr>
        <w:t>R</w:t>
      </w:r>
      <w:r w:rsidR="00D37458" w:rsidRPr="00C96363">
        <w:rPr>
          <w:rFonts w:cs="Calibri"/>
          <w:sz w:val="24"/>
          <w:szCs w:val="24"/>
          <w:highlight w:val="yellow"/>
          <w:lang w:val="en-US"/>
        </w:rPr>
        <w:t xml:space="preserve">FP normal worksheet, </w:t>
      </w:r>
      <w:r w:rsidRPr="00C96363">
        <w:rPr>
          <w:rFonts w:cs="Calibri"/>
          <w:sz w:val="24"/>
          <w:szCs w:val="24"/>
          <w:highlight w:val="yellow"/>
          <w:lang w:val="en-US"/>
        </w:rPr>
        <w:t xml:space="preserve">press </w:t>
      </w:r>
      <w:r w:rsidR="003B58CE" w:rsidRPr="00C96363">
        <w:rPr>
          <w:rFonts w:cs="Calibri"/>
          <w:b/>
          <w:bCs/>
          <w:sz w:val="24"/>
          <w:szCs w:val="24"/>
          <w:highlight w:val="yellow"/>
          <w:lang w:val="en-US"/>
        </w:rPr>
        <w:t>Run</w:t>
      </w:r>
      <w:r w:rsidRPr="00C96363">
        <w:rPr>
          <w:rFonts w:cs="Calibri"/>
          <w:sz w:val="24"/>
          <w:szCs w:val="24"/>
          <w:highlight w:val="yellow"/>
          <w:lang w:val="en-US"/>
        </w:rPr>
        <w:t xml:space="preserve">, record </w:t>
      </w:r>
      <w:r w:rsidR="00AE13A3" w:rsidRPr="00C96363">
        <w:rPr>
          <w:rFonts w:cs="Calibri"/>
          <w:sz w:val="24"/>
          <w:szCs w:val="24"/>
          <w:highlight w:val="yellow"/>
          <w:lang w:val="en-US"/>
        </w:rPr>
        <w:t xml:space="preserve">the </w:t>
      </w:r>
      <w:r w:rsidR="00C96363" w:rsidRPr="00C96363">
        <w:rPr>
          <w:rFonts w:cs="Calibri"/>
          <w:sz w:val="24"/>
          <w:szCs w:val="24"/>
          <w:highlight w:val="yellow"/>
          <w:lang w:val="en-US"/>
        </w:rPr>
        <w:t>single-color</w:t>
      </w:r>
      <w:r w:rsidR="00C352CF" w:rsidRPr="00C96363">
        <w:rPr>
          <w:rFonts w:cs="Calibri"/>
          <w:sz w:val="24"/>
          <w:szCs w:val="24"/>
          <w:highlight w:val="yellow"/>
          <w:lang w:val="en-US"/>
        </w:rPr>
        <w:t xml:space="preserve"> </w:t>
      </w:r>
      <w:r w:rsidRPr="00C96363">
        <w:rPr>
          <w:rFonts w:cs="Calibri"/>
          <w:sz w:val="24"/>
          <w:szCs w:val="24"/>
          <w:highlight w:val="yellow"/>
          <w:lang w:val="en-US"/>
        </w:rPr>
        <w:t xml:space="preserve">RFP control, put machine on </w:t>
      </w:r>
      <w:r w:rsidR="003B58CE" w:rsidRPr="00C96363">
        <w:rPr>
          <w:rFonts w:cs="Calibri"/>
          <w:b/>
          <w:bCs/>
          <w:sz w:val="24"/>
          <w:szCs w:val="24"/>
          <w:highlight w:val="yellow"/>
          <w:lang w:val="en-US"/>
        </w:rPr>
        <w:t>Standby</w:t>
      </w:r>
      <w:r w:rsidR="003B58CE" w:rsidRPr="00C96363">
        <w:rPr>
          <w:rFonts w:cs="Calibri"/>
          <w:sz w:val="24"/>
          <w:szCs w:val="24"/>
          <w:highlight w:val="yellow"/>
          <w:lang w:val="en-US"/>
        </w:rPr>
        <w:t xml:space="preserve"> to</w:t>
      </w:r>
      <w:r w:rsidRPr="00C96363">
        <w:rPr>
          <w:rFonts w:cs="Calibri"/>
          <w:sz w:val="24"/>
          <w:szCs w:val="24"/>
          <w:highlight w:val="yellow"/>
          <w:lang w:val="en-US"/>
        </w:rPr>
        <w:t xml:space="preserve"> automatically select the positive populations.</w:t>
      </w:r>
    </w:p>
    <w:p w14:paraId="4ECF766B" w14:textId="77777777" w:rsidR="008D6FA0" w:rsidRPr="00C96363" w:rsidRDefault="008D6FA0" w:rsidP="008D6FA0">
      <w:pPr>
        <w:pStyle w:val="NoSpacing"/>
        <w:jc w:val="both"/>
        <w:rPr>
          <w:rFonts w:cs="Calibri"/>
          <w:sz w:val="24"/>
          <w:szCs w:val="24"/>
          <w:highlight w:val="yellow"/>
          <w:lang w:val="en-US"/>
        </w:rPr>
      </w:pPr>
    </w:p>
    <w:p w14:paraId="70C9BA99" w14:textId="3F572615" w:rsidR="00D37458" w:rsidRPr="00C96363" w:rsidRDefault="00497F65" w:rsidP="00851755">
      <w:pPr>
        <w:pStyle w:val="NoSpacing"/>
        <w:numPr>
          <w:ilvl w:val="2"/>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Repeat for </w:t>
      </w:r>
      <w:r w:rsidR="00D37458" w:rsidRPr="00C96363">
        <w:rPr>
          <w:rFonts w:cs="Calibri"/>
          <w:sz w:val="24"/>
          <w:szCs w:val="24"/>
          <w:highlight w:val="yellow"/>
          <w:lang w:val="en-US"/>
        </w:rPr>
        <w:t>YFP</w:t>
      </w:r>
      <w:r w:rsidRPr="00C96363">
        <w:rPr>
          <w:rFonts w:cs="Calibri"/>
          <w:sz w:val="24"/>
          <w:szCs w:val="24"/>
          <w:highlight w:val="yellow"/>
          <w:lang w:val="en-US"/>
        </w:rPr>
        <w:t xml:space="preserve"> single </w:t>
      </w:r>
      <w:r w:rsidR="00C352CF" w:rsidRPr="00C96363">
        <w:rPr>
          <w:rFonts w:cs="Calibri"/>
          <w:sz w:val="24"/>
          <w:szCs w:val="24"/>
          <w:highlight w:val="yellow"/>
          <w:lang w:val="en-US"/>
        </w:rPr>
        <w:t xml:space="preserve">color </w:t>
      </w:r>
      <w:r w:rsidRPr="00C96363">
        <w:rPr>
          <w:rFonts w:cs="Calibri"/>
          <w:sz w:val="24"/>
          <w:szCs w:val="24"/>
          <w:highlight w:val="yellow"/>
          <w:lang w:val="en-US"/>
        </w:rPr>
        <w:t>control</w:t>
      </w:r>
      <w:r w:rsidR="00AE13A3" w:rsidRPr="00C96363">
        <w:rPr>
          <w:rFonts w:cs="Calibri"/>
          <w:sz w:val="24"/>
          <w:szCs w:val="24"/>
          <w:highlight w:val="yellow"/>
          <w:lang w:val="en-US"/>
        </w:rPr>
        <w:t xml:space="preserve">. </w:t>
      </w:r>
      <w:r w:rsidRPr="00C96363">
        <w:rPr>
          <w:rFonts w:cs="Calibri"/>
          <w:sz w:val="24"/>
          <w:szCs w:val="24"/>
          <w:highlight w:val="yellow"/>
          <w:lang w:val="en-US"/>
        </w:rPr>
        <w:t xml:space="preserve">Select </w:t>
      </w:r>
      <w:r w:rsidRPr="00C96363">
        <w:rPr>
          <w:rFonts w:cs="Calibri"/>
          <w:b/>
          <w:bCs/>
          <w:sz w:val="24"/>
          <w:szCs w:val="24"/>
          <w:highlight w:val="yellow"/>
          <w:lang w:val="en-US"/>
        </w:rPr>
        <w:t>E</w:t>
      </w:r>
      <w:r w:rsidR="00D37458" w:rsidRPr="00C96363">
        <w:rPr>
          <w:rFonts w:cs="Calibri"/>
          <w:b/>
          <w:bCs/>
          <w:sz w:val="24"/>
          <w:szCs w:val="24"/>
          <w:highlight w:val="yellow"/>
          <w:lang w:val="en-US"/>
        </w:rPr>
        <w:t>xperiment</w:t>
      </w:r>
      <w:r w:rsidR="003B58CE" w:rsidRPr="00C96363">
        <w:rPr>
          <w:rFonts w:cs="Calibri"/>
          <w:b/>
          <w:bCs/>
          <w:sz w:val="24"/>
          <w:szCs w:val="24"/>
          <w:highlight w:val="yellow"/>
          <w:lang w:val="en-US"/>
        </w:rPr>
        <w:t xml:space="preserve"> </w:t>
      </w:r>
      <w:r w:rsidRPr="00C96363">
        <w:rPr>
          <w:rFonts w:cs="Calibri"/>
          <w:sz w:val="24"/>
          <w:szCs w:val="24"/>
          <w:highlight w:val="yellow"/>
          <w:lang w:val="en-US"/>
        </w:rPr>
        <w:t>&gt;</w:t>
      </w:r>
      <w:r w:rsidR="003B58CE" w:rsidRPr="00C96363">
        <w:rPr>
          <w:rFonts w:cs="Calibri"/>
          <w:b/>
          <w:bCs/>
          <w:sz w:val="24"/>
          <w:szCs w:val="24"/>
          <w:highlight w:val="yellow"/>
          <w:lang w:val="en-US"/>
        </w:rPr>
        <w:t xml:space="preserve"> </w:t>
      </w:r>
      <w:r w:rsidR="00D37458" w:rsidRPr="00C96363">
        <w:rPr>
          <w:rFonts w:cs="Calibri"/>
          <w:b/>
          <w:bCs/>
          <w:sz w:val="24"/>
          <w:szCs w:val="24"/>
          <w:highlight w:val="yellow"/>
          <w:lang w:val="en-US"/>
        </w:rPr>
        <w:t xml:space="preserve">Compensation </w:t>
      </w:r>
      <w:r w:rsidR="003B58CE" w:rsidRPr="00C96363">
        <w:rPr>
          <w:rFonts w:cs="Calibri"/>
          <w:b/>
          <w:bCs/>
          <w:sz w:val="24"/>
          <w:szCs w:val="24"/>
          <w:highlight w:val="yellow"/>
          <w:lang w:val="en-US"/>
        </w:rPr>
        <w:t xml:space="preserve">Setup </w:t>
      </w:r>
      <w:r w:rsidRPr="00C96363">
        <w:rPr>
          <w:rFonts w:cs="Calibri"/>
          <w:sz w:val="24"/>
          <w:szCs w:val="24"/>
          <w:highlight w:val="yellow"/>
          <w:lang w:val="en-US"/>
        </w:rPr>
        <w:t>&gt;</w:t>
      </w:r>
      <w:r w:rsidR="003B58CE" w:rsidRPr="00C96363">
        <w:rPr>
          <w:rFonts w:cs="Calibri"/>
          <w:sz w:val="24"/>
          <w:szCs w:val="24"/>
          <w:highlight w:val="yellow"/>
          <w:lang w:val="en-US"/>
        </w:rPr>
        <w:t xml:space="preserve"> </w:t>
      </w:r>
      <w:r w:rsidR="003B58CE" w:rsidRPr="00C96363">
        <w:rPr>
          <w:rFonts w:cs="Calibri"/>
          <w:b/>
          <w:bCs/>
          <w:sz w:val="24"/>
          <w:szCs w:val="24"/>
          <w:highlight w:val="yellow"/>
          <w:lang w:val="en-US"/>
        </w:rPr>
        <w:t xml:space="preserve">Calculate Compensation </w:t>
      </w:r>
      <w:r w:rsidRPr="00C96363">
        <w:rPr>
          <w:rFonts w:cs="Calibri"/>
          <w:sz w:val="24"/>
          <w:szCs w:val="24"/>
          <w:highlight w:val="yellow"/>
          <w:lang w:val="en-US"/>
        </w:rPr>
        <w:t>&gt;</w:t>
      </w:r>
      <w:r w:rsidR="003B58CE" w:rsidRPr="00C96363">
        <w:rPr>
          <w:rFonts w:cs="Calibri"/>
          <w:b/>
          <w:bCs/>
          <w:sz w:val="24"/>
          <w:szCs w:val="24"/>
          <w:highlight w:val="yellow"/>
          <w:lang w:val="en-US"/>
        </w:rPr>
        <w:t xml:space="preserve"> </w:t>
      </w:r>
      <w:r w:rsidR="00D37458" w:rsidRPr="00C96363">
        <w:rPr>
          <w:rFonts w:cs="Calibri"/>
          <w:b/>
          <w:bCs/>
          <w:sz w:val="24"/>
          <w:szCs w:val="24"/>
          <w:highlight w:val="yellow"/>
          <w:lang w:val="en-US"/>
        </w:rPr>
        <w:t>Link and Save</w:t>
      </w:r>
      <w:r w:rsidR="003B58CE" w:rsidRPr="00C96363">
        <w:rPr>
          <w:rFonts w:cs="Calibri"/>
          <w:sz w:val="24"/>
          <w:szCs w:val="24"/>
          <w:highlight w:val="yellow"/>
          <w:lang w:val="en-US"/>
        </w:rPr>
        <w:t>.</w:t>
      </w:r>
    </w:p>
    <w:p w14:paraId="06086E8E" w14:textId="77777777" w:rsidR="00497F65" w:rsidRPr="00C96363" w:rsidRDefault="00497F65" w:rsidP="00851755">
      <w:pPr>
        <w:pStyle w:val="NoSpacing"/>
        <w:jc w:val="both"/>
        <w:rPr>
          <w:rFonts w:cs="Calibri"/>
          <w:sz w:val="24"/>
          <w:szCs w:val="24"/>
          <w:highlight w:val="yellow"/>
          <w:lang w:val="en-US"/>
        </w:rPr>
      </w:pPr>
    </w:p>
    <w:p w14:paraId="0C85F184" w14:textId="18244DA1" w:rsidR="00663934" w:rsidRPr="00C96363" w:rsidRDefault="007740A3"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Switch</w:t>
      </w:r>
      <w:r w:rsidR="00D37458" w:rsidRPr="00C96363">
        <w:rPr>
          <w:rFonts w:cs="Calibri"/>
          <w:sz w:val="24"/>
          <w:szCs w:val="24"/>
          <w:highlight w:val="yellow"/>
          <w:lang w:val="en-US"/>
        </w:rPr>
        <w:t xml:space="preserve"> to the global worksheet. </w:t>
      </w:r>
      <w:r w:rsidR="00497F65" w:rsidRPr="00C96363">
        <w:rPr>
          <w:rFonts w:cs="Calibri"/>
          <w:b/>
          <w:bCs/>
          <w:sz w:val="24"/>
          <w:szCs w:val="24"/>
          <w:highlight w:val="yellow"/>
          <w:lang w:val="en-US"/>
        </w:rPr>
        <w:t>Acquire</w:t>
      </w:r>
      <w:r w:rsidR="00497F65" w:rsidRPr="00C96363">
        <w:rPr>
          <w:rFonts w:cs="Calibri"/>
          <w:sz w:val="24"/>
          <w:szCs w:val="24"/>
          <w:highlight w:val="yellow"/>
          <w:lang w:val="en-US"/>
        </w:rPr>
        <w:t xml:space="preserve"> </w:t>
      </w:r>
      <w:r w:rsidR="003B58CE" w:rsidRPr="00C96363">
        <w:rPr>
          <w:rFonts w:cs="Calibri"/>
          <w:sz w:val="24"/>
          <w:szCs w:val="24"/>
          <w:highlight w:val="yellow"/>
          <w:lang w:val="en-US"/>
        </w:rPr>
        <w:t xml:space="preserve">the </w:t>
      </w:r>
      <w:r w:rsidR="00497F65" w:rsidRPr="00C96363">
        <w:rPr>
          <w:rFonts w:cs="Calibri"/>
          <w:sz w:val="24"/>
          <w:szCs w:val="24"/>
          <w:highlight w:val="yellow"/>
          <w:lang w:val="en-US"/>
        </w:rPr>
        <w:t>cells transduced with wild type SAMHD1, infected with HIV-RFP and check that four distinct populations</w:t>
      </w:r>
      <w:r w:rsidR="004870A8" w:rsidRPr="00C96363">
        <w:rPr>
          <w:rFonts w:cs="Calibri"/>
          <w:sz w:val="24"/>
          <w:szCs w:val="24"/>
          <w:highlight w:val="yellow"/>
          <w:lang w:val="en-US"/>
        </w:rPr>
        <w:t xml:space="preserve"> can be seen</w:t>
      </w:r>
      <w:r w:rsidR="00497F65" w:rsidRPr="00C96363">
        <w:rPr>
          <w:rFonts w:cs="Calibri"/>
          <w:sz w:val="24"/>
          <w:szCs w:val="24"/>
          <w:highlight w:val="yellow"/>
          <w:lang w:val="en-US"/>
        </w:rPr>
        <w:t xml:space="preserve"> in the corners of the quadrants that are aligned vertically and horizontally for </w:t>
      </w:r>
      <w:r w:rsidR="00663934" w:rsidRPr="00C96363">
        <w:rPr>
          <w:rFonts w:cs="Calibri"/>
          <w:sz w:val="24"/>
          <w:szCs w:val="24"/>
          <w:highlight w:val="yellow"/>
          <w:lang w:val="en-US"/>
        </w:rPr>
        <w:t>YFP and RFP</w:t>
      </w:r>
      <w:r w:rsidR="004870A8" w:rsidRPr="00C96363">
        <w:rPr>
          <w:rFonts w:cs="Calibri"/>
          <w:sz w:val="24"/>
          <w:szCs w:val="24"/>
          <w:highlight w:val="yellow"/>
          <w:lang w:val="en-US"/>
        </w:rPr>
        <w:t>,</w:t>
      </w:r>
      <w:r w:rsidR="00663934" w:rsidRPr="00C96363">
        <w:rPr>
          <w:rFonts w:cs="Calibri"/>
          <w:sz w:val="24"/>
          <w:szCs w:val="24"/>
          <w:highlight w:val="yellow"/>
          <w:lang w:val="en-US"/>
        </w:rPr>
        <w:t xml:space="preserve"> respectively. </w:t>
      </w:r>
      <w:r w:rsidRPr="00C96363">
        <w:rPr>
          <w:rFonts w:cs="Calibri"/>
          <w:sz w:val="24"/>
          <w:szCs w:val="24"/>
          <w:highlight w:val="yellow"/>
          <w:lang w:val="en-US"/>
        </w:rPr>
        <w:t xml:space="preserve">Remove the tube and press </w:t>
      </w:r>
      <w:r w:rsidR="003B58CE" w:rsidRPr="00C96363">
        <w:rPr>
          <w:rFonts w:cs="Calibri"/>
          <w:b/>
          <w:bCs/>
          <w:sz w:val="24"/>
          <w:szCs w:val="24"/>
          <w:highlight w:val="yellow"/>
          <w:lang w:val="en-US"/>
        </w:rPr>
        <w:t>Standby</w:t>
      </w:r>
      <w:r w:rsidRPr="00C96363">
        <w:rPr>
          <w:rFonts w:cs="Calibri"/>
          <w:sz w:val="24"/>
          <w:szCs w:val="24"/>
          <w:highlight w:val="yellow"/>
          <w:lang w:val="en-US"/>
        </w:rPr>
        <w:t>.</w:t>
      </w:r>
    </w:p>
    <w:p w14:paraId="098F03B6" w14:textId="77777777" w:rsidR="0009193D" w:rsidRPr="00C96363" w:rsidRDefault="0009193D" w:rsidP="00851755">
      <w:pPr>
        <w:pStyle w:val="NoSpacing"/>
        <w:jc w:val="both"/>
        <w:rPr>
          <w:rFonts w:cs="Calibri"/>
          <w:sz w:val="24"/>
          <w:szCs w:val="24"/>
          <w:highlight w:val="yellow"/>
          <w:lang w:val="en-US"/>
        </w:rPr>
      </w:pPr>
    </w:p>
    <w:p w14:paraId="0F7098FA" w14:textId="60C86D6F" w:rsidR="00E717EA" w:rsidRPr="00C96363" w:rsidRDefault="00287D84"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Reload </w:t>
      </w:r>
      <w:r w:rsidR="007740A3" w:rsidRPr="00C96363">
        <w:rPr>
          <w:rFonts w:cs="Calibri"/>
          <w:sz w:val="24"/>
          <w:szCs w:val="24"/>
          <w:highlight w:val="yellow"/>
          <w:lang w:val="en-US"/>
        </w:rPr>
        <w:t xml:space="preserve">the </w:t>
      </w:r>
      <w:proofErr w:type="spellStart"/>
      <w:r w:rsidRPr="00C96363">
        <w:rPr>
          <w:rFonts w:cs="Calibri"/>
          <w:sz w:val="24"/>
          <w:szCs w:val="24"/>
          <w:highlight w:val="yellow"/>
          <w:lang w:val="en-US"/>
        </w:rPr>
        <w:t>untransduced</w:t>
      </w:r>
      <w:proofErr w:type="spellEnd"/>
      <w:r w:rsidRPr="00C96363">
        <w:rPr>
          <w:rFonts w:cs="Calibri"/>
          <w:sz w:val="24"/>
          <w:szCs w:val="24"/>
          <w:highlight w:val="yellow"/>
          <w:lang w:val="en-US"/>
        </w:rPr>
        <w:t xml:space="preserve">, uninfected sample, press </w:t>
      </w:r>
      <w:r w:rsidR="003B58CE" w:rsidRPr="00C96363">
        <w:rPr>
          <w:rFonts w:cs="Calibri"/>
          <w:b/>
          <w:bCs/>
          <w:sz w:val="24"/>
          <w:szCs w:val="24"/>
          <w:highlight w:val="yellow"/>
          <w:lang w:val="en-US"/>
        </w:rPr>
        <w:t>Run</w:t>
      </w:r>
      <w:r w:rsidR="003B58CE" w:rsidRPr="00C96363">
        <w:rPr>
          <w:rFonts w:cs="Calibri"/>
          <w:sz w:val="24"/>
          <w:szCs w:val="24"/>
          <w:highlight w:val="yellow"/>
          <w:lang w:val="en-US"/>
        </w:rPr>
        <w:t xml:space="preserve"> </w:t>
      </w:r>
      <w:r w:rsidRPr="00C96363">
        <w:rPr>
          <w:rFonts w:cs="Calibri"/>
          <w:sz w:val="24"/>
          <w:szCs w:val="24"/>
          <w:highlight w:val="yellow"/>
          <w:lang w:val="en-US"/>
        </w:rPr>
        <w:t xml:space="preserve">and </w:t>
      </w:r>
      <w:r w:rsidR="003B58CE" w:rsidRPr="00C96363">
        <w:rPr>
          <w:rFonts w:cs="Calibri"/>
          <w:b/>
          <w:bCs/>
          <w:sz w:val="24"/>
          <w:szCs w:val="24"/>
          <w:highlight w:val="yellow"/>
          <w:lang w:val="en-US"/>
        </w:rPr>
        <w:t>Record</w:t>
      </w:r>
      <w:r w:rsidR="003B58CE" w:rsidRPr="00C96363">
        <w:rPr>
          <w:rFonts w:cs="Calibri"/>
          <w:sz w:val="24"/>
          <w:szCs w:val="24"/>
          <w:highlight w:val="yellow"/>
          <w:lang w:val="en-US"/>
        </w:rPr>
        <w:t xml:space="preserve"> </w:t>
      </w:r>
      <w:r w:rsidRPr="00C96363">
        <w:rPr>
          <w:rFonts w:cs="Calibri"/>
          <w:sz w:val="24"/>
          <w:szCs w:val="24"/>
          <w:highlight w:val="yellow"/>
          <w:lang w:val="en-US"/>
        </w:rPr>
        <w:t xml:space="preserve">30,000 events with P1 as the stopping gate. </w:t>
      </w:r>
      <w:r w:rsidR="00816751" w:rsidRPr="00C96363">
        <w:rPr>
          <w:rFonts w:cs="Calibri"/>
          <w:sz w:val="24"/>
          <w:szCs w:val="24"/>
          <w:highlight w:val="yellow"/>
          <w:lang w:val="en-US"/>
        </w:rPr>
        <w:t xml:space="preserve">Repeat for the remaining samples (including other controls). </w:t>
      </w:r>
      <w:r w:rsidR="003B58CE" w:rsidRPr="00C96363">
        <w:rPr>
          <w:rFonts w:cs="Calibri"/>
          <w:sz w:val="24"/>
          <w:szCs w:val="24"/>
          <w:highlight w:val="yellow"/>
          <w:lang w:val="en-US"/>
        </w:rPr>
        <w:t>Rename the s</w:t>
      </w:r>
      <w:r w:rsidR="00816751" w:rsidRPr="00C96363">
        <w:rPr>
          <w:rFonts w:cs="Calibri"/>
          <w:sz w:val="24"/>
          <w:szCs w:val="24"/>
          <w:highlight w:val="yellow"/>
          <w:lang w:val="en-US"/>
        </w:rPr>
        <w:t xml:space="preserve">amples </w:t>
      </w:r>
      <w:r w:rsidR="003B58CE" w:rsidRPr="00C96363">
        <w:rPr>
          <w:rFonts w:cs="Calibri"/>
          <w:sz w:val="24"/>
          <w:szCs w:val="24"/>
          <w:highlight w:val="yellow"/>
          <w:lang w:val="en-US"/>
        </w:rPr>
        <w:t>while</w:t>
      </w:r>
      <w:r w:rsidR="00816751" w:rsidRPr="00C96363">
        <w:rPr>
          <w:rFonts w:cs="Calibri"/>
          <w:sz w:val="24"/>
          <w:szCs w:val="24"/>
          <w:highlight w:val="yellow"/>
          <w:lang w:val="en-US"/>
        </w:rPr>
        <w:t xml:space="preserve"> running or </w:t>
      </w:r>
      <w:r w:rsidR="00816751" w:rsidRPr="00C96363">
        <w:rPr>
          <w:rFonts w:cs="Calibri"/>
          <w:i/>
          <w:iCs/>
          <w:sz w:val="24"/>
          <w:szCs w:val="24"/>
          <w:highlight w:val="yellow"/>
          <w:lang w:val="en-US"/>
        </w:rPr>
        <w:t>post hoc</w:t>
      </w:r>
      <w:r w:rsidR="00816751" w:rsidRPr="00C96363">
        <w:rPr>
          <w:rFonts w:cs="Calibri"/>
          <w:sz w:val="24"/>
          <w:szCs w:val="24"/>
          <w:highlight w:val="yellow"/>
          <w:lang w:val="en-US"/>
        </w:rPr>
        <w:t>.</w:t>
      </w:r>
      <w:r w:rsidR="007740A3" w:rsidRPr="00C96363">
        <w:rPr>
          <w:rFonts w:cs="Calibri"/>
          <w:sz w:val="24"/>
          <w:szCs w:val="24"/>
          <w:highlight w:val="yellow"/>
          <w:lang w:val="en-US"/>
        </w:rPr>
        <w:t xml:space="preserve"> Once exported</w:t>
      </w:r>
      <w:r w:rsidR="003B58CE" w:rsidRPr="00C96363">
        <w:rPr>
          <w:rFonts w:cs="Calibri"/>
          <w:sz w:val="24"/>
          <w:szCs w:val="24"/>
          <w:highlight w:val="yellow"/>
          <w:lang w:val="en-US"/>
        </w:rPr>
        <w:t>,</w:t>
      </w:r>
      <w:r w:rsidR="007740A3" w:rsidRPr="00C96363">
        <w:rPr>
          <w:rFonts w:cs="Calibri"/>
          <w:sz w:val="24"/>
          <w:szCs w:val="24"/>
          <w:highlight w:val="yellow"/>
          <w:lang w:val="en-US"/>
        </w:rPr>
        <w:t xml:space="preserve"> </w:t>
      </w:r>
      <w:r w:rsidR="008D6FA0" w:rsidRPr="00C96363">
        <w:rPr>
          <w:rFonts w:cs="Calibri"/>
          <w:sz w:val="24"/>
          <w:szCs w:val="24"/>
          <w:highlight w:val="yellow"/>
          <w:lang w:val="en-US"/>
        </w:rPr>
        <w:t>files</w:t>
      </w:r>
      <w:r w:rsidR="007740A3" w:rsidRPr="00C96363">
        <w:rPr>
          <w:rFonts w:cs="Calibri"/>
          <w:sz w:val="24"/>
          <w:szCs w:val="24"/>
          <w:highlight w:val="yellow"/>
          <w:lang w:val="en-US"/>
        </w:rPr>
        <w:t xml:space="preserve"> </w:t>
      </w:r>
      <w:r w:rsidR="008D6FA0" w:rsidRPr="00C96363">
        <w:rPr>
          <w:rFonts w:cs="Calibri"/>
          <w:sz w:val="24"/>
          <w:szCs w:val="24"/>
          <w:highlight w:val="yellow"/>
          <w:lang w:val="en-US"/>
        </w:rPr>
        <w:t>cannot</w:t>
      </w:r>
      <w:r w:rsidR="007740A3" w:rsidRPr="00C96363">
        <w:rPr>
          <w:rFonts w:cs="Calibri"/>
          <w:sz w:val="24"/>
          <w:szCs w:val="24"/>
          <w:highlight w:val="yellow"/>
          <w:lang w:val="en-US"/>
        </w:rPr>
        <w:t xml:space="preserve"> be renamed.</w:t>
      </w:r>
    </w:p>
    <w:p w14:paraId="6DA97241" w14:textId="77777777" w:rsidR="0009193D" w:rsidRPr="00C96363" w:rsidRDefault="0009193D" w:rsidP="00851755">
      <w:pPr>
        <w:pStyle w:val="NoSpacing"/>
        <w:jc w:val="both"/>
        <w:rPr>
          <w:rFonts w:cs="Calibri"/>
          <w:sz w:val="24"/>
          <w:szCs w:val="24"/>
          <w:highlight w:val="yellow"/>
          <w:lang w:val="en-US"/>
        </w:rPr>
      </w:pPr>
    </w:p>
    <w:p w14:paraId="189113BD" w14:textId="32E0D356" w:rsidR="00816751" w:rsidRPr="00C96363" w:rsidRDefault="00816751"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Export </w:t>
      </w:r>
      <w:r w:rsidR="003B58CE" w:rsidRPr="00C96363">
        <w:rPr>
          <w:rFonts w:cs="Calibri"/>
          <w:sz w:val="24"/>
          <w:szCs w:val="24"/>
          <w:highlight w:val="yellow"/>
          <w:lang w:val="en-US"/>
        </w:rPr>
        <w:t xml:space="preserve">the </w:t>
      </w:r>
      <w:r w:rsidRPr="00C96363">
        <w:rPr>
          <w:rFonts w:cs="Calibri"/>
          <w:sz w:val="24"/>
          <w:szCs w:val="24"/>
          <w:highlight w:val="yellow"/>
          <w:lang w:val="en-US"/>
        </w:rPr>
        <w:t xml:space="preserve">data as .fcs files and </w:t>
      </w:r>
      <w:r w:rsidR="00DF2B65" w:rsidRPr="00C96363">
        <w:rPr>
          <w:rFonts w:cs="Calibri"/>
          <w:sz w:val="24"/>
          <w:szCs w:val="24"/>
          <w:highlight w:val="yellow"/>
          <w:lang w:val="en-US"/>
        </w:rPr>
        <w:t>clean the fluidics according to</w:t>
      </w:r>
      <w:r w:rsidR="004A4A05" w:rsidRPr="00C96363">
        <w:rPr>
          <w:rFonts w:cs="Calibri"/>
          <w:sz w:val="24"/>
          <w:szCs w:val="24"/>
          <w:highlight w:val="yellow"/>
          <w:lang w:val="en-US"/>
        </w:rPr>
        <w:t xml:space="preserve"> local</w:t>
      </w:r>
      <w:r w:rsidR="00DF2B65" w:rsidRPr="00C96363">
        <w:rPr>
          <w:rFonts w:cs="Calibri"/>
          <w:sz w:val="24"/>
          <w:szCs w:val="24"/>
          <w:highlight w:val="yellow"/>
          <w:lang w:val="en-US"/>
        </w:rPr>
        <w:t xml:space="preserve"> instructions.</w:t>
      </w:r>
    </w:p>
    <w:p w14:paraId="10AEF156" w14:textId="77777777" w:rsidR="007E6526" w:rsidRPr="003F7539" w:rsidRDefault="007E6526" w:rsidP="00851755">
      <w:pPr>
        <w:pStyle w:val="ListParagraph"/>
        <w:ind w:left="0"/>
        <w:rPr>
          <w:highlight w:val="yellow"/>
        </w:rPr>
      </w:pPr>
    </w:p>
    <w:p w14:paraId="226D2226" w14:textId="77777777" w:rsidR="00E717EA" w:rsidRPr="00C96363" w:rsidRDefault="007E6526" w:rsidP="00851755">
      <w:pPr>
        <w:pStyle w:val="NoSpacing"/>
        <w:numPr>
          <w:ilvl w:val="0"/>
          <w:numId w:val="32"/>
        </w:numPr>
        <w:ind w:left="0" w:firstLine="0"/>
        <w:jc w:val="both"/>
        <w:rPr>
          <w:rFonts w:cs="Calibri"/>
          <w:b/>
          <w:sz w:val="24"/>
          <w:szCs w:val="24"/>
          <w:highlight w:val="yellow"/>
          <w:lang w:val="en-US"/>
        </w:rPr>
      </w:pPr>
      <w:r w:rsidRPr="00C96363">
        <w:rPr>
          <w:rFonts w:cs="Calibri"/>
          <w:b/>
          <w:sz w:val="24"/>
          <w:szCs w:val="24"/>
          <w:highlight w:val="yellow"/>
          <w:lang w:val="en-US"/>
        </w:rPr>
        <w:t>Data a</w:t>
      </w:r>
      <w:r w:rsidR="00E717EA" w:rsidRPr="00C96363">
        <w:rPr>
          <w:rFonts w:cs="Calibri"/>
          <w:b/>
          <w:sz w:val="24"/>
          <w:szCs w:val="24"/>
          <w:highlight w:val="yellow"/>
          <w:lang w:val="en-US"/>
        </w:rPr>
        <w:t>nalysis</w:t>
      </w:r>
    </w:p>
    <w:p w14:paraId="4FC3BE3B" w14:textId="77777777" w:rsidR="0009193D" w:rsidRPr="00C96363" w:rsidRDefault="0009193D" w:rsidP="00851755">
      <w:pPr>
        <w:pStyle w:val="NoSpacing"/>
        <w:jc w:val="both"/>
        <w:rPr>
          <w:rFonts w:cs="Calibri"/>
          <w:b/>
          <w:sz w:val="24"/>
          <w:szCs w:val="24"/>
          <w:highlight w:val="yellow"/>
          <w:lang w:val="en-US"/>
        </w:rPr>
      </w:pPr>
    </w:p>
    <w:p w14:paraId="2365C0A4" w14:textId="0D5CBDBD" w:rsidR="00E717EA" w:rsidRPr="00C96363" w:rsidRDefault="00DB5BEA" w:rsidP="00851755">
      <w:pPr>
        <w:pStyle w:val="NoSpacing"/>
        <w:jc w:val="both"/>
        <w:rPr>
          <w:rFonts w:cs="Calibri"/>
          <w:sz w:val="24"/>
          <w:szCs w:val="24"/>
          <w:highlight w:val="yellow"/>
          <w:lang w:val="en-US"/>
        </w:rPr>
      </w:pPr>
      <w:r w:rsidRPr="00C96363">
        <w:rPr>
          <w:rFonts w:cs="Calibri"/>
          <w:sz w:val="24"/>
          <w:szCs w:val="24"/>
          <w:highlight w:val="yellow"/>
          <w:lang w:val="en-US"/>
        </w:rPr>
        <w:t xml:space="preserve">NOTE: The </w:t>
      </w:r>
      <w:r w:rsidR="00A40153" w:rsidRPr="00C96363">
        <w:rPr>
          <w:rFonts w:cs="Calibri"/>
          <w:sz w:val="24"/>
          <w:szCs w:val="24"/>
          <w:highlight w:val="yellow"/>
          <w:lang w:val="en-US"/>
        </w:rPr>
        <w:t>steps</w:t>
      </w:r>
      <w:r w:rsidRPr="00C96363">
        <w:rPr>
          <w:rFonts w:cs="Calibri"/>
          <w:sz w:val="24"/>
          <w:szCs w:val="24"/>
          <w:highlight w:val="yellow"/>
          <w:lang w:val="en-US"/>
        </w:rPr>
        <w:t xml:space="preserve"> that follow</w:t>
      </w:r>
      <w:r w:rsidR="00A40153" w:rsidRPr="00C96363">
        <w:rPr>
          <w:rFonts w:cs="Calibri"/>
          <w:sz w:val="24"/>
          <w:szCs w:val="24"/>
          <w:highlight w:val="yellow"/>
          <w:lang w:val="en-US"/>
        </w:rPr>
        <w:t xml:space="preserve"> correspond to</w:t>
      </w:r>
      <w:r w:rsidRPr="00C96363">
        <w:rPr>
          <w:rFonts w:cs="Calibri"/>
          <w:sz w:val="24"/>
          <w:szCs w:val="24"/>
          <w:highlight w:val="yellow"/>
          <w:lang w:val="en-US"/>
        </w:rPr>
        <w:t xml:space="preserve"> </w:t>
      </w:r>
      <w:r w:rsidR="00AB7B5F" w:rsidRPr="00C96363">
        <w:rPr>
          <w:rFonts w:cs="Calibri"/>
          <w:sz w:val="24"/>
          <w:szCs w:val="24"/>
          <w:highlight w:val="yellow"/>
          <w:lang w:val="en-US"/>
        </w:rPr>
        <w:t>analys</w:t>
      </w:r>
      <w:r w:rsidR="00A40153" w:rsidRPr="00C96363">
        <w:rPr>
          <w:rFonts w:cs="Calibri"/>
          <w:sz w:val="24"/>
          <w:szCs w:val="24"/>
          <w:highlight w:val="yellow"/>
          <w:lang w:val="en-US"/>
        </w:rPr>
        <w:t>i</w:t>
      </w:r>
      <w:r w:rsidR="00AB7B5F" w:rsidRPr="00C96363">
        <w:rPr>
          <w:rFonts w:cs="Calibri"/>
          <w:sz w:val="24"/>
          <w:szCs w:val="24"/>
          <w:highlight w:val="yellow"/>
          <w:lang w:val="en-US"/>
        </w:rPr>
        <w:t xml:space="preserve">s in </w:t>
      </w:r>
      <w:proofErr w:type="spellStart"/>
      <w:r w:rsidR="00AB7B5F" w:rsidRPr="00C96363">
        <w:rPr>
          <w:rFonts w:cs="Calibri"/>
          <w:sz w:val="24"/>
          <w:szCs w:val="24"/>
          <w:highlight w:val="yellow"/>
          <w:lang w:val="en-US"/>
        </w:rPr>
        <w:t>FlowJo</w:t>
      </w:r>
      <w:proofErr w:type="spellEnd"/>
      <w:r w:rsidR="005230EF" w:rsidRPr="00C96363">
        <w:rPr>
          <w:rFonts w:cs="Calibri"/>
          <w:sz w:val="24"/>
          <w:szCs w:val="24"/>
          <w:highlight w:val="yellow"/>
          <w:lang w:val="en-US"/>
        </w:rPr>
        <w:t xml:space="preserve"> v10</w:t>
      </w:r>
      <w:r w:rsidR="00C352CF" w:rsidRPr="00C96363">
        <w:rPr>
          <w:rFonts w:cs="Calibri"/>
          <w:sz w:val="24"/>
          <w:szCs w:val="24"/>
          <w:highlight w:val="yellow"/>
          <w:lang w:val="en-US"/>
        </w:rPr>
        <w:t>;</w:t>
      </w:r>
      <w:r w:rsidR="00AB7B5F" w:rsidRPr="00C96363">
        <w:rPr>
          <w:rFonts w:cs="Calibri"/>
          <w:sz w:val="24"/>
          <w:szCs w:val="24"/>
          <w:highlight w:val="yellow"/>
          <w:lang w:val="en-US"/>
        </w:rPr>
        <w:t xml:space="preserve"> however</w:t>
      </w:r>
      <w:r w:rsidR="00A40153" w:rsidRPr="00C96363">
        <w:rPr>
          <w:rFonts w:cs="Calibri"/>
          <w:sz w:val="24"/>
          <w:szCs w:val="24"/>
          <w:highlight w:val="yellow"/>
          <w:lang w:val="en-US"/>
        </w:rPr>
        <w:t>,</w:t>
      </w:r>
      <w:r w:rsidR="00AB7B5F" w:rsidRPr="00C96363">
        <w:rPr>
          <w:rFonts w:cs="Calibri"/>
          <w:sz w:val="24"/>
          <w:szCs w:val="24"/>
          <w:highlight w:val="yellow"/>
          <w:lang w:val="en-US"/>
        </w:rPr>
        <w:t xml:space="preserve"> equivalent steps can easily be performed in other analysis software.</w:t>
      </w:r>
    </w:p>
    <w:p w14:paraId="119C19F0" w14:textId="77777777" w:rsidR="005230EF" w:rsidRPr="00C96363" w:rsidRDefault="005230EF" w:rsidP="00851755">
      <w:pPr>
        <w:pStyle w:val="NoSpacing"/>
        <w:jc w:val="both"/>
        <w:rPr>
          <w:rFonts w:cs="Calibri"/>
          <w:sz w:val="24"/>
          <w:szCs w:val="24"/>
          <w:highlight w:val="yellow"/>
          <w:lang w:val="en-US"/>
        </w:rPr>
      </w:pPr>
    </w:p>
    <w:p w14:paraId="5E2AA163" w14:textId="39E7A16D" w:rsidR="00E717EA" w:rsidRPr="00C96363" w:rsidRDefault="005230EF"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Open the software and drag all .fcs files into the dashboard</w:t>
      </w:r>
      <w:r w:rsidR="007740A3" w:rsidRPr="00C96363">
        <w:rPr>
          <w:rFonts w:cs="Calibri"/>
          <w:sz w:val="24"/>
          <w:szCs w:val="24"/>
          <w:highlight w:val="yellow"/>
          <w:lang w:val="en-US"/>
        </w:rPr>
        <w:t xml:space="preserve">. </w:t>
      </w:r>
      <w:r w:rsidR="006A6214" w:rsidRPr="00C96363">
        <w:rPr>
          <w:rFonts w:cs="Calibri"/>
          <w:sz w:val="24"/>
          <w:szCs w:val="24"/>
          <w:highlight w:val="yellow"/>
          <w:lang w:val="en-US"/>
        </w:rPr>
        <w:t xml:space="preserve">Select </w:t>
      </w:r>
      <w:r w:rsidR="00D90B34" w:rsidRPr="00C96363">
        <w:rPr>
          <w:rFonts w:cs="Calibri"/>
          <w:sz w:val="24"/>
          <w:szCs w:val="24"/>
          <w:highlight w:val="yellow"/>
          <w:lang w:val="en-US"/>
        </w:rPr>
        <w:t>the</w:t>
      </w:r>
      <w:r w:rsidR="006A6214" w:rsidRPr="00C96363">
        <w:rPr>
          <w:rFonts w:cs="Calibri"/>
          <w:sz w:val="24"/>
          <w:szCs w:val="24"/>
          <w:highlight w:val="yellow"/>
          <w:lang w:val="en-US"/>
        </w:rPr>
        <w:t xml:space="preserve"> compensation controls and drag them into the compensation subfolder</w:t>
      </w:r>
      <w:r w:rsidR="007740A3" w:rsidRPr="00C96363">
        <w:rPr>
          <w:rFonts w:cs="Calibri"/>
          <w:sz w:val="24"/>
          <w:szCs w:val="24"/>
          <w:highlight w:val="yellow"/>
          <w:lang w:val="en-US"/>
        </w:rPr>
        <w:t xml:space="preserve">. </w:t>
      </w:r>
      <w:r w:rsidR="00E717EA" w:rsidRPr="00C96363">
        <w:rPr>
          <w:rFonts w:cs="Calibri"/>
          <w:sz w:val="24"/>
          <w:szCs w:val="24"/>
          <w:highlight w:val="yellow"/>
          <w:lang w:val="en-US"/>
        </w:rPr>
        <w:t xml:space="preserve">Open the file for </w:t>
      </w:r>
      <w:r w:rsidR="007F19D7" w:rsidRPr="00C96363">
        <w:rPr>
          <w:rFonts w:cs="Calibri"/>
          <w:sz w:val="24"/>
          <w:szCs w:val="24"/>
          <w:highlight w:val="yellow"/>
          <w:lang w:val="en-US"/>
        </w:rPr>
        <w:t>the</w:t>
      </w:r>
      <w:r w:rsidR="00E717EA" w:rsidRPr="00C96363">
        <w:rPr>
          <w:rFonts w:cs="Calibri"/>
          <w:sz w:val="24"/>
          <w:szCs w:val="24"/>
          <w:highlight w:val="yellow"/>
          <w:lang w:val="en-US"/>
        </w:rPr>
        <w:t xml:space="preserve"> </w:t>
      </w:r>
      <w:proofErr w:type="spellStart"/>
      <w:r w:rsidR="00E717EA" w:rsidRPr="00C96363">
        <w:rPr>
          <w:rFonts w:cs="Calibri"/>
          <w:sz w:val="24"/>
          <w:szCs w:val="24"/>
          <w:highlight w:val="yellow"/>
          <w:lang w:val="en-US"/>
        </w:rPr>
        <w:t>untransduced</w:t>
      </w:r>
      <w:proofErr w:type="spellEnd"/>
      <w:r w:rsidR="00E717EA" w:rsidRPr="00C96363">
        <w:rPr>
          <w:rFonts w:cs="Calibri"/>
          <w:sz w:val="24"/>
          <w:szCs w:val="24"/>
          <w:highlight w:val="yellow"/>
          <w:lang w:val="en-US"/>
        </w:rPr>
        <w:t>, uninfected tube</w:t>
      </w:r>
      <w:r w:rsidRPr="00C96363">
        <w:rPr>
          <w:rFonts w:cs="Calibri"/>
          <w:sz w:val="24"/>
          <w:szCs w:val="24"/>
          <w:highlight w:val="yellow"/>
          <w:lang w:val="en-US"/>
        </w:rPr>
        <w:t xml:space="preserve"> by double-</w:t>
      </w:r>
      <w:r w:rsidR="007F19D7" w:rsidRPr="00C96363">
        <w:rPr>
          <w:rFonts w:cs="Calibri"/>
          <w:sz w:val="24"/>
          <w:szCs w:val="24"/>
          <w:highlight w:val="yellow"/>
          <w:lang w:val="en-US"/>
        </w:rPr>
        <w:t>clicking,</w:t>
      </w:r>
      <w:r w:rsidRPr="00C96363">
        <w:rPr>
          <w:rFonts w:cs="Calibri"/>
          <w:sz w:val="24"/>
          <w:szCs w:val="24"/>
          <w:highlight w:val="yellow"/>
          <w:lang w:val="en-US"/>
        </w:rPr>
        <w:t xml:space="preserve"> which will bring up the FSC</w:t>
      </w:r>
      <w:r w:rsidR="00464101" w:rsidRPr="00C96363">
        <w:rPr>
          <w:rFonts w:cs="Calibri"/>
          <w:sz w:val="24"/>
          <w:szCs w:val="24"/>
          <w:highlight w:val="yellow"/>
          <w:lang w:val="en-US"/>
        </w:rPr>
        <w:t>-A</w:t>
      </w:r>
      <w:r w:rsidRPr="00C96363">
        <w:rPr>
          <w:rFonts w:cs="Calibri"/>
          <w:sz w:val="24"/>
          <w:szCs w:val="24"/>
          <w:highlight w:val="yellow"/>
          <w:lang w:val="en-US"/>
        </w:rPr>
        <w:t>/SSC</w:t>
      </w:r>
      <w:r w:rsidR="00464101" w:rsidRPr="00C96363">
        <w:rPr>
          <w:rFonts w:cs="Calibri"/>
          <w:sz w:val="24"/>
          <w:szCs w:val="24"/>
          <w:highlight w:val="yellow"/>
          <w:lang w:val="en-US"/>
        </w:rPr>
        <w:t>-A</w:t>
      </w:r>
      <w:r w:rsidRPr="00C96363">
        <w:rPr>
          <w:rFonts w:cs="Calibri"/>
          <w:sz w:val="24"/>
          <w:szCs w:val="24"/>
          <w:highlight w:val="yellow"/>
          <w:lang w:val="en-US"/>
        </w:rPr>
        <w:t xml:space="preserve"> plot.</w:t>
      </w:r>
    </w:p>
    <w:p w14:paraId="247E3F8A" w14:textId="77777777" w:rsidR="00971569" w:rsidRPr="00C96363" w:rsidRDefault="00971569" w:rsidP="00851755">
      <w:pPr>
        <w:pStyle w:val="NoSpacing"/>
        <w:jc w:val="both"/>
        <w:rPr>
          <w:rFonts w:cs="Calibri"/>
          <w:sz w:val="24"/>
          <w:szCs w:val="24"/>
          <w:highlight w:val="yellow"/>
          <w:lang w:val="en-US"/>
        </w:rPr>
      </w:pPr>
    </w:p>
    <w:p w14:paraId="6DF55E50" w14:textId="5ED1345D" w:rsidR="007F19D7" w:rsidRPr="00C96363" w:rsidRDefault="007740A3"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Select the polygon tool and g</w:t>
      </w:r>
      <w:r w:rsidR="00E717EA" w:rsidRPr="00C96363">
        <w:rPr>
          <w:rFonts w:cs="Calibri"/>
          <w:sz w:val="24"/>
          <w:szCs w:val="24"/>
          <w:highlight w:val="yellow"/>
          <w:lang w:val="en-US"/>
        </w:rPr>
        <w:t>ate on</w:t>
      </w:r>
      <w:r w:rsidR="007F19D7" w:rsidRPr="00C96363">
        <w:rPr>
          <w:rFonts w:cs="Calibri"/>
          <w:sz w:val="24"/>
          <w:szCs w:val="24"/>
          <w:highlight w:val="yellow"/>
          <w:lang w:val="en-US"/>
        </w:rPr>
        <w:t xml:space="preserve"> the</w:t>
      </w:r>
      <w:r w:rsidR="00E717EA" w:rsidRPr="00C96363">
        <w:rPr>
          <w:rFonts w:cs="Calibri"/>
          <w:sz w:val="24"/>
          <w:szCs w:val="24"/>
          <w:highlight w:val="yellow"/>
          <w:lang w:val="en-US"/>
        </w:rPr>
        <w:t xml:space="preserve"> </w:t>
      </w:r>
      <w:r w:rsidR="007F19D7" w:rsidRPr="00C96363">
        <w:rPr>
          <w:rFonts w:cs="Calibri"/>
          <w:sz w:val="24"/>
          <w:szCs w:val="24"/>
          <w:highlight w:val="yellow"/>
          <w:lang w:val="en-US"/>
        </w:rPr>
        <w:t>intact</w:t>
      </w:r>
      <w:r w:rsidR="00E717EA" w:rsidRPr="00C96363">
        <w:rPr>
          <w:rFonts w:cs="Calibri"/>
          <w:sz w:val="24"/>
          <w:szCs w:val="24"/>
          <w:highlight w:val="yellow"/>
          <w:lang w:val="en-US"/>
        </w:rPr>
        <w:t xml:space="preserve"> cell population</w:t>
      </w:r>
      <w:r w:rsidR="00015DF5" w:rsidRPr="00C96363">
        <w:rPr>
          <w:rFonts w:cs="Calibri"/>
          <w:sz w:val="24"/>
          <w:szCs w:val="24"/>
          <w:highlight w:val="yellow"/>
          <w:lang w:val="en-US"/>
        </w:rPr>
        <w:t>, excluding</w:t>
      </w:r>
      <w:r w:rsidR="005230EF" w:rsidRPr="00C96363">
        <w:rPr>
          <w:rFonts w:cs="Calibri"/>
          <w:sz w:val="24"/>
          <w:szCs w:val="24"/>
          <w:highlight w:val="yellow"/>
          <w:lang w:val="en-US"/>
        </w:rPr>
        <w:t xml:space="preserve"> debris in the lower</w:t>
      </w:r>
      <w:r w:rsidR="00C352CF" w:rsidRPr="00C96363">
        <w:rPr>
          <w:rFonts w:cs="Calibri"/>
          <w:sz w:val="24"/>
          <w:szCs w:val="24"/>
          <w:highlight w:val="yellow"/>
          <w:lang w:val="en-US"/>
        </w:rPr>
        <w:t>-</w:t>
      </w:r>
      <w:r w:rsidR="005230EF" w:rsidRPr="00C96363">
        <w:rPr>
          <w:rFonts w:cs="Calibri"/>
          <w:sz w:val="24"/>
          <w:szCs w:val="24"/>
          <w:highlight w:val="yellow"/>
          <w:lang w:val="en-US"/>
        </w:rPr>
        <w:t>left corner</w:t>
      </w:r>
      <w:r w:rsidR="006A6214" w:rsidRPr="00C96363">
        <w:rPr>
          <w:rFonts w:cs="Calibri"/>
          <w:sz w:val="24"/>
          <w:szCs w:val="24"/>
          <w:highlight w:val="yellow"/>
          <w:lang w:val="en-US"/>
        </w:rPr>
        <w:t xml:space="preserve">. Name this </w:t>
      </w:r>
      <w:r w:rsidR="003B58CE" w:rsidRPr="00C96363">
        <w:rPr>
          <w:rFonts w:cs="Calibri"/>
          <w:b/>
          <w:bCs/>
          <w:sz w:val="24"/>
          <w:szCs w:val="24"/>
          <w:highlight w:val="yellow"/>
          <w:lang w:val="en-US"/>
        </w:rPr>
        <w:t>C</w:t>
      </w:r>
      <w:r w:rsidR="006A6214" w:rsidRPr="00C96363">
        <w:rPr>
          <w:rFonts w:cs="Calibri"/>
          <w:b/>
          <w:bCs/>
          <w:sz w:val="24"/>
          <w:szCs w:val="24"/>
          <w:highlight w:val="yellow"/>
          <w:lang w:val="en-US"/>
        </w:rPr>
        <w:t>ells</w:t>
      </w:r>
      <w:r w:rsidR="006A6214" w:rsidRPr="00C96363">
        <w:rPr>
          <w:rFonts w:cs="Calibri"/>
          <w:sz w:val="24"/>
          <w:szCs w:val="24"/>
          <w:highlight w:val="yellow"/>
          <w:lang w:val="en-US"/>
        </w:rPr>
        <w:t>.</w:t>
      </w:r>
      <w:r w:rsidRPr="00C96363">
        <w:rPr>
          <w:rFonts w:cs="Calibri"/>
          <w:sz w:val="24"/>
          <w:szCs w:val="24"/>
          <w:highlight w:val="yellow"/>
          <w:lang w:val="en-US"/>
        </w:rPr>
        <w:t xml:space="preserve"> </w:t>
      </w:r>
      <w:r w:rsidR="007F19D7" w:rsidRPr="00C96363">
        <w:rPr>
          <w:rFonts w:cs="Calibri"/>
          <w:sz w:val="24"/>
          <w:szCs w:val="24"/>
          <w:highlight w:val="yellow"/>
          <w:lang w:val="en-US"/>
        </w:rPr>
        <w:t>Drag this gate onto the whole population of tubes</w:t>
      </w:r>
      <w:r w:rsidR="00BD13DA" w:rsidRPr="00C96363">
        <w:rPr>
          <w:rFonts w:cs="Calibri"/>
          <w:sz w:val="24"/>
          <w:szCs w:val="24"/>
          <w:highlight w:val="yellow"/>
          <w:lang w:val="en-US"/>
        </w:rPr>
        <w:t xml:space="preserve"> in the </w:t>
      </w:r>
      <w:proofErr w:type="gramStart"/>
      <w:r w:rsidR="003B58CE" w:rsidRPr="00C96363">
        <w:rPr>
          <w:rFonts w:cs="Calibri"/>
          <w:b/>
          <w:bCs/>
          <w:sz w:val="24"/>
          <w:szCs w:val="24"/>
          <w:highlight w:val="yellow"/>
          <w:lang w:val="en-US"/>
        </w:rPr>
        <w:t>A</w:t>
      </w:r>
      <w:r w:rsidR="00BD13DA" w:rsidRPr="00C96363">
        <w:rPr>
          <w:rFonts w:cs="Calibri"/>
          <w:b/>
          <w:bCs/>
          <w:sz w:val="24"/>
          <w:szCs w:val="24"/>
          <w:highlight w:val="yellow"/>
          <w:lang w:val="en-US"/>
        </w:rPr>
        <w:t xml:space="preserve">ll </w:t>
      </w:r>
      <w:r w:rsidR="003B58CE" w:rsidRPr="00C96363">
        <w:rPr>
          <w:rFonts w:cs="Calibri"/>
          <w:b/>
          <w:bCs/>
          <w:sz w:val="24"/>
          <w:szCs w:val="24"/>
          <w:highlight w:val="yellow"/>
          <w:lang w:val="en-US"/>
        </w:rPr>
        <w:t>S</w:t>
      </w:r>
      <w:r w:rsidR="00BD13DA" w:rsidRPr="00C96363">
        <w:rPr>
          <w:rFonts w:cs="Calibri"/>
          <w:b/>
          <w:bCs/>
          <w:sz w:val="24"/>
          <w:szCs w:val="24"/>
          <w:highlight w:val="yellow"/>
          <w:lang w:val="en-US"/>
        </w:rPr>
        <w:t>amples</w:t>
      </w:r>
      <w:proofErr w:type="gramEnd"/>
      <w:r w:rsidR="00BD13DA" w:rsidRPr="00C96363">
        <w:rPr>
          <w:rFonts w:cs="Calibri"/>
          <w:sz w:val="24"/>
          <w:szCs w:val="24"/>
          <w:highlight w:val="yellow"/>
          <w:lang w:val="en-US"/>
        </w:rPr>
        <w:t xml:space="preserve"> bar</w:t>
      </w:r>
      <w:r w:rsidR="007F19D7" w:rsidRPr="00C96363">
        <w:rPr>
          <w:rFonts w:cs="Calibri"/>
          <w:sz w:val="24"/>
          <w:szCs w:val="24"/>
          <w:highlight w:val="yellow"/>
          <w:lang w:val="en-US"/>
        </w:rPr>
        <w:t xml:space="preserve">. </w:t>
      </w:r>
      <w:r w:rsidR="00971569" w:rsidRPr="00C96363">
        <w:rPr>
          <w:rFonts w:cs="Calibri"/>
          <w:sz w:val="24"/>
          <w:szCs w:val="24"/>
          <w:highlight w:val="yellow"/>
          <w:lang w:val="en-US"/>
        </w:rPr>
        <w:t>Scroll through the whole population</w:t>
      </w:r>
      <w:r w:rsidRPr="00C96363">
        <w:rPr>
          <w:rFonts w:cs="Calibri"/>
          <w:sz w:val="24"/>
          <w:szCs w:val="24"/>
          <w:highlight w:val="yellow"/>
          <w:lang w:val="en-US"/>
        </w:rPr>
        <w:t xml:space="preserve"> using the </w:t>
      </w:r>
      <w:r w:rsidR="00C96363" w:rsidRPr="00C96363">
        <w:rPr>
          <w:rFonts w:cs="Calibri"/>
          <w:sz w:val="24"/>
          <w:szCs w:val="24"/>
          <w:highlight w:val="yellow"/>
          <w:lang w:val="en-US"/>
        </w:rPr>
        <w:t xml:space="preserve">horizontal arrow </w:t>
      </w:r>
      <w:r w:rsidRPr="00C96363">
        <w:rPr>
          <w:rFonts w:cs="Calibri"/>
          <w:sz w:val="24"/>
          <w:szCs w:val="24"/>
          <w:highlight w:val="yellow"/>
          <w:lang w:val="en-US"/>
        </w:rPr>
        <w:t>buttons</w:t>
      </w:r>
      <w:r w:rsidR="00971569" w:rsidRPr="00C96363">
        <w:rPr>
          <w:rFonts w:cs="Calibri"/>
          <w:sz w:val="24"/>
          <w:szCs w:val="24"/>
          <w:highlight w:val="yellow"/>
          <w:lang w:val="en-US"/>
        </w:rPr>
        <w:t xml:space="preserve"> to ensure gating is appropriate for each tube</w:t>
      </w:r>
      <w:r w:rsidRPr="00C96363">
        <w:rPr>
          <w:rFonts w:cs="Calibri"/>
          <w:sz w:val="24"/>
          <w:szCs w:val="24"/>
          <w:highlight w:val="yellow"/>
          <w:lang w:val="en-US"/>
        </w:rPr>
        <w:t>.</w:t>
      </w:r>
    </w:p>
    <w:p w14:paraId="79301720" w14:textId="77777777" w:rsidR="00971569" w:rsidRPr="00C96363" w:rsidRDefault="00971569" w:rsidP="00851755">
      <w:pPr>
        <w:pStyle w:val="NoSpacing"/>
        <w:jc w:val="both"/>
        <w:rPr>
          <w:rFonts w:cs="Calibri"/>
          <w:sz w:val="24"/>
          <w:szCs w:val="24"/>
          <w:highlight w:val="yellow"/>
          <w:lang w:val="en-US"/>
        </w:rPr>
      </w:pPr>
    </w:p>
    <w:p w14:paraId="44F40E67" w14:textId="1AD2AA2E" w:rsidR="00E717EA" w:rsidRPr="00C96363" w:rsidRDefault="007740A3"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Double-click</w:t>
      </w:r>
      <w:r w:rsidR="00E717EA" w:rsidRPr="00C96363">
        <w:rPr>
          <w:rFonts w:cs="Calibri"/>
          <w:sz w:val="24"/>
          <w:szCs w:val="24"/>
          <w:highlight w:val="yellow"/>
          <w:lang w:val="en-US"/>
        </w:rPr>
        <w:t xml:space="preserve"> </w:t>
      </w:r>
      <w:r w:rsidR="003B58CE" w:rsidRPr="00C96363">
        <w:rPr>
          <w:rFonts w:cs="Calibri"/>
          <w:sz w:val="24"/>
          <w:szCs w:val="24"/>
          <w:highlight w:val="yellow"/>
          <w:lang w:val="en-US"/>
        </w:rPr>
        <w:t xml:space="preserve">on </w:t>
      </w:r>
      <w:r w:rsidR="00E717EA" w:rsidRPr="00C96363">
        <w:rPr>
          <w:rFonts w:cs="Calibri"/>
          <w:sz w:val="24"/>
          <w:szCs w:val="24"/>
          <w:highlight w:val="yellow"/>
          <w:lang w:val="en-US"/>
        </w:rPr>
        <w:t xml:space="preserve">the </w:t>
      </w:r>
      <w:r w:rsidR="003B58CE" w:rsidRPr="00C96363">
        <w:rPr>
          <w:rFonts w:cs="Calibri"/>
          <w:b/>
          <w:bCs/>
          <w:sz w:val="24"/>
          <w:szCs w:val="24"/>
          <w:highlight w:val="yellow"/>
          <w:lang w:val="en-US"/>
        </w:rPr>
        <w:t>C</w:t>
      </w:r>
      <w:r w:rsidRPr="00C96363">
        <w:rPr>
          <w:rFonts w:cs="Calibri"/>
          <w:b/>
          <w:bCs/>
          <w:sz w:val="24"/>
          <w:szCs w:val="24"/>
          <w:highlight w:val="yellow"/>
          <w:lang w:val="en-US"/>
        </w:rPr>
        <w:t>ells</w:t>
      </w:r>
      <w:r w:rsidR="003B58CE" w:rsidRPr="00C96363">
        <w:rPr>
          <w:rFonts w:cs="Calibri"/>
          <w:sz w:val="24"/>
          <w:szCs w:val="24"/>
          <w:highlight w:val="yellow"/>
          <w:lang w:val="en-US"/>
        </w:rPr>
        <w:t xml:space="preserve"> </w:t>
      </w:r>
      <w:r w:rsidR="00E717EA" w:rsidRPr="00C96363">
        <w:rPr>
          <w:rFonts w:cs="Calibri"/>
          <w:sz w:val="24"/>
          <w:szCs w:val="24"/>
          <w:highlight w:val="yellow"/>
          <w:lang w:val="en-US"/>
        </w:rPr>
        <w:t xml:space="preserve">population for </w:t>
      </w:r>
      <w:r w:rsidR="00D90B34" w:rsidRPr="00C96363">
        <w:rPr>
          <w:rFonts w:cs="Calibri"/>
          <w:sz w:val="24"/>
          <w:szCs w:val="24"/>
          <w:highlight w:val="yellow"/>
          <w:lang w:val="en-US"/>
        </w:rPr>
        <w:t>the</w:t>
      </w:r>
      <w:r w:rsidR="00E717EA" w:rsidRPr="00C96363">
        <w:rPr>
          <w:rFonts w:cs="Calibri"/>
          <w:sz w:val="24"/>
          <w:szCs w:val="24"/>
          <w:highlight w:val="yellow"/>
          <w:lang w:val="en-US"/>
        </w:rPr>
        <w:t xml:space="preserve"> </w:t>
      </w:r>
      <w:proofErr w:type="spellStart"/>
      <w:r w:rsidR="00B06795" w:rsidRPr="00C96363">
        <w:rPr>
          <w:rFonts w:cs="Calibri"/>
          <w:sz w:val="24"/>
          <w:szCs w:val="24"/>
          <w:highlight w:val="yellow"/>
          <w:lang w:val="en-US"/>
        </w:rPr>
        <w:t>untransduced</w:t>
      </w:r>
      <w:proofErr w:type="spellEnd"/>
      <w:r w:rsidR="00B06795" w:rsidRPr="00C96363">
        <w:rPr>
          <w:rFonts w:cs="Calibri"/>
          <w:sz w:val="24"/>
          <w:szCs w:val="24"/>
          <w:highlight w:val="yellow"/>
          <w:lang w:val="en-US"/>
        </w:rPr>
        <w:t xml:space="preserve">, uninfected </w:t>
      </w:r>
      <w:r w:rsidR="00BD13DA" w:rsidRPr="00C96363">
        <w:rPr>
          <w:rFonts w:cs="Calibri"/>
          <w:sz w:val="24"/>
          <w:szCs w:val="24"/>
          <w:highlight w:val="yellow"/>
          <w:lang w:val="en-US"/>
        </w:rPr>
        <w:t xml:space="preserve">sample </w:t>
      </w:r>
      <w:r w:rsidR="00E717EA" w:rsidRPr="00C96363">
        <w:rPr>
          <w:rFonts w:cs="Calibri"/>
          <w:sz w:val="24"/>
          <w:szCs w:val="24"/>
          <w:highlight w:val="yellow"/>
          <w:lang w:val="en-US"/>
        </w:rPr>
        <w:t xml:space="preserve">and </w:t>
      </w:r>
      <w:r w:rsidR="00B06795" w:rsidRPr="00C96363">
        <w:rPr>
          <w:rFonts w:cs="Calibri"/>
          <w:sz w:val="24"/>
          <w:szCs w:val="24"/>
          <w:highlight w:val="yellow"/>
          <w:lang w:val="en-US"/>
        </w:rPr>
        <w:t>adjust the axes to FSC-H</w:t>
      </w:r>
      <w:r w:rsidR="00464101" w:rsidRPr="00C96363">
        <w:rPr>
          <w:rFonts w:cs="Calibri"/>
          <w:sz w:val="24"/>
          <w:szCs w:val="24"/>
          <w:highlight w:val="yellow"/>
          <w:lang w:val="en-US"/>
        </w:rPr>
        <w:t>eight (H)</w:t>
      </w:r>
      <w:r w:rsidR="00B06795" w:rsidRPr="00C96363">
        <w:rPr>
          <w:rFonts w:cs="Calibri"/>
          <w:sz w:val="24"/>
          <w:szCs w:val="24"/>
          <w:highlight w:val="yellow"/>
          <w:lang w:val="en-US"/>
        </w:rPr>
        <w:t xml:space="preserve"> vs FSC-A</w:t>
      </w:r>
      <w:r w:rsidR="00464101" w:rsidRPr="00C96363">
        <w:rPr>
          <w:rFonts w:cs="Calibri"/>
          <w:sz w:val="24"/>
          <w:szCs w:val="24"/>
          <w:highlight w:val="yellow"/>
          <w:lang w:val="en-US"/>
        </w:rPr>
        <w:t>rea (A)</w:t>
      </w:r>
      <w:r w:rsidR="00B06795" w:rsidRPr="00C96363">
        <w:rPr>
          <w:rFonts w:cs="Calibri"/>
          <w:sz w:val="24"/>
          <w:szCs w:val="24"/>
          <w:highlight w:val="yellow"/>
          <w:lang w:val="en-US"/>
        </w:rPr>
        <w:t>. Select the single large population</w:t>
      </w:r>
      <w:r w:rsidR="00BD13DA" w:rsidRPr="00C96363">
        <w:rPr>
          <w:rFonts w:cs="Calibri"/>
          <w:sz w:val="24"/>
          <w:szCs w:val="24"/>
          <w:highlight w:val="yellow"/>
          <w:lang w:val="en-US"/>
        </w:rPr>
        <w:t xml:space="preserve"> </w:t>
      </w:r>
      <w:r w:rsidRPr="00C96363">
        <w:rPr>
          <w:rFonts w:cs="Calibri"/>
          <w:sz w:val="24"/>
          <w:szCs w:val="24"/>
          <w:highlight w:val="yellow"/>
          <w:lang w:val="en-US"/>
        </w:rPr>
        <w:t xml:space="preserve">using a rectangular gate </w:t>
      </w:r>
      <w:r w:rsidR="00B06795" w:rsidRPr="00C96363">
        <w:rPr>
          <w:rFonts w:cs="Calibri"/>
          <w:sz w:val="24"/>
          <w:szCs w:val="24"/>
          <w:highlight w:val="yellow"/>
          <w:lang w:val="en-US"/>
        </w:rPr>
        <w:t>to exclude doublets</w:t>
      </w:r>
      <w:r w:rsidR="003B58CE" w:rsidRPr="00C96363">
        <w:rPr>
          <w:rFonts w:cs="Calibri"/>
          <w:sz w:val="24"/>
          <w:szCs w:val="24"/>
          <w:highlight w:val="yellow"/>
          <w:lang w:val="en-US"/>
        </w:rPr>
        <w:t xml:space="preserve"> to allow t</w:t>
      </w:r>
      <w:r w:rsidRPr="00C96363">
        <w:rPr>
          <w:rFonts w:cs="Calibri"/>
          <w:sz w:val="24"/>
          <w:szCs w:val="24"/>
          <w:highlight w:val="yellow"/>
          <w:lang w:val="en-US"/>
        </w:rPr>
        <w:t xml:space="preserve">he software </w:t>
      </w:r>
      <w:r w:rsidR="003B58CE" w:rsidRPr="00C96363">
        <w:rPr>
          <w:rFonts w:cs="Calibri"/>
          <w:sz w:val="24"/>
          <w:szCs w:val="24"/>
          <w:highlight w:val="yellow"/>
          <w:lang w:val="en-US"/>
        </w:rPr>
        <w:t xml:space="preserve">to </w:t>
      </w:r>
      <w:r w:rsidRPr="00C96363">
        <w:rPr>
          <w:rFonts w:cs="Calibri"/>
          <w:sz w:val="24"/>
          <w:szCs w:val="24"/>
          <w:highlight w:val="yellow"/>
          <w:lang w:val="en-US"/>
        </w:rPr>
        <w:t>automatically suggest naming this</w:t>
      </w:r>
      <w:r w:rsidR="003B58CE" w:rsidRPr="00C96363">
        <w:rPr>
          <w:rFonts w:cs="Calibri"/>
          <w:sz w:val="24"/>
          <w:szCs w:val="24"/>
          <w:highlight w:val="yellow"/>
          <w:lang w:val="en-US"/>
        </w:rPr>
        <w:t xml:space="preserve"> as</w:t>
      </w:r>
      <w:r w:rsidRPr="00C96363">
        <w:rPr>
          <w:rFonts w:cs="Calibri"/>
          <w:sz w:val="24"/>
          <w:szCs w:val="24"/>
          <w:highlight w:val="yellow"/>
          <w:lang w:val="en-US"/>
        </w:rPr>
        <w:t xml:space="preserve"> </w:t>
      </w:r>
      <w:r w:rsidRPr="00C96363">
        <w:rPr>
          <w:rFonts w:cs="Calibri"/>
          <w:b/>
          <w:bCs/>
          <w:sz w:val="24"/>
          <w:szCs w:val="24"/>
          <w:highlight w:val="yellow"/>
          <w:lang w:val="en-US"/>
        </w:rPr>
        <w:t>Single Cells</w:t>
      </w:r>
      <w:r w:rsidRPr="00C96363">
        <w:rPr>
          <w:rFonts w:cs="Calibri"/>
          <w:sz w:val="24"/>
          <w:szCs w:val="24"/>
          <w:highlight w:val="yellow"/>
          <w:lang w:val="en-US"/>
        </w:rPr>
        <w:t>.</w:t>
      </w:r>
    </w:p>
    <w:p w14:paraId="61D94EEC" w14:textId="77777777" w:rsidR="00B06795" w:rsidRPr="00C96363" w:rsidRDefault="00B06795" w:rsidP="00851755">
      <w:pPr>
        <w:pStyle w:val="NoSpacing"/>
        <w:jc w:val="both"/>
        <w:rPr>
          <w:rFonts w:cs="Calibri"/>
          <w:sz w:val="24"/>
          <w:szCs w:val="24"/>
          <w:highlight w:val="yellow"/>
          <w:lang w:val="en-US"/>
        </w:rPr>
      </w:pPr>
    </w:p>
    <w:p w14:paraId="5E415BAF" w14:textId="1B456607" w:rsidR="00DB6592" w:rsidRPr="00C96363" w:rsidRDefault="00E717EA"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Drag this gate onto all </w:t>
      </w:r>
      <w:r w:rsidR="00B06795" w:rsidRPr="00C96363">
        <w:rPr>
          <w:rFonts w:cs="Calibri"/>
          <w:sz w:val="24"/>
          <w:szCs w:val="24"/>
          <w:highlight w:val="yellow"/>
          <w:lang w:val="en-US"/>
        </w:rPr>
        <w:t xml:space="preserve">the </w:t>
      </w:r>
      <w:r w:rsidR="003B58CE" w:rsidRPr="00C96363">
        <w:rPr>
          <w:rFonts w:cs="Calibri"/>
          <w:b/>
          <w:bCs/>
          <w:sz w:val="24"/>
          <w:szCs w:val="24"/>
          <w:highlight w:val="yellow"/>
          <w:lang w:val="en-US"/>
        </w:rPr>
        <w:t>Cells</w:t>
      </w:r>
      <w:r w:rsidRPr="00C96363">
        <w:rPr>
          <w:rFonts w:cs="Calibri"/>
          <w:sz w:val="24"/>
          <w:szCs w:val="24"/>
          <w:highlight w:val="yellow"/>
          <w:lang w:val="en-US"/>
        </w:rPr>
        <w:t xml:space="preserve"> populations</w:t>
      </w:r>
      <w:r w:rsidR="0091544E" w:rsidRPr="00C96363">
        <w:rPr>
          <w:rFonts w:cs="Calibri"/>
          <w:sz w:val="24"/>
          <w:szCs w:val="24"/>
          <w:highlight w:val="yellow"/>
          <w:lang w:val="en-US"/>
        </w:rPr>
        <w:t xml:space="preserve"> and again, check that the gating is appropriate for all samples</w:t>
      </w:r>
      <w:r w:rsidR="007740A3" w:rsidRPr="00C96363">
        <w:rPr>
          <w:rFonts w:cs="Calibri"/>
          <w:sz w:val="24"/>
          <w:szCs w:val="24"/>
          <w:highlight w:val="yellow"/>
          <w:lang w:val="en-US"/>
        </w:rPr>
        <w:t xml:space="preserve">. </w:t>
      </w:r>
      <w:r w:rsidR="006A6214" w:rsidRPr="00C96363">
        <w:rPr>
          <w:rFonts w:cs="Calibri"/>
          <w:sz w:val="24"/>
          <w:szCs w:val="24"/>
          <w:highlight w:val="yellow"/>
          <w:lang w:val="en-US"/>
        </w:rPr>
        <w:t xml:space="preserve">Select the </w:t>
      </w:r>
      <w:r w:rsidR="003B58CE" w:rsidRPr="00C96363">
        <w:rPr>
          <w:rFonts w:cs="Calibri"/>
          <w:b/>
          <w:bCs/>
          <w:sz w:val="24"/>
          <w:szCs w:val="24"/>
          <w:highlight w:val="yellow"/>
          <w:lang w:val="en-US"/>
        </w:rPr>
        <w:t>S</w:t>
      </w:r>
      <w:r w:rsidR="007740A3" w:rsidRPr="00C96363">
        <w:rPr>
          <w:rFonts w:cs="Calibri"/>
          <w:b/>
          <w:bCs/>
          <w:sz w:val="24"/>
          <w:szCs w:val="24"/>
          <w:highlight w:val="yellow"/>
          <w:lang w:val="en-US"/>
        </w:rPr>
        <w:t xml:space="preserve">ingle </w:t>
      </w:r>
      <w:r w:rsidR="003B58CE" w:rsidRPr="00C96363">
        <w:rPr>
          <w:rFonts w:cs="Calibri"/>
          <w:b/>
          <w:bCs/>
          <w:sz w:val="24"/>
          <w:szCs w:val="24"/>
          <w:highlight w:val="yellow"/>
          <w:lang w:val="en-US"/>
        </w:rPr>
        <w:t>C</w:t>
      </w:r>
      <w:r w:rsidR="007740A3" w:rsidRPr="00C96363">
        <w:rPr>
          <w:rFonts w:cs="Calibri"/>
          <w:b/>
          <w:bCs/>
          <w:sz w:val="24"/>
          <w:szCs w:val="24"/>
          <w:highlight w:val="yellow"/>
          <w:lang w:val="en-US"/>
        </w:rPr>
        <w:t>ells</w:t>
      </w:r>
      <w:r w:rsidR="006A6214" w:rsidRPr="00C96363">
        <w:rPr>
          <w:rFonts w:cs="Calibri"/>
          <w:sz w:val="24"/>
          <w:szCs w:val="24"/>
          <w:highlight w:val="yellow"/>
          <w:lang w:val="en-US"/>
        </w:rPr>
        <w:t xml:space="preserve"> population for the uninfected</w:t>
      </w:r>
      <w:r w:rsidR="00C352CF" w:rsidRPr="00C96363">
        <w:rPr>
          <w:rFonts w:cs="Calibri"/>
          <w:sz w:val="24"/>
          <w:szCs w:val="24"/>
          <w:highlight w:val="yellow"/>
          <w:lang w:val="en-US"/>
        </w:rPr>
        <w:t>,</w:t>
      </w:r>
      <w:r w:rsidR="006A6214" w:rsidRPr="00C96363">
        <w:rPr>
          <w:rFonts w:cs="Calibri"/>
          <w:sz w:val="24"/>
          <w:szCs w:val="24"/>
          <w:highlight w:val="yellow"/>
          <w:lang w:val="en-US"/>
        </w:rPr>
        <w:t xml:space="preserve"> </w:t>
      </w:r>
      <w:proofErr w:type="spellStart"/>
      <w:r w:rsidR="006A6214" w:rsidRPr="00C96363">
        <w:rPr>
          <w:rFonts w:cs="Calibri"/>
          <w:sz w:val="24"/>
          <w:szCs w:val="24"/>
          <w:highlight w:val="yellow"/>
          <w:lang w:val="en-US"/>
        </w:rPr>
        <w:t>untransduced</w:t>
      </w:r>
      <w:proofErr w:type="spellEnd"/>
      <w:r w:rsidR="006A6214" w:rsidRPr="00C96363">
        <w:rPr>
          <w:rFonts w:cs="Calibri"/>
          <w:sz w:val="24"/>
          <w:szCs w:val="24"/>
          <w:highlight w:val="yellow"/>
          <w:lang w:val="en-US"/>
        </w:rPr>
        <w:t xml:space="preserve"> sample, change the axes to</w:t>
      </w:r>
      <w:r w:rsidR="00DB6592" w:rsidRPr="00C96363">
        <w:rPr>
          <w:rFonts w:cs="Calibri"/>
          <w:sz w:val="24"/>
          <w:szCs w:val="24"/>
          <w:highlight w:val="yellow"/>
          <w:lang w:val="en-US"/>
        </w:rPr>
        <w:t xml:space="preserve"> compensated </w:t>
      </w:r>
      <w:r w:rsidR="00DE7026" w:rsidRPr="00C96363">
        <w:rPr>
          <w:rFonts w:cs="Calibri"/>
          <w:sz w:val="24"/>
          <w:szCs w:val="24"/>
          <w:highlight w:val="yellow"/>
          <w:lang w:val="en-US"/>
        </w:rPr>
        <w:t>blue laser</w:t>
      </w:r>
      <w:r w:rsidR="00DB6592" w:rsidRPr="00C96363">
        <w:rPr>
          <w:rFonts w:cs="Calibri"/>
          <w:sz w:val="24"/>
          <w:szCs w:val="24"/>
          <w:highlight w:val="yellow"/>
          <w:lang w:val="en-US"/>
        </w:rPr>
        <w:t xml:space="preserve"> (</w:t>
      </w:r>
      <w:r w:rsidR="00DB6592" w:rsidRPr="00C96363">
        <w:rPr>
          <w:rFonts w:cs="Calibri"/>
          <w:i/>
          <w:iCs/>
          <w:sz w:val="24"/>
          <w:szCs w:val="24"/>
          <w:highlight w:val="yellow"/>
          <w:lang w:val="en-US"/>
        </w:rPr>
        <w:t>y</w:t>
      </w:r>
      <w:r w:rsidR="00DE7026" w:rsidRPr="00C96363">
        <w:rPr>
          <w:rFonts w:cs="Calibri"/>
          <w:i/>
          <w:iCs/>
          <w:sz w:val="24"/>
          <w:szCs w:val="24"/>
          <w:highlight w:val="yellow"/>
          <w:lang w:val="en-US"/>
        </w:rPr>
        <w:t xml:space="preserve">, </w:t>
      </w:r>
      <w:r w:rsidR="00DE7026" w:rsidRPr="00C96363">
        <w:rPr>
          <w:rFonts w:cs="Calibri"/>
          <w:sz w:val="24"/>
          <w:szCs w:val="24"/>
          <w:highlight w:val="yellow"/>
          <w:lang w:val="en-US"/>
        </w:rPr>
        <w:t>YFP</w:t>
      </w:r>
      <w:r w:rsidR="00DB6592" w:rsidRPr="00C96363">
        <w:rPr>
          <w:rFonts w:cs="Calibri"/>
          <w:sz w:val="24"/>
          <w:szCs w:val="24"/>
          <w:highlight w:val="yellow"/>
          <w:lang w:val="en-US"/>
        </w:rPr>
        <w:t xml:space="preserve">) versus compensated </w:t>
      </w:r>
      <w:r w:rsidR="00DE7026" w:rsidRPr="00C96363">
        <w:rPr>
          <w:rFonts w:cs="Calibri"/>
          <w:sz w:val="24"/>
          <w:szCs w:val="24"/>
          <w:highlight w:val="yellow"/>
          <w:lang w:val="en-US"/>
        </w:rPr>
        <w:t>yellow laser</w:t>
      </w:r>
      <w:r w:rsidR="00DB6592" w:rsidRPr="00C96363">
        <w:rPr>
          <w:rFonts w:cs="Calibri"/>
          <w:sz w:val="24"/>
          <w:szCs w:val="24"/>
          <w:highlight w:val="yellow"/>
          <w:lang w:val="en-US"/>
        </w:rPr>
        <w:t xml:space="preserve"> (</w:t>
      </w:r>
      <w:r w:rsidR="00DB6592" w:rsidRPr="00C96363">
        <w:rPr>
          <w:rFonts w:cs="Calibri"/>
          <w:i/>
          <w:iCs/>
          <w:sz w:val="24"/>
          <w:szCs w:val="24"/>
          <w:highlight w:val="yellow"/>
          <w:lang w:val="en-US"/>
        </w:rPr>
        <w:t>x</w:t>
      </w:r>
      <w:r w:rsidR="00DE7026" w:rsidRPr="00C96363">
        <w:rPr>
          <w:rFonts w:cs="Calibri"/>
          <w:i/>
          <w:iCs/>
          <w:sz w:val="24"/>
          <w:szCs w:val="24"/>
          <w:highlight w:val="yellow"/>
          <w:lang w:val="en-US"/>
        </w:rPr>
        <w:t xml:space="preserve">, </w:t>
      </w:r>
      <w:r w:rsidR="00DE7026" w:rsidRPr="00C96363">
        <w:rPr>
          <w:rFonts w:cs="Calibri"/>
          <w:sz w:val="24"/>
          <w:szCs w:val="24"/>
          <w:highlight w:val="yellow"/>
          <w:lang w:val="en-US"/>
        </w:rPr>
        <w:t>RFP</w:t>
      </w:r>
      <w:r w:rsidR="00DB6592" w:rsidRPr="00C96363">
        <w:rPr>
          <w:rFonts w:cs="Calibri"/>
          <w:sz w:val="24"/>
          <w:szCs w:val="24"/>
          <w:highlight w:val="yellow"/>
          <w:lang w:val="en-US"/>
        </w:rPr>
        <w:t>)</w:t>
      </w:r>
      <w:r w:rsidR="007740A3" w:rsidRPr="00C96363">
        <w:rPr>
          <w:rFonts w:cs="Calibri"/>
          <w:sz w:val="24"/>
          <w:szCs w:val="24"/>
          <w:highlight w:val="yellow"/>
          <w:lang w:val="en-US"/>
        </w:rPr>
        <w:t xml:space="preserve">. Press </w:t>
      </w:r>
      <w:r w:rsidR="007740A3" w:rsidRPr="00C96363">
        <w:rPr>
          <w:rFonts w:cs="Calibri"/>
          <w:b/>
          <w:bCs/>
          <w:sz w:val="24"/>
          <w:szCs w:val="24"/>
          <w:highlight w:val="yellow"/>
          <w:lang w:val="en-US"/>
        </w:rPr>
        <w:t>T</w:t>
      </w:r>
      <w:r w:rsidR="007740A3" w:rsidRPr="00C96363">
        <w:rPr>
          <w:rFonts w:cs="Calibri"/>
          <w:sz w:val="24"/>
          <w:szCs w:val="24"/>
          <w:highlight w:val="yellow"/>
          <w:lang w:val="en-US"/>
        </w:rPr>
        <w:t xml:space="preserve"> on the axis and select</w:t>
      </w:r>
      <w:r w:rsidR="00DB6592" w:rsidRPr="00C96363">
        <w:rPr>
          <w:rFonts w:cs="Calibri"/>
          <w:sz w:val="24"/>
          <w:szCs w:val="24"/>
          <w:highlight w:val="yellow"/>
          <w:lang w:val="en-US"/>
        </w:rPr>
        <w:t xml:space="preserve"> </w:t>
      </w:r>
      <w:r w:rsidR="003B58CE" w:rsidRPr="00C96363">
        <w:rPr>
          <w:rFonts w:cs="Calibri"/>
          <w:b/>
          <w:bCs/>
          <w:sz w:val="24"/>
          <w:szCs w:val="24"/>
          <w:highlight w:val="yellow"/>
          <w:lang w:val="en-US"/>
        </w:rPr>
        <w:t>Biexponential</w:t>
      </w:r>
      <w:r w:rsidR="003B58CE" w:rsidRPr="00C96363">
        <w:rPr>
          <w:rFonts w:cs="Calibri"/>
          <w:sz w:val="24"/>
          <w:szCs w:val="24"/>
          <w:highlight w:val="yellow"/>
          <w:lang w:val="en-US"/>
        </w:rPr>
        <w:t xml:space="preserve"> </w:t>
      </w:r>
      <w:r w:rsidR="00DB6592" w:rsidRPr="00C96363">
        <w:rPr>
          <w:rFonts w:cs="Calibri"/>
          <w:sz w:val="24"/>
          <w:szCs w:val="24"/>
          <w:highlight w:val="yellow"/>
          <w:lang w:val="en-US"/>
        </w:rPr>
        <w:t xml:space="preserve">scale </w:t>
      </w:r>
      <w:r w:rsidR="007740A3" w:rsidRPr="00C96363">
        <w:rPr>
          <w:rFonts w:cs="Calibri"/>
          <w:sz w:val="24"/>
          <w:szCs w:val="24"/>
          <w:highlight w:val="yellow"/>
          <w:lang w:val="en-US"/>
        </w:rPr>
        <w:t>for x and y</w:t>
      </w:r>
      <w:r w:rsidR="00DB6592" w:rsidRPr="00C96363">
        <w:rPr>
          <w:rFonts w:cs="Calibri"/>
          <w:sz w:val="24"/>
          <w:szCs w:val="24"/>
          <w:highlight w:val="yellow"/>
          <w:lang w:val="en-US"/>
        </w:rPr>
        <w:t>.</w:t>
      </w:r>
    </w:p>
    <w:p w14:paraId="0C673B25" w14:textId="77777777" w:rsidR="006A6214" w:rsidRPr="00C96363" w:rsidRDefault="006A6214" w:rsidP="00851755">
      <w:pPr>
        <w:pStyle w:val="NoSpacing"/>
        <w:jc w:val="both"/>
        <w:rPr>
          <w:rFonts w:cs="Calibri"/>
          <w:sz w:val="24"/>
          <w:szCs w:val="24"/>
          <w:highlight w:val="yellow"/>
          <w:lang w:val="en-US"/>
        </w:rPr>
      </w:pPr>
    </w:p>
    <w:p w14:paraId="6F54A380" w14:textId="784796A2" w:rsidR="007173C3" w:rsidRPr="00C96363" w:rsidRDefault="00DB6592"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Select the</w:t>
      </w:r>
      <w:r w:rsidRPr="00C96363">
        <w:rPr>
          <w:rFonts w:cs="Calibri"/>
          <w:b/>
          <w:bCs/>
          <w:sz w:val="24"/>
          <w:szCs w:val="24"/>
          <w:highlight w:val="yellow"/>
          <w:lang w:val="en-US"/>
        </w:rPr>
        <w:t xml:space="preserve"> </w:t>
      </w:r>
      <w:r w:rsidR="00CE61F1" w:rsidRPr="00C96363">
        <w:rPr>
          <w:rFonts w:cs="Calibri"/>
          <w:b/>
          <w:bCs/>
          <w:sz w:val="24"/>
          <w:szCs w:val="24"/>
          <w:highlight w:val="yellow"/>
          <w:lang w:val="en-US"/>
        </w:rPr>
        <w:t>Quadrant Gating Tool</w:t>
      </w:r>
      <w:r w:rsidR="00CE61F1" w:rsidRPr="00C96363">
        <w:rPr>
          <w:rFonts w:cs="Calibri"/>
          <w:sz w:val="24"/>
          <w:szCs w:val="24"/>
          <w:highlight w:val="yellow"/>
          <w:lang w:val="en-US"/>
        </w:rPr>
        <w:t xml:space="preserve"> </w:t>
      </w:r>
      <w:r w:rsidRPr="00C96363">
        <w:rPr>
          <w:rFonts w:cs="Calibri"/>
          <w:sz w:val="24"/>
          <w:szCs w:val="24"/>
          <w:highlight w:val="yellow"/>
          <w:lang w:val="en-US"/>
        </w:rPr>
        <w:t>and click at the upper</w:t>
      </w:r>
      <w:r w:rsidR="00C352CF" w:rsidRPr="00C96363">
        <w:rPr>
          <w:rFonts w:cs="Calibri"/>
          <w:sz w:val="24"/>
          <w:szCs w:val="24"/>
          <w:highlight w:val="yellow"/>
          <w:lang w:val="en-US"/>
        </w:rPr>
        <w:t>-</w:t>
      </w:r>
      <w:r w:rsidRPr="00C96363">
        <w:rPr>
          <w:rFonts w:cs="Calibri"/>
          <w:sz w:val="24"/>
          <w:szCs w:val="24"/>
          <w:highlight w:val="yellow"/>
          <w:lang w:val="en-US"/>
        </w:rPr>
        <w:t xml:space="preserve">right extreme of the negative cell population. Apply this preliminary gating to all </w:t>
      </w:r>
      <w:r w:rsidR="00CE61F1" w:rsidRPr="00C96363">
        <w:rPr>
          <w:rFonts w:cs="Calibri"/>
          <w:b/>
          <w:bCs/>
          <w:sz w:val="24"/>
          <w:szCs w:val="24"/>
          <w:highlight w:val="yellow"/>
          <w:lang w:val="en-US"/>
        </w:rPr>
        <w:t>S</w:t>
      </w:r>
      <w:r w:rsidR="007740A3" w:rsidRPr="00C96363">
        <w:rPr>
          <w:rFonts w:cs="Calibri"/>
          <w:b/>
          <w:bCs/>
          <w:sz w:val="24"/>
          <w:szCs w:val="24"/>
          <w:highlight w:val="yellow"/>
          <w:lang w:val="en-US"/>
        </w:rPr>
        <w:t xml:space="preserve">ingle </w:t>
      </w:r>
      <w:r w:rsidR="00CE61F1" w:rsidRPr="00C96363">
        <w:rPr>
          <w:rFonts w:cs="Calibri"/>
          <w:b/>
          <w:bCs/>
          <w:sz w:val="24"/>
          <w:szCs w:val="24"/>
          <w:highlight w:val="yellow"/>
          <w:lang w:val="en-US"/>
        </w:rPr>
        <w:t>C</w:t>
      </w:r>
      <w:r w:rsidR="007740A3" w:rsidRPr="00C96363">
        <w:rPr>
          <w:rFonts w:cs="Calibri"/>
          <w:b/>
          <w:bCs/>
          <w:sz w:val="24"/>
          <w:szCs w:val="24"/>
          <w:highlight w:val="yellow"/>
          <w:lang w:val="en-US"/>
        </w:rPr>
        <w:t>ell</w:t>
      </w:r>
      <w:r w:rsidRPr="00C96363">
        <w:rPr>
          <w:rFonts w:cs="Calibri"/>
          <w:sz w:val="24"/>
          <w:szCs w:val="24"/>
          <w:highlight w:val="yellow"/>
          <w:lang w:val="en-US"/>
        </w:rPr>
        <w:t xml:space="preserve"> populations by dragging </w:t>
      </w:r>
      <w:r w:rsidR="007740A3" w:rsidRPr="00C96363">
        <w:rPr>
          <w:rFonts w:cs="Calibri"/>
          <w:sz w:val="24"/>
          <w:szCs w:val="24"/>
          <w:highlight w:val="yellow"/>
          <w:lang w:val="en-US"/>
        </w:rPr>
        <w:t>into the</w:t>
      </w:r>
      <w:r w:rsidRPr="00C96363">
        <w:rPr>
          <w:rFonts w:cs="Calibri"/>
          <w:sz w:val="24"/>
          <w:szCs w:val="24"/>
          <w:highlight w:val="yellow"/>
          <w:lang w:val="en-US"/>
        </w:rPr>
        <w:t xml:space="preserve"> </w:t>
      </w:r>
      <w:proofErr w:type="spellStart"/>
      <w:r w:rsidR="00CE61F1" w:rsidRPr="00C96363">
        <w:rPr>
          <w:rFonts w:cs="Calibri"/>
          <w:b/>
          <w:bCs/>
          <w:sz w:val="24"/>
          <w:szCs w:val="24"/>
          <w:highlight w:val="yellow"/>
          <w:lang w:val="en-US"/>
        </w:rPr>
        <w:t>A</w:t>
      </w:r>
      <w:r w:rsidRPr="00C96363">
        <w:rPr>
          <w:rFonts w:cs="Calibri"/>
          <w:b/>
          <w:bCs/>
          <w:sz w:val="24"/>
          <w:szCs w:val="24"/>
          <w:highlight w:val="yellow"/>
          <w:lang w:val="en-US"/>
        </w:rPr>
        <w:t>ll</w:t>
      </w:r>
      <w:r w:rsidR="00CE61F1" w:rsidRPr="00C96363">
        <w:rPr>
          <w:rFonts w:cs="Calibri"/>
          <w:b/>
          <w:bCs/>
          <w:sz w:val="24"/>
          <w:szCs w:val="24"/>
          <w:highlight w:val="yellow"/>
          <w:lang w:val="en-US"/>
        </w:rPr>
        <w:t>S</w:t>
      </w:r>
      <w:r w:rsidRPr="00C96363">
        <w:rPr>
          <w:rFonts w:cs="Calibri"/>
          <w:b/>
          <w:bCs/>
          <w:sz w:val="24"/>
          <w:szCs w:val="24"/>
          <w:highlight w:val="yellow"/>
          <w:lang w:val="en-US"/>
        </w:rPr>
        <w:t>amples</w:t>
      </w:r>
      <w:proofErr w:type="spellEnd"/>
      <w:r w:rsidRPr="00C96363">
        <w:rPr>
          <w:rFonts w:cs="Calibri"/>
          <w:sz w:val="24"/>
          <w:szCs w:val="24"/>
          <w:highlight w:val="yellow"/>
          <w:lang w:val="en-US"/>
        </w:rPr>
        <w:t xml:space="preserve"> bar.</w:t>
      </w:r>
      <w:r w:rsidR="00DE7026" w:rsidRPr="00C96363">
        <w:rPr>
          <w:rFonts w:cs="Calibri"/>
          <w:sz w:val="24"/>
          <w:szCs w:val="24"/>
          <w:highlight w:val="yellow"/>
          <w:lang w:val="en-US"/>
        </w:rPr>
        <w:t xml:space="preserve"> Where the quadrant gates do not separate </w:t>
      </w:r>
      <w:r w:rsidR="00D90B34" w:rsidRPr="00C96363">
        <w:rPr>
          <w:rFonts w:cs="Calibri"/>
          <w:sz w:val="24"/>
          <w:szCs w:val="24"/>
          <w:highlight w:val="yellow"/>
          <w:lang w:val="en-US"/>
        </w:rPr>
        <w:t>the</w:t>
      </w:r>
      <w:r w:rsidR="00DE7026" w:rsidRPr="00C96363">
        <w:rPr>
          <w:rFonts w:cs="Calibri"/>
          <w:sz w:val="24"/>
          <w:szCs w:val="24"/>
          <w:highlight w:val="yellow"/>
          <w:lang w:val="en-US"/>
        </w:rPr>
        <w:t xml:space="preserve"> populations satisfactorily</w:t>
      </w:r>
      <w:r w:rsidR="00C352CF" w:rsidRPr="00C96363">
        <w:rPr>
          <w:rFonts w:cs="Calibri"/>
          <w:sz w:val="24"/>
          <w:szCs w:val="24"/>
          <w:highlight w:val="yellow"/>
          <w:lang w:val="en-US"/>
        </w:rPr>
        <w:t>,</w:t>
      </w:r>
      <w:r w:rsidR="00DE7026" w:rsidRPr="00C96363">
        <w:rPr>
          <w:rFonts w:cs="Calibri"/>
          <w:sz w:val="24"/>
          <w:szCs w:val="24"/>
          <w:highlight w:val="yellow"/>
          <w:lang w:val="en-US"/>
        </w:rPr>
        <w:t xml:space="preserve"> it may be necessary to gate</w:t>
      </w:r>
      <w:r w:rsidR="007740A3" w:rsidRPr="00C96363">
        <w:rPr>
          <w:rFonts w:cs="Calibri"/>
          <w:sz w:val="24"/>
          <w:szCs w:val="24"/>
          <w:highlight w:val="yellow"/>
          <w:lang w:val="en-US"/>
        </w:rPr>
        <w:t xml:space="preserve"> individual quadrants</w:t>
      </w:r>
      <w:r w:rsidR="00DE7026" w:rsidRPr="00C96363">
        <w:rPr>
          <w:rFonts w:cs="Calibri"/>
          <w:sz w:val="24"/>
          <w:szCs w:val="24"/>
          <w:highlight w:val="yellow"/>
          <w:lang w:val="en-US"/>
        </w:rPr>
        <w:t xml:space="preserve"> using the polygon tool, as in </w:t>
      </w:r>
      <w:r w:rsidR="00DE7026" w:rsidRPr="00C96363">
        <w:rPr>
          <w:rFonts w:cs="Calibri"/>
          <w:b/>
          <w:bCs/>
          <w:sz w:val="24"/>
          <w:szCs w:val="24"/>
          <w:highlight w:val="yellow"/>
          <w:lang w:val="en-US"/>
        </w:rPr>
        <w:t>Figure 2</w:t>
      </w:r>
      <w:r w:rsidR="00DE7026" w:rsidRPr="00C96363">
        <w:rPr>
          <w:rFonts w:cs="Calibri"/>
          <w:sz w:val="24"/>
          <w:szCs w:val="24"/>
          <w:highlight w:val="yellow"/>
          <w:lang w:val="en-US"/>
        </w:rPr>
        <w:t>.</w:t>
      </w:r>
    </w:p>
    <w:p w14:paraId="1D115406" w14:textId="77777777" w:rsidR="007173C3" w:rsidRPr="003F7539" w:rsidRDefault="007173C3" w:rsidP="00851755">
      <w:pPr>
        <w:pStyle w:val="ListParagraph"/>
        <w:ind w:left="0"/>
        <w:rPr>
          <w:highlight w:val="yellow"/>
        </w:rPr>
      </w:pPr>
    </w:p>
    <w:p w14:paraId="3CD11AA9" w14:textId="77193665" w:rsidR="00E717EA" w:rsidRPr="00C96363" w:rsidRDefault="007173C3"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S</w:t>
      </w:r>
      <w:r w:rsidR="00E717EA" w:rsidRPr="00C96363">
        <w:rPr>
          <w:rFonts w:cs="Calibri"/>
          <w:sz w:val="24"/>
          <w:szCs w:val="24"/>
          <w:highlight w:val="yellow"/>
          <w:lang w:val="en-US"/>
        </w:rPr>
        <w:t xml:space="preserve">croll to </w:t>
      </w:r>
      <w:r w:rsidR="00DB6592" w:rsidRPr="00C96363">
        <w:rPr>
          <w:rFonts w:cs="Calibri"/>
          <w:sz w:val="24"/>
          <w:szCs w:val="24"/>
          <w:highlight w:val="yellow"/>
          <w:lang w:val="en-US"/>
        </w:rPr>
        <w:t xml:space="preserve">the wild-type SAMHD1 only sample (YFP only) and check that the gating between the </w:t>
      </w:r>
      <w:proofErr w:type="spellStart"/>
      <w:r w:rsidR="00DB6592" w:rsidRPr="00C96363">
        <w:rPr>
          <w:rFonts w:cs="Calibri"/>
          <w:sz w:val="24"/>
          <w:szCs w:val="24"/>
          <w:highlight w:val="yellow"/>
          <w:lang w:val="en-US"/>
        </w:rPr>
        <w:t>untranduced</w:t>
      </w:r>
      <w:proofErr w:type="spellEnd"/>
      <w:r w:rsidR="00DB6592" w:rsidRPr="00C96363">
        <w:rPr>
          <w:rFonts w:cs="Calibri"/>
          <w:sz w:val="24"/>
          <w:szCs w:val="24"/>
          <w:highlight w:val="yellow"/>
          <w:lang w:val="en-US"/>
        </w:rPr>
        <w:t xml:space="preserve"> (YFP </w:t>
      </w:r>
      <w:r w:rsidR="00A40153" w:rsidRPr="00C96363">
        <w:rPr>
          <w:rFonts w:cs="Calibri"/>
          <w:sz w:val="24"/>
          <w:szCs w:val="24"/>
          <w:highlight w:val="yellow"/>
          <w:lang w:val="en-US"/>
        </w:rPr>
        <w:t>negati</w:t>
      </w:r>
      <w:r w:rsidR="00DB6592" w:rsidRPr="00C96363">
        <w:rPr>
          <w:rFonts w:cs="Calibri"/>
          <w:sz w:val="24"/>
          <w:szCs w:val="24"/>
          <w:highlight w:val="yellow"/>
          <w:lang w:val="en-US"/>
        </w:rPr>
        <w:t xml:space="preserve">ve) and YFP </w:t>
      </w:r>
      <w:r w:rsidR="00A40153" w:rsidRPr="00C96363">
        <w:rPr>
          <w:rFonts w:cs="Calibri"/>
          <w:sz w:val="24"/>
          <w:szCs w:val="24"/>
          <w:highlight w:val="yellow"/>
          <w:lang w:val="en-US"/>
        </w:rPr>
        <w:t>positi</w:t>
      </w:r>
      <w:r w:rsidR="00DB6592" w:rsidRPr="00C96363">
        <w:rPr>
          <w:rFonts w:cs="Calibri"/>
          <w:sz w:val="24"/>
          <w:szCs w:val="24"/>
          <w:highlight w:val="yellow"/>
          <w:lang w:val="en-US"/>
        </w:rPr>
        <w:t xml:space="preserve">ve is correct. It may help to switch to contour view </w:t>
      </w:r>
      <w:r w:rsidR="00DB6592" w:rsidRPr="00C96363">
        <w:rPr>
          <w:rFonts w:cs="Calibri"/>
          <w:sz w:val="24"/>
          <w:szCs w:val="24"/>
          <w:highlight w:val="yellow"/>
          <w:lang w:val="en-US"/>
        </w:rPr>
        <w:lastRenderedPageBreak/>
        <w:t xml:space="preserve">to discriminate negative from dim YFP cells. </w:t>
      </w:r>
      <w:r w:rsidR="007B7A8A" w:rsidRPr="00C96363">
        <w:rPr>
          <w:rFonts w:cs="Calibri"/>
          <w:sz w:val="24"/>
          <w:szCs w:val="24"/>
          <w:highlight w:val="yellow"/>
          <w:lang w:val="en-US"/>
        </w:rPr>
        <w:t>If the upper-most YFP +</w:t>
      </w:r>
      <w:proofErr w:type="spellStart"/>
      <w:r w:rsidR="007B7A8A" w:rsidRPr="00C96363">
        <w:rPr>
          <w:rFonts w:cs="Calibri"/>
          <w:sz w:val="24"/>
          <w:szCs w:val="24"/>
          <w:highlight w:val="yellow"/>
          <w:lang w:val="en-US"/>
        </w:rPr>
        <w:t>ve</w:t>
      </w:r>
      <w:proofErr w:type="spellEnd"/>
      <w:r w:rsidR="007B7A8A" w:rsidRPr="00C96363">
        <w:rPr>
          <w:rFonts w:cs="Calibri"/>
          <w:sz w:val="24"/>
          <w:szCs w:val="24"/>
          <w:highlight w:val="yellow"/>
          <w:lang w:val="en-US"/>
        </w:rPr>
        <w:t xml:space="preserve"> cells are spread widely, </w:t>
      </w:r>
      <w:r w:rsidR="00CE61F1" w:rsidRPr="00C96363">
        <w:rPr>
          <w:rFonts w:cs="Calibri"/>
          <w:sz w:val="24"/>
          <w:szCs w:val="24"/>
          <w:highlight w:val="yellow"/>
          <w:lang w:val="en-US"/>
        </w:rPr>
        <w:t xml:space="preserve">adjust </w:t>
      </w:r>
      <w:r w:rsidR="007B7A8A" w:rsidRPr="00C96363">
        <w:rPr>
          <w:rFonts w:cs="Calibri"/>
          <w:sz w:val="24"/>
          <w:szCs w:val="24"/>
          <w:highlight w:val="yellow"/>
          <w:lang w:val="en-US"/>
        </w:rPr>
        <w:t>the upper</w:t>
      </w:r>
      <w:r w:rsidR="002D000B" w:rsidRPr="00C96363">
        <w:rPr>
          <w:rFonts w:cs="Calibri"/>
          <w:sz w:val="24"/>
          <w:szCs w:val="24"/>
          <w:highlight w:val="yellow"/>
          <w:lang w:val="en-US"/>
        </w:rPr>
        <w:t>-</w:t>
      </w:r>
      <w:r w:rsidR="007B7A8A" w:rsidRPr="00C96363">
        <w:rPr>
          <w:rFonts w:cs="Calibri"/>
          <w:sz w:val="24"/>
          <w:szCs w:val="24"/>
          <w:highlight w:val="yellow"/>
          <w:lang w:val="en-US"/>
        </w:rPr>
        <w:t>vertical gate to the right.</w:t>
      </w:r>
    </w:p>
    <w:p w14:paraId="3CF88CE0" w14:textId="77777777" w:rsidR="00DB6592" w:rsidRPr="00C96363" w:rsidRDefault="00DB6592" w:rsidP="00851755">
      <w:pPr>
        <w:pStyle w:val="NoSpacing"/>
        <w:jc w:val="both"/>
        <w:rPr>
          <w:rFonts w:cs="Calibri"/>
          <w:sz w:val="24"/>
          <w:szCs w:val="24"/>
          <w:highlight w:val="yellow"/>
          <w:lang w:val="en-US"/>
        </w:rPr>
      </w:pPr>
    </w:p>
    <w:p w14:paraId="26415228" w14:textId="537BA9CC" w:rsidR="007173C3" w:rsidRPr="00C96363" w:rsidRDefault="007173C3"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S</w:t>
      </w:r>
      <w:r w:rsidR="00E717EA" w:rsidRPr="00C96363">
        <w:rPr>
          <w:rFonts w:cs="Calibri"/>
          <w:sz w:val="24"/>
          <w:szCs w:val="24"/>
          <w:highlight w:val="yellow"/>
          <w:lang w:val="en-US"/>
        </w:rPr>
        <w:t>croll through all s</w:t>
      </w:r>
      <w:r w:rsidRPr="00C96363">
        <w:rPr>
          <w:rFonts w:cs="Calibri"/>
          <w:sz w:val="24"/>
          <w:szCs w:val="24"/>
          <w:highlight w:val="yellow"/>
          <w:lang w:val="en-US"/>
        </w:rPr>
        <w:t>amples</w:t>
      </w:r>
      <w:r w:rsidR="00E717EA" w:rsidRPr="00C96363">
        <w:rPr>
          <w:rFonts w:cs="Calibri"/>
          <w:sz w:val="24"/>
          <w:szCs w:val="24"/>
          <w:highlight w:val="yellow"/>
          <w:lang w:val="en-US"/>
        </w:rPr>
        <w:t xml:space="preserve"> and check the gating</w:t>
      </w:r>
      <w:r w:rsidR="007B7A8A" w:rsidRPr="00C96363">
        <w:rPr>
          <w:rFonts w:cs="Calibri"/>
          <w:sz w:val="24"/>
          <w:szCs w:val="24"/>
          <w:highlight w:val="yellow"/>
          <w:lang w:val="en-US"/>
        </w:rPr>
        <w:t xml:space="preserve"> with respect to YFP</w:t>
      </w:r>
      <w:r w:rsidRPr="00C96363">
        <w:rPr>
          <w:rFonts w:cs="Calibri"/>
          <w:sz w:val="24"/>
          <w:szCs w:val="24"/>
          <w:highlight w:val="yellow"/>
          <w:lang w:val="en-US"/>
        </w:rPr>
        <w:t xml:space="preserve"> positivity</w:t>
      </w:r>
      <w:r w:rsidR="00E717EA" w:rsidRPr="00C96363">
        <w:rPr>
          <w:rFonts w:cs="Calibri"/>
          <w:sz w:val="24"/>
          <w:szCs w:val="24"/>
          <w:highlight w:val="yellow"/>
          <w:lang w:val="en-US"/>
        </w:rPr>
        <w:t xml:space="preserve">. </w:t>
      </w:r>
      <w:r w:rsidR="00CE61F1" w:rsidRPr="00C96363">
        <w:rPr>
          <w:rFonts w:cs="Calibri"/>
          <w:sz w:val="24"/>
          <w:szCs w:val="24"/>
          <w:highlight w:val="yellow"/>
          <w:lang w:val="en-US"/>
        </w:rPr>
        <w:t>Use t</w:t>
      </w:r>
      <w:r w:rsidRPr="00C96363">
        <w:rPr>
          <w:rFonts w:cs="Calibri"/>
          <w:sz w:val="24"/>
          <w:szCs w:val="24"/>
          <w:highlight w:val="yellow"/>
          <w:lang w:val="en-US"/>
        </w:rPr>
        <w:t xml:space="preserve">he best division between YFP </w:t>
      </w:r>
      <w:r w:rsidR="00A40153" w:rsidRPr="00C96363">
        <w:rPr>
          <w:rFonts w:cs="Calibri"/>
          <w:sz w:val="24"/>
          <w:szCs w:val="24"/>
          <w:highlight w:val="yellow"/>
          <w:lang w:val="en-US"/>
        </w:rPr>
        <w:t>negati</w:t>
      </w:r>
      <w:r w:rsidRPr="00C96363">
        <w:rPr>
          <w:rFonts w:cs="Calibri"/>
          <w:sz w:val="24"/>
          <w:szCs w:val="24"/>
          <w:highlight w:val="yellow"/>
          <w:lang w:val="en-US"/>
        </w:rPr>
        <w:t xml:space="preserve">ve and </w:t>
      </w:r>
      <w:r w:rsidR="00A40153" w:rsidRPr="00C96363">
        <w:rPr>
          <w:rFonts w:cs="Calibri"/>
          <w:sz w:val="24"/>
          <w:szCs w:val="24"/>
          <w:highlight w:val="yellow"/>
          <w:lang w:val="en-US"/>
        </w:rPr>
        <w:t>positi</w:t>
      </w:r>
      <w:r w:rsidRPr="00C96363">
        <w:rPr>
          <w:rFonts w:cs="Calibri"/>
          <w:sz w:val="24"/>
          <w:szCs w:val="24"/>
          <w:highlight w:val="yellow"/>
          <w:lang w:val="en-US"/>
        </w:rPr>
        <w:t xml:space="preserve">ve that </w:t>
      </w:r>
      <w:r w:rsidR="00DC3B12" w:rsidRPr="00C96363">
        <w:rPr>
          <w:rFonts w:cs="Calibri"/>
          <w:sz w:val="24"/>
          <w:szCs w:val="24"/>
          <w:highlight w:val="yellow"/>
          <w:lang w:val="en-US"/>
        </w:rPr>
        <w:t>is valid for all samples.</w:t>
      </w:r>
    </w:p>
    <w:p w14:paraId="32F987C6" w14:textId="77777777" w:rsidR="007173C3" w:rsidRPr="003F7539" w:rsidRDefault="007173C3" w:rsidP="00851755">
      <w:pPr>
        <w:pStyle w:val="ListParagraph"/>
        <w:ind w:left="0"/>
        <w:rPr>
          <w:highlight w:val="yellow"/>
        </w:rPr>
      </w:pPr>
    </w:p>
    <w:p w14:paraId="29DA7619" w14:textId="1D48BB5A" w:rsidR="00E717EA" w:rsidRPr="00C96363" w:rsidRDefault="007173C3" w:rsidP="00851755">
      <w:pPr>
        <w:pStyle w:val="NoSpacing"/>
        <w:jc w:val="both"/>
        <w:rPr>
          <w:rFonts w:cs="Calibri"/>
          <w:sz w:val="24"/>
          <w:szCs w:val="24"/>
          <w:highlight w:val="yellow"/>
          <w:lang w:val="en-US"/>
        </w:rPr>
      </w:pPr>
      <w:r w:rsidRPr="00C96363">
        <w:rPr>
          <w:rFonts w:cs="Calibri"/>
          <w:sz w:val="24"/>
          <w:szCs w:val="24"/>
          <w:highlight w:val="yellow"/>
          <w:lang w:val="en-US"/>
        </w:rPr>
        <w:t>NOTE: T</w:t>
      </w:r>
      <w:r w:rsidR="00E717EA" w:rsidRPr="00C96363">
        <w:rPr>
          <w:rFonts w:cs="Calibri"/>
          <w:sz w:val="24"/>
          <w:szCs w:val="24"/>
          <w:highlight w:val="yellow"/>
          <w:lang w:val="en-US"/>
        </w:rPr>
        <w:t xml:space="preserve">he compensation will </w:t>
      </w:r>
      <w:r w:rsidRPr="00C96363">
        <w:rPr>
          <w:rFonts w:cs="Calibri"/>
          <w:sz w:val="24"/>
          <w:szCs w:val="24"/>
          <w:highlight w:val="yellow"/>
          <w:lang w:val="en-US"/>
        </w:rPr>
        <w:t xml:space="preserve">have been calculated based on the wild-type SAMHD1 YFP expression level. If infection levels are very different between different SAMHD1-YFP transduced cells, the compensation may need to be adjusted. It is therefore </w:t>
      </w:r>
      <w:r w:rsidR="00A40153" w:rsidRPr="00C96363">
        <w:rPr>
          <w:rFonts w:cs="Calibri"/>
          <w:sz w:val="24"/>
          <w:szCs w:val="24"/>
          <w:highlight w:val="yellow"/>
          <w:lang w:val="en-US"/>
        </w:rPr>
        <w:t>preferred</w:t>
      </w:r>
      <w:r w:rsidRPr="00C96363">
        <w:rPr>
          <w:rFonts w:cs="Calibri"/>
          <w:sz w:val="24"/>
          <w:szCs w:val="24"/>
          <w:highlight w:val="yellow"/>
          <w:lang w:val="en-US"/>
        </w:rPr>
        <w:t xml:space="preserve"> that YFP VLP are </w:t>
      </w:r>
      <w:r w:rsidR="002D000B" w:rsidRPr="00C96363">
        <w:rPr>
          <w:rFonts w:cs="Calibri"/>
          <w:sz w:val="24"/>
          <w:szCs w:val="24"/>
          <w:highlight w:val="yellow"/>
          <w:lang w:val="en-US"/>
        </w:rPr>
        <w:t xml:space="preserve">normalized </w:t>
      </w:r>
      <w:r w:rsidRPr="00C96363">
        <w:rPr>
          <w:rFonts w:cs="Calibri"/>
          <w:sz w:val="24"/>
          <w:szCs w:val="24"/>
          <w:highlight w:val="yellow"/>
          <w:lang w:val="en-US"/>
        </w:rPr>
        <w:t>prior to use.</w:t>
      </w:r>
    </w:p>
    <w:p w14:paraId="3CF15547" w14:textId="77777777" w:rsidR="007173C3" w:rsidRPr="00C96363" w:rsidRDefault="007173C3" w:rsidP="00851755">
      <w:pPr>
        <w:pStyle w:val="NoSpacing"/>
        <w:jc w:val="both"/>
        <w:rPr>
          <w:rFonts w:cs="Calibri"/>
          <w:sz w:val="24"/>
          <w:szCs w:val="24"/>
          <w:highlight w:val="yellow"/>
          <w:lang w:val="en-US"/>
        </w:rPr>
      </w:pPr>
    </w:p>
    <w:p w14:paraId="1161677A" w14:textId="0A482C83" w:rsidR="00DC3B12" w:rsidRPr="00C96363" w:rsidRDefault="00DC3B12"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Scroll to the </w:t>
      </w:r>
      <w:proofErr w:type="spellStart"/>
      <w:r w:rsidRPr="00C96363">
        <w:rPr>
          <w:rFonts w:cs="Calibri"/>
          <w:sz w:val="24"/>
          <w:szCs w:val="24"/>
          <w:highlight w:val="yellow"/>
          <w:lang w:val="en-US"/>
        </w:rPr>
        <w:t>untransduced</w:t>
      </w:r>
      <w:proofErr w:type="spellEnd"/>
      <w:r w:rsidRPr="00C96363">
        <w:rPr>
          <w:rFonts w:cs="Calibri"/>
          <w:sz w:val="24"/>
          <w:szCs w:val="24"/>
          <w:highlight w:val="yellow"/>
          <w:lang w:val="en-US"/>
        </w:rPr>
        <w:t xml:space="preserve">, HIV-RFP infected tube and check </w:t>
      </w:r>
      <w:r w:rsidR="002D000B" w:rsidRPr="00C96363">
        <w:rPr>
          <w:rFonts w:cs="Calibri"/>
          <w:sz w:val="24"/>
          <w:szCs w:val="24"/>
          <w:highlight w:val="yellow"/>
          <w:lang w:val="en-US"/>
        </w:rPr>
        <w:t xml:space="preserve">whether </w:t>
      </w:r>
      <w:r w:rsidRPr="00C96363">
        <w:rPr>
          <w:rFonts w:cs="Calibri"/>
          <w:sz w:val="24"/>
          <w:szCs w:val="24"/>
          <w:highlight w:val="yellow"/>
          <w:lang w:val="en-US"/>
        </w:rPr>
        <w:t xml:space="preserve">the gating </w:t>
      </w:r>
      <w:r w:rsidR="00E86D28" w:rsidRPr="00C96363">
        <w:rPr>
          <w:rFonts w:cs="Calibri"/>
          <w:sz w:val="24"/>
          <w:szCs w:val="24"/>
          <w:highlight w:val="yellow"/>
          <w:lang w:val="en-US"/>
        </w:rPr>
        <w:t>between uninfected RFP negative and infected RFP positive is correct</w:t>
      </w:r>
      <w:r w:rsidRPr="00C96363">
        <w:rPr>
          <w:rFonts w:cs="Calibri"/>
          <w:sz w:val="24"/>
          <w:szCs w:val="24"/>
          <w:highlight w:val="yellow"/>
          <w:lang w:val="en-US"/>
        </w:rPr>
        <w:t>. Adjust as appropriate, using the contour view if required and scroll through the remaining samples to check the gating is valid for all samples</w:t>
      </w:r>
      <w:r w:rsidR="00464101" w:rsidRPr="00C96363">
        <w:rPr>
          <w:rFonts w:cs="Calibri"/>
          <w:sz w:val="24"/>
          <w:szCs w:val="24"/>
          <w:highlight w:val="yellow"/>
          <w:lang w:val="en-US"/>
        </w:rPr>
        <w:t>.</w:t>
      </w:r>
    </w:p>
    <w:p w14:paraId="60CB6F43" w14:textId="77777777" w:rsidR="00DC3B12" w:rsidRPr="00C96363" w:rsidRDefault="00DC3B12" w:rsidP="00851755">
      <w:pPr>
        <w:pStyle w:val="NoSpacing"/>
        <w:jc w:val="both"/>
        <w:rPr>
          <w:rFonts w:cs="Calibri"/>
          <w:sz w:val="24"/>
          <w:szCs w:val="24"/>
          <w:highlight w:val="yellow"/>
          <w:lang w:val="en-US"/>
        </w:rPr>
      </w:pPr>
    </w:p>
    <w:p w14:paraId="7778432A" w14:textId="0BBCA56F" w:rsidR="00DC3B12" w:rsidRPr="00C96363" w:rsidRDefault="00CE61F1"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Each</w:t>
      </w:r>
      <w:r w:rsidR="00DC3B12" w:rsidRPr="00C96363">
        <w:rPr>
          <w:rFonts w:cs="Calibri"/>
          <w:sz w:val="24"/>
          <w:szCs w:val="24"/>
          <w:highlight w:val="yellow"/>
          <w:lang w:val="en-US"/>
        </w:rPr>
        <w:t xml:space="preserve"> sample </w:t>
      </w:r>
      <w:r w:rsidRPr="00C96363">
        <w:rPr>
          <w:rFonts w:cs="Calibri"/>
          <w:sz w:val="24"/>
          <w:szCs w:val="24"/>
          <w:highlight w:val="yellow"/>
          <w:lang w:val="en-US"/>
        </w:rPr>
        <w:t>requires</w:t>
      </w:r>
      <w:r w:rsidR="00DC3B12" w:rsidRPr="00C96363">
        <w:rPr>
          <w:rFonts w:cs="Calibri"/>
          <w:sz w:val="24"/>
          <w:szCs w:val="24"/>
          <w:highlight w:val="yellow"/>
          <w:lang w:val="en-US"/>
        </w:rPr>
        <w:t xml:space="preserve"> double negatives (</w:t>
      </w:r>
      <w:r w:rsidR="00851755" w:rsidRPr="00C96363">
        <w:rPr>
          <w:rFonts w:cs="Calibri"/>
          <w:sz w:val="24"/>
          <w:szCs w:val="24"/>
          <w:highlight w:val="yellow"/>
          <w:lang w:val="en-US"/>
        </w:rPr>
        <w:t xml:space="preserve">Q4: </w:t>
      </w:r>
      <w:r w:rsidR="00DC3B12" w:rsidRPr="00C96363">
        <w:rPr>
          <w:rFonts w:cs="Calibri"/>
          <w:sz w:val="24"/>
          <w:szCs w:val="24"/>
          <w:highlight w:val="yellow"/>
          <w:lang w:val="en-US"/>
        </w:rPr>
        <w:t xml:space="preserve">lower left, </w:t>
      </w:r>
      <w:proofErr w:type="spellStart"/>
      <w:r w:rsidR="00DC3B12" w:rsidRPr="00C96363">
        <w:rPr>
          <w:rFonts w:cs="Calibri"/>
          <w:sz w:val="24"/>
          <w:szCs w:val="24"/>
          <w:highlight w:val="yellow"/>
          <w:lang w:val="en-US"/>
        </w:rPr>
        <w:t>untransduced</w:t>
      </w:r>
      <w:proofErr w:type="spellEnd"/>
      <w:r w:rsidR="002D000B" w:rsidRPr="00C96363">
        <w:rPr>
          <w:rFonts w:cs="Calibri"/>
          <w:sz w:val="24"/>
          <w:szCs w:val="24"/>
          <w:highlight w:val="yellow"/>
          <w:lang w:val="en-US"/>
        </w:rPr>
        <w:t>,</w:t>
      </w:r>
      <w:r w:rsidR="00DC3B12" w:rsidRPr="00C96363">
        <w:rPr>
          <w:rFonts w:cs="Calibri"/>
          <w:sz w:val="24"/>
          <w:szCs w:val="24"/>
          <w:highlight w:val="yellow"/>
          <w:lang w:val="en-US"/>
        </w:rPr>
        <w:t xml:space="preserve"> uninfected), YFP positive (</w:t>
      </w:r>
      <w:r w:rsidR="00851755" w:rsidRPr="00C96363">
        <w:rPr>
          <w:rFonts w:cs="Calibri"/>
          <w:sz w:val="24"/>
          <w:szCs w:val="24"/>
          <w:highlight w:val="yellow"/>
          <w:lang w:val="en-US"/>
        </w:rPr>
        <w:t xml:space="preserve">Q1: </w:t>
      </w:r>
      <w:r w:rsidR="00DC3B12" w:rsidRPr="00C96363">
        <w:rPr>
          <w:rFonts w:cs="Calibri"/>
          <w:sz w:val="24"/>
          <w:szCs w:val="24"/>
          <w:highlight w:val="yellow"/>
          <w:lang w:val="en-US"/>
        </w:rPr>
        <w:t>upper left, SAMHD1 expressing, uninfected), RFP-positive (</w:t>
      </w:r>
      <w:r w:rsidR="00851755" w:rsidRPr="00C96363">
        <w:rPr>
          <w:rFonts w:cs="Calibri"/>
          <w:sz w:val="24"/>
          <w:szCs w:val="24"/>
          <w:highlight w:val="yellow"/>
          <w:lang w:val="en-US"/>
        </w:rPr>
        <w:t xml:space="preserve">Q3: </w:t>
      </w:r>
      <w:r w:rsidR="00DC3B12" w:rsidRPr="00C96363">
        <w:rPr>
          <w:rFonts w:cs="Calibri"/>
          <w:sz w:val="24"/>
          <w:szCs w:val="24"/>
          <w:highlight w:val="yellow"/>
          <w:lang w:val="en-US"/>
        </w:rPr>
        <w:t xml:space="preserve">lower right, </w:t>
      </w:r>
      <w:proofErr w:type="spellStart"/>
      <w:r w:rsidR="00DC3B12" w:rsidRPr="00C96363">
        <w:rPr>
          <w:rFonts w:cs="Calibri"/>
          <w:sz w:val="24"/>
          <w:szCs w:val="24"/>
          <w:highlight w:val="yellow"/>
          <w:lang w:val="en-US"/>
        </w:rPr>
        <w:t>untransduced</w:t>
      </w:r>
      <w:proofErr w:type="spellEnd"/>
      <w:r w:rsidR="00DC3B12" w:rsidRPr="00C96363">
        <w:rPr>
          <w:rFonts w:cs="Calibri"/>
          <w:sz w:val="24"/>
          <w:szCs w:val="24"/>
          <w:highlight w:val="yellow"/>
          <w:lang w:val="en-US"/>
        </w:rPr>
        <w:t>, HIV infected)</w:t>
      </w:r>
      <w:r w:rsidR="002D000B" w:rsidRPr="00C96363">
        <w:rPr>
          <w:rFonts w:cs="Calibri"/>
          <w:sz w:val="24"/>
          <w:szCs w:val="24"/>
          <w:highlight w:val="yellow"/>
          <w:lang w:val="en-US"/>
        </w:rPr>
        <w:t>,</w:t>
      </w:r>
      <w:r w:rsidR="00DC3B12" w:rsidRPr="00C96363">
        <w:rPr>
          <w:rFonts w:cs="Calibri"/>
          <w:sz w:val="24"/>
          <w:szCs w:val="24"/>
          <w:highlight w:val="yellow"/>
          <w:lang w:val="en-US"/>
        </w:rPr>
        <w:t xml:space="preserve"> and double positive (</w:t>
      </w:r>
      <w:r w:rsidR="00851755" w:rsidRPr="00C96363">
        <w:rPr>
          <w:rFonts w:cs="Calibri"/>
          <w:sz w:val="24"/>
          <w:szCs w:val="24"/>
          <w:highlight w:val="yellow"/>
          <w:lang w:val="en-US"/>
        </w:rPr>
        <w:t xml:space="preserve">Q2: </w:t>
      </w:r>
      <w:r w:rsidR="00DC3B12" w:rsidRPr="00C96363">
        <w:rPr>
          <w:rFonts w:cs="Calibri"/>
          <w:sz w:val="24"/>
          <w:szCs w:val="24"/>
          <w:highlight w:val="yellow"/>
          <w:lang w:val="en-US"/>
        </w:rPr>
        <w:t xml:space="preserve">upper right, SAMHD1 expressing HIV-infected). Open the table </w:t>
      </w:r>
      <w:r w:rsidR="001B143D" w:rsidRPr="00C96363">
        <w:rPr>
          <w:rFonts w:cs="Calibri"/>
          <w:sz w:val="24"/>
          <w:szCs w:val="24"/>
          <w:highlight w:val="yellow"/>
          <w:lang w:val="en-US"/>
        </w:rPr>
        <w:t>editor</w:t>
      </w:r>
      <w:r w:rsidR="00DC3B12" w:rsidRPr="00C96363">
        <w:rPr>
          <w:rFonts w:cs="Calibri"/>
          <w:sz w:val="24"/>
          <w:szCs w:val="24"/>
          <w:highlight w:val="yellow"/>
          <w:lang w:val="en-US"/>
        </w:rPr>
        <w:t xml:space="preserve"> </w:t>
      </w:r>
      <w:r w:rsidR="00851755" w:rsidRPr="00C96363">
        <w:rPr>
          <w:rFonts w:cs="Calibri"/>
          <w:sz w:val="24"/>
          <w:szCs w:val="24"/>
          <w:highlight w:val="yellow"/>
          <w:lang w:val="en-US"/>
        </w:rPr>
        <w:t xml:space="preserve">by clicking </w:t>
      </w:r>
      <w:r w:rsidR="002D000B" w:rsidRPr="00C96363">
        <w:rPr>
          <w:rFonts w:cs="Calibri"/>
          <w:sz w:val="24"/>
          <w:szCs w:val="24"/>
          <w:highlight w:val="yellow"/>
          <w:lang w:val="en-US"/>
        </w:rPr>
        <w:t xml:space="preserve">on </w:t>
      </w:r>
      <w:r w:rsidR="00851755" w:rsidRPr="00C96363">
        <w:rPr>
          <w:rFonts w:cs="Calibri"/>
          <w:sz w:val="24"/>
          <w:szCs w:val="24"/>
          <w:highlight w:val="yellow"/>
          <w:lang w:val="en-US"/>
        </w:rPr>
        <w:t xml:space="preserve">the icon </w:t>
      </w:r>
      <w:r w:rsidR="00DC3B12" w:rsidRPr="00C96363">
        <w:rPr>
          <w:rFonts w:cs="Calibri"/>
          <w:sz w:val="24"/>
          <w:szCs w:val="24"/>
          <w:highlight w:val="yellow"/>
          <w:lang w:val="en-US"/>
        </w:rPr>
        <w:t xml:space="preserve">and drag the four quadrant gates into the dashboard. Select </w:t>
      </w:r>
      <w:r w:rsidRPr="00C96363">
        <w:rPr>
          <w:rFonts w:cs="Calibri"/>
          <w:b/>
          <w:bCs/>
          <w:sz w:val="24"/>
          <w:szCs w:val="24"/>
          <w:highlight w:val="yellow"/>
          <w:lang w:val="en-US"/>
        </w:rPr>
        <w:t>E</w:t>
      </w:r>
      <w:r w:rsidR="001B143D" w:rsidRPr="00C96363">
        <w:rPr>
          <w:rFonts w:cs="Calibri"/>
          <w:b/>
          <w:bCs/>
          <w:sz w:val="24"/>
          <w:szCs w:val="24"/>
          <w:highlight w:val="yellow"/>
          <w:lang w:val="en-US"/>
        </w:rPr>
        <w:t xml:space="preserve">xcel </w:t>
      </w:r>
      <w:r w:rsidRPr="00C96363">
        <w:rPr>
          <w:rFonts w:cs="Calibri"/>
          <w:b/>
          <w:bCs/>
          <w:sz w:val="24"/>
          <w:szCs w:val="24"/>
          <w:highlight w:val="yellow"/>
          <w:lang w:val="en-US"/>
        </w:rPr>
        <w:t>Export</w:t>
      </w:r>
      <w:r w:rsidR="00DC3B12" w:rsidRPr="00C96363">
        <w:rPr>
          <w:rFonts w:cs="Calibri"/>
          <w:sz w:val="24"/>
          <w:szCs w:val="24"/>
          <w:highlight w:val="yellow"/>
          <w:lang w:val="en-US"/>
        </w:rPr>
        <w:t xml:space="preserve"> and click</w:t>
      </w:r>
      <w:r w:rsidRPr="00C96363">
        <w:rPr>
          <w:rFonts w:cs="Calibri"/>
          <w:sz w:val="24"/>
          <w:szCs w:val="24"/>
          <w:highlight w:val="yellow"/>
          <w:lang w:val="en-US"/>
        </w:rPr>
        <w:t xml:space="preserve"> on</w:t>
      </w:r>
      <w:r w:rsidR="00DC3B12" w:rsidRPr="00C96363">
        <w:rPr>
          <w:rFonts w:cs="Calibri"/>
          <w:sz w:val="24"/>
          <w:szCs w:val="24"/>
          <w:highlight w:val="yellow"/>
          <w:lang w:val="en-US"/>
        </w:rPr>
        <w:t xml:space="preserve"> </w:t>
      </w:r>
      <w:r w:rsidR="00DC3B12" w:rsidRPr="00C96363">
        <w:rPr>
          <w:rFonts w:cs="Calibri"/>
          <w:b/>
          <w:bCs/>
          <w:sz w:val="24"/>
          <w:szCs w:val="24"/>
          <w:highlight w:val="yellow"/>
          <w:lang w:val="en-US"/>
        </w:rPr>
        <w:t>Create Table</w:t>
      </w:r>
      <w:r w:rsidR="00DC3B12" w:rsidRPr="00C96363">
        <w:rPr>
          <w:rFonts w:cs="Calibri"/>
          <w:sz w:val="24"/>
          <w:szCs w:val="24"/>
          <w:highlight w:val="yellow"/>
          <w:lang w:val="en-US"/>
        </w:rPr>
        <w:t>.</w:t>
      </w:r>
      <w:r w:rsidR="001B143D" w:rsidRPr="00C96363">
        <w:rPr>
          <w:rFonts w:cs="Calibri"/>
          <w:sz w:val="24"/>
          <w:szCs w:val="24"/>
          <w:highlight w:val="yellow"/>
          <w:lang w:val="en-US"/>
        </w:rPr>
        <w:t xml:space="preserve"> Save the generated </w:t>
      </w:r>
      <w:r w:rsidRPr="00C96363">
        <w:rPr>
          <w:rFonts w:cs="Calibri"/>
          <w:sz w:val="24"/>
          <w:szCs w:val="24"/>
          <w:highlight w:val="yellow"/>
          <w:lang w:val="en-US"/>
        </w:rPr>
        <w:t xml:space="preserve">spreadsheet </w:t>
      </w:r>
      <w:r w:rsidR="001B143D" w:rsidRPr="00C96363">
        <w:rPr>
          <w:rFonts w:cs="Calibri"/>
          <w:sz w:val="24"/>
          <w:szCs w:val="24"/>
          <w:highlight w:val="yellow"/>
          <w:lang w:val="en-US"/>
        </w:rPr>
        <w:t xml:space="preserve">according to </w:t>
      </w:r>
      <w:r w:rsidR="00D90B34" w:rsidRPr="00C96363">
        <w:rPr>
          <w:rFonts w:cs="Calibri"/>
          <w:sz w:val="24"/>
          <w:szCs w:val="24"/>
          <w:highlight w:val="yellow"/>
          <w:lang w:val="en-US"/>
        </w:rPr>
        <w:t>local</w:t>
      </w:r>
      <w:r w:rsidR="001B143D" w:rsidRPr="00C96363">
        <w:rPr>
          <w:rFonts w:cs="Calibri"/>
          <w:sz w:val="24"/>
          <w:szCs w:val="24"/>
          <w:highlight w:val="yellow"/>
          <w:lang w:val="en-US"/>
        </w:rPr>
        <w:t xml:space="preserve"> file naming conventions.</w:t>
      </w:r>
    </w:p>
    <w:p w14:paraId="5BB59CB0" w14:textId="77777777" w:rsidR="00DC3B12" w:rsidRPr="00C96363" w:rsidRDefault="00DC3B12" w:rsidP="00851755">
      <w:pPr>
        <w:pStyle w:val="NoSpacing"/>
        <w:jc w:val="both"/>
        <w:rPr>
          <w:rFonts w:cs="Calibri"/>
          <w:sz w:val="24"/>
          <w:szCs w:val="24"/>
          <w:highlight w:val="yellow"/>
          <w:lang w:val="en-US"/>
        </w:rPr>
      </w:pPr>
    </w:p>
    <w:p w14:paraId="614904A5" w14:textId="0DE055A4" w:rsidR="001B143D" w:rsidRPr="00C96363" w:rsidRDefault="00851755"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To export r</w:t>
      </w:r>
      <w:r w:rsidR="001B143D" w:rsidRPr="00C96363">
        <w:rPr>
          <w:rFonts w:cs="Calibri"/>
          <w:sz w:val="24"/>
          <w:szCs w:val="24"/>
          <w:highlight w:val="yellow"/>
          <w:lang w:val="en-US"/>
        </w:rPr>
        <w:t>epresentations of plots and gating strategies</w:t>
      </w:r>
      <w:r w:rsidR="002D000B" w:rsidRPr="00C96363">
        <w:rPr>
          <w:rFonts w:cs="Calibri"/>
          <w:sz w:val="24"/>
          <w:szCs w:val="24"/>
          <w:highlight w:val="yellow"/>
          <w:lang w:val="en-US"/>
        </w:rPr>
        <w:t>,</w:t>
      </w:r>
      <w:r w:rsidR="001B143D" w:rsidRPr="00C96363">
        <w:rPr>
          <w:rFonts w:cs="Calibri"/>
          <w:sz w:val="24"/>
          <w:szCs w:val="24"/>
          <w:highlight w:val="yellow"/>
          <w:lang w:val="en-US"/>
        </w:rPr>
        <w:t xml:space="preserve"> </w:t>
      </w:r>
      <w:r w:rsidRPr="00C96363">
        <w:rPr>
          <w:rFonts w:cs="Calibri"/>
          <w:sz w:val="24"/>
          <w:szCs w:val="24"/>
          <w:highlight w:val="yellow"/>
          <w:lang w:val="en-US"/>
        </w:rPr>
        <w:t xml:space="preserve">click </w:t>
      </w:r>
      <w:r w:rsidR="00CE61F1" w:rsidRPr="00C96363">
        <w:rPr>
          <w:rFonts w:cs="Calibri"/>
          <w:sz w:val="24"/>
          <w:szCs w:val="24"/>
          <w:highlight w:val="yellow"/>
          <w:lang w:val="en-US"/>
        </w:rPr>
        <w:t xml:space="preserve">on </w:t>
      </w:r>
      <w:r w:rsidRPr="00C96363">
        <w:rPr>
          <w:rFonts w:cs="Calibri"/>
          <w:sz w:val="24"/>
          <w:szCs w:val="24"/>
          <w:highlight w:val="yellow"/>
          <w:lang w:val="en-US"/>
        </w:rPr>
        <w:t>the</w:t>
      </w:r>
      <w:r w:rsidR="001B143D" w:rsidRPr="00C96363">
        <w:rPr>
          <w:rFonts w:cs="Calibri"/>
          <w:sz w:val="24"/>
          <w:szCs w:val="24"/>
          <w:highlight w:val="yellow"/>
          <w:lang w:val="en-US"/>
        </w:rPr>
        <w:t xml:space="preserve"> </w:t>
      </w:r>
      <w:r w:rsidR="00CE61F1" w:rsidRPr="00C96363">
        <w:rPr>
          <w:rFonts w:cs="Calibri"/>
          <w:b/>
          <w:bCs/>
          <w:sz w:val="24"/>
          <w:szCs w:val="24"/>
          <w:highlight w:val="yellow"/>
          <w:lang w:val="en-US"/>
        </w:rPr>
        <w:t>Layout Editor</w:t>
      </w:r>
      <w:r w:rsidR="00CE61F1" w:rsidRPr="00C96363">
        <w:rPr>
          <w:rFonts w:cs="Calibri"/>
          <w:sz w:val="24"/>
          <w:szCs w:val="24"/>
          <w:highlight w:val="yellow"/>
          <w:lang w:val="en-US"/>
        </w:rPr>
        <w:t xml:space="preserve"> </w:t>
      </w:r>
      <w:r w:rsidRPr="00C96363">
        <w:rPr>
          <w:rFonts w:cs="Calibri"/>
          <w:sz w:val="24"/>
          <w:szCs w:val="24"/>
          <w:highlight w:val="yellow"/>
          <w:lang w:val="en-US"/>
        </w:rPr>
        <w:t>icon</w:t>
      </w:r>
      <w:r w:rsidR="001B143D" w:rsidRPr="00C96363">
        <w:rPr>
          <w:rFonts w:cs="Calibri"/>
          <w:sz w:val="24"/>
          <w:szCs w:val="24"/>
          <w:highlight w:val="yellow"/>
          <w:lang w:val="en-US"/>
        </w:rPr>
        <w:t xml:space="preserve">. Select each population and drag into the editor with the axes, </w:t>
      </w:r>
      <w:r w:rsidR="002D000B" w:rsidRPr="00C96363">
        <w:rPr>
          <w:rFonts w:cs="Calibri"/>
          <w:sz w:val="24"/>
          <w:szCs w:val="24"/>
          <w:highlight w:val="yellow"/>
          <w:lang w:val="en-US"/>
        </w:rPr>
        <w:t xml:space="preserve">labeling </w:t>
      </w:r>
      <w:r w:rsidR="001B143D" w:rsidRPr="00C96363">
        <w:rPr>
          <w:rFonts w:cs="Calibri"/>
          <w:sz w:val="24"/>
          <w:szCs w:val="24"/>
          <w:highlight w:val="yellow"/>
          <w:lang w:val="en-US"/>
        </w:rPr>
        <w:t>and spacing required.</w:t>
      </w:r>
    </w:p>
    <w:p w14:paraId="49441FAF" w14:textId="77777777" w:rsidR="001B143D" w:rsidRPr="00C96363" w:rsidRDefault="001B143D" w:rsidP="00851755">
      <w:pPr>
        <w:pStyle w:val="NoSpacing"/>
        <w:jc w:val="both"/>
        <w:rPr>
          <w:rFonts w:cs="Calibri"/>
          <w:sz w:val="24"/>
          <w:szCs w:val="24"/>
          <w:highlight w:val="yellow"/>
          <w:lang w:val="en-US"/>
        </w:rPr>
      </w:pPr>
    </w:p>
    <w:p w14:paraId="50859330" w14:textId="423DEF68" w:rsidR="001B143D" w:rsidRPr="00C96363" w:rsidRDefault="00851755"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To create a layout with the same plots shown for all samples, s</w:t>
      </w:r>
      <w:r w:rsidR="001B143D" w:rsidRPr="00C96363">
        <w:rPr>
          <w:rFonts w:cs="Calibri"/>
          <w:sz w:val="24"/>
          <w:szCs w:val="24"/>
          <w:highlight w:val="yellow"/>
          <w:lang w:val="en-US"/>
        </w:rPr>
        <w:t xml:space="preserve">elect one column and </w:t>
      </w:r>
      <w:r w:rsidR="00E717EA" w:rsidRPr="00C96363">
        <w:rPr>
          <w:rFonts w:cs="Calibri"/>
          <w:sz w:val="24"/>
          <w:szCs w:val="24"/>
          <w:highlight w:val="yellow"/>
          <w:lang w:val="en-US"/>
        </w:rPr>
        <w:t xml:space="preserve">press </w:t>
      </w:r>
      <w:r w:rsidR="00CE61F1" w:rsidRPr="00C96363">
        <w:rPr>
          <w:rFonts w:cs="Calibri"/>
          <w:sz w:val="24"/>
          <w:szCs w:val="24"/>
          <w:highlight w:val="yellow"/>
          <w:lang w:val="en-US"/>
        </w:rPr>
        <w:t xml:space="preserve">on </w:t>
      </w:r>
      <w:r w:rsidR="00CE61F1" w:rsidRPr="00C96363">
        <w:rPr>
          <w:rFonts w:cs="Calibri"/>
          <w:b/>
          <w:bCs/>
          <w:sz w:val="24"/>
          <w:szCs w:val="24"/>
          <w:highlight w:val="yellow"/>
          <w:lang w:val="en-US"/>
        </w:rPr>
        <w:t>Batch</w:t>
      </w:r>
      <w:r w:rsidR="001B143D" w:rsidRPr="00C96363">
        <w:rPr>
          <w:rFonts w:cs="Calibri"/>
          <w:sz w:val="24"/>
          <w:szCs w:val="24"/>
          <w:highlight w:val="yellow"/>
          <w:lang w:val="en-US"/>
        </w:rPr>
        <w:t xml:space="preserve">. </w:t>
      </w:r>
      <w:r w:rsidRPr="00C96363">
        <w:rPr>
          <w:rFonts w:cs="Calibri"/>
          <w:sz w:val="24"/>
          <w:szCs w:val="24"/>
          <w:highlight w:val="yellow"/>
          <w:lang w:val="en-US"/>
        </w:rPr>
        <w:t>P</w:t>
      </w:r>
      <w:r w:rsidR="001B143D" w:rsidRPr="00C96363">
        <w:rPr>
          <w:rFonts w:cs="Calibri"/>
          <w:sz w:val="24"/>
          <w:szCs w:val="24"/>
          <w:highlight w:val="yellow"/>
          <w:lang w:val="en-US"/>
        </w:rPr>
        <w:t xml:space="preserve">ress </w:t>
      </w:r>
      <w:r w:rsidR="00CE61F1" w:rsidRPr="00C96363">
        <w:rPr>
          <w:rFonts w:cs="Calibri"/>
          <w:sz w:val="24"/>
          <w:szCs w:val="24"/>
          <w:highlight w:val="yellow"/>
          <w:lang w:val="en-US"/>
        </w:rPr>
        <w:t xml:space="preserve">on </w:t>
      </w:r>
      <w:r w:rsidR="00CE61F1" w:rsidRPr="00C96363">
        <w:rPr>
          <w:rFonts w:cs="Calibri"/>
          <w:b/>
          <w:bCs/>
          <w:sz w:val="24"/>
          <w:szCs w:val="24"/>
          <w:highlight w:val="yellow"/>
          <w:lang w:val="en-US"/>
        </w:rPr>
        <w:t>S</w:t>
      </w:r>
      <w:r w:rsidR="001B143D" w:rsidRPr="00C96363">
        <w:rPr>
          <w:rFonts w:cs="Calibri"/>
          <w:b/>
          <w:bCs/>
          <w:sz w:val="24"/>
          <w:szCs w:val="24"/>
          <w:highlight w:val="yellow"/>
          <w:lang w:val="en-US"/>
        </w:rPr>
        <w:t xml:space="preserve">cale to </w:t>
      </w:r>
      <w:r w:rsidR="00CE61F1" w:rsidRPr="00C96363">
        <w:rPr>
          <w:rFonts w:cs="Calibri"/>
          <w:b/>
          <w:bCs/>
          <w:sz w:val="24"/>
          <w:szCs w:val="24"/>
          <w:highlight w:val="yellow"/>
          <w:lang w:val="en-US"/>
        </w:rPr>
        <w:t>Width</w:t>
      </w:r>
      <w:r w:rsidR="001B143D" w:rsidRPr="00C96363">
        <w:rPr>
          <w:rFonts w:cs="Calibri"/>
          <w:sz w:val="24"/>
          <w:szCs w:val="24"/>
          <w:highlight w:val="yellow"/>
          <w:lang w:val="en-US"/>
        </w:rPr>
        <w:t xml:space="preserve"> and then </w:t>
      </w:r>
      <w:r w:rsidR="00CE61F1" w:rsidRPr="00C96363">
        <w:rPr>
          <w:rFonts w:cs="Calibri"/>
          <w:b/>
          <w:bCs/>
          <w:sz w:val="24"/>
          <w:szCs w:val="24"/>
          <w:highlight w:val="yellow"/>
          <w:lang w:val="en-US"/>
        </w:rPr>
        <w:t>A</w:t>
      </w:r>
      <w:r w:rsidR="001B143D" w:rsidRPr="00C96363">
        <w:rPr>
          <w:rFonts w:cs="Calibri"/>
          <w:b/>
          <w:bCs/>
          <w:sz w:val="24"/>
          <w:szCs w:val="24"/>
          <w:highlight w:val="yellow"/>
          <w:lang w:val="en-US"/>
        </w:rPr>
        <w:t xml:space="preserve">void </w:t>
      </w:r>
      <w:r w:rsidR="00CE61F1" w:rsidRPr="00C96363">
        <w:rPr>
          <w:rFonts w:cs="Calibri"/>
          <w:b/>
          <w:bCs/>
          <w:sz w:val="24"/>
          <w:szCs w:val="24"/>
          <w:highlight w:val="yellow"/>
          <w:lang w:val="en-US"/>
        </w:rPr>
        <w:t>Page Breaks</w:t>
      </w:r>
      <w:r w:rsidR="001B143D" w:rsidRPr="00C96363">
        <w:rPr>
          <w:rFonts w:cs="Calibri"/>
          <w:sz w:val="24"/>
          <w:szCs w:val="24"/>
          <w:highlight w:val="yellow"/>
          <w:lang w:val="en-US"/>
        </w:rPr>
        <w:t>. Save in the file format required.</w:t>
      </w:r>
    </w:p>
    <w:p w14:paraId="2F6C7FB1" w14:textId="77777777" w:rsidR="001B143D" w:rsidRPr="00C96363" w:rsidRDefault="001B143D" w:rsidP="00851755">
      <w:pPr>
        <w:pStyle w:val="NoSpacing"/>
        <w:jc w:val="both"/>
        <w:rPr>
          <w:rFonts w:cs="Calibri"/>
          <w:sz w:val="24"/>
          <w:szCs w:val="24"/>
          <w:highlight w:val="yellow"/>
          <w:lang w:val="en-US"/>
        </w:rPr>
      </w:pPr>
    </w:p>
    <w:p w14:paraId="4F740348" w14:textId="724222F5" w:rsidR="001B143D" w:rsidRPr="00C96363" w:rsidRDefault="001B143D" w:rsidP="00851755">
      <w:pPr>
        <w:pStyle w:val="NoSpacing"/>
        <w:numPr>
          <w:ilvl w:val="1"/>
          <w:numId w:val="32"/>
        </w:numPr>
        <w:ind w:left="0" w:firstLine="0"/>
        <w:jc w:val="both"/>
        <w:rPr>
          <w:rFonts w:cs="Calibri"/>
          <w:sz w:val="24"/>
          <w:szCs w:val="24"/>
          <w:highlight w:val="yellow"/>
          <w:lang w:val="en-US"/>
        </w:rPr>
      </w:pPr>
      <w:r w:rsidRPr="00C96363">
        <w:rPr>
          <w:rFonts w:cs="Calibri"/>
          <w:sz w:val="24"/>
          <w:szCs w:val="24"/>
          <w:highlight w:val="yellow"/>
          <w:lang w:val="en-US"/>
        </w:rPr>
        <w:t xml:space="preserve">In the exported </w:t>
      </w:r>
      <w:r w:rsidR="00CE61F1" w:rsidRPr="00C96363">
        <w:rPr>
          <w:rFonts w:cs="Calibri"/>
          <w:sz w:val="24"/>
          <w:szCs w:val="24"/>
          <w:highlight w:val="yellow"/>
          <w:lang w:val="en-US"/>
        </w:rPr>
        <w:t>spreadsheet</w:t>
      </w:r>
      <w:r w:rsidRPr="00C96363">
        <w:rPr>
          <w:rFonts w:cs="Calibri"/>
          <w:sz w:val="24"/>
          <w:szCs w:val="24"/>
          <w:highlight w:val="yellow"/>
          <w:lang w:val="en-US"/>
        </w:rPr>
        <w:t>,</w:t>
      </w:r>
      <w:r w:rsidR="00E717EA" w:rsidRPr="00C96363">
        <w:rPr>
          <w:rFonts w:cs="Calibri"/>
          <w:sz w:val="24"/>
          <w:szCs w:val="24"/>
          <w:highlight w:val="yellow"/>
          <w:lang w:val="en-US"/>
        </w:rPr>
        <w:t xml:space="preserve"> calculate the restriction</w:t>
      </w:r>
      <w:r w:rsidRPr="00C96363">
        <w:rPr>
          <w:rFonts w:cs="Calibri"/>
          <w:sz w:val="24"/>
          <w:szCs w:val="24"/>
          <w:highlight w:val="yellow"/>
          <w:lang w:val="en-US"/>
        </w:rPr>
        <w:t xml:space="preserve"> ratio</w:t>
      </w:r>
      <w:r w:rsidR="00E717EA" w:rsidRPr="00C96363">
        <w:rPr>
          <w:rFonts w:cs="Calibri"/>
          <w:sz w:val="24"/>
          <w:szCs w:val="24"/>
          <w:highlight w:val="yellow"/>
          <w:lang w:val="en-US"/>
        </w:rPr>
        <w:t xml:space="preserve"> by </w:t>
      </w:r>
      <w:r w:rsidRPr="00C96363">
        <w:rPr>
          <w:rFonts w:cs="Calibri"/>
          <w:sz w:val="24"/>
          <w:szCs w:val="24"/>
          <w:highlight w:val="yellow"/>
          <w:lang w:val="en-US"/>
        </w:rPr>
        <w:t>generating</w:t>
      </w:r>
      <w:r w:rsidR="00E717EA" w:rsidRPr="00C96363">
        <w:rPr>
          <w:rFonts w:cs="Calibri"/>
          <w:sz w:val="24"/>
          <w:szCs w:val="24"/>
          <w:highlight w:val="yellow"/>
          <w:lang w:val="en-US"/>
        </w:rPr>
        <w:t xml:space="preserve"> columns of </w:t>
      </w:r>
      <w:r w:rsidRPr="00C96363">
        <w:rPr>
          <w:rFonts w:cs="Calibri"/>
          <w:sz w:val="24"/>
          <w:szCs w:val="24"/>
          <w:highlight w:val="yellow"/>
          <w:lang w:val="en-US"/>
        </w:rPr>
        <w:t>percentage R</w:t>
      </w:r>
      <w:r w:rsidR="00E717EA" w:rsidRPr="00C96363">
        <w:rPr>
          <w:rFonts w:cs="Calibri"/>
          <w:sz w:val="24"/>
          <w:szCs w:val="24"/>
          <w:highlight w:val="yellow"/>
          <w:lang w:val="en-US"/>
        </w:rPr>
        <w:t>FP of YFP-</w:t>
      </w:r>
      <w:proofErr w:type="spellStart"/>
      <w:r w:rsidR="00E717EA" w:rsidRPr="00C96363">
        <w:rPr>
          <w:rFonts w:cs="Calibri"/>
          <w:sz w:val="24"/>
          <w:szCs w:val="24"/>
          <w:highlight w:val="yellow"/>
          <w:lang w:val="en-US"/>
        </w:rPr>
        <w:t>ves</w:t>
      </w:r>
      <w:proofErr w:type="spellEnd"/>
      <w:r w:rsidR="00E717EA" w:rsidRPr="00C96363">
        <w:rPr>
          <w:rFonts w:cs="Calibri"/>
          <w:sz w:val="24"/>
          <w:szCs w:val="24"/>
          <w:highlight w:val="yellow"/>
          <w:lang w:val="en-US"/>
        </w:rPr>
        <w:t xml:space="preserve"> (</w:t>
      </w:r>
      <w:proofErr w:type="spellStart"/>
      <w:r w:rsidRPr="00C96363">
        <w:rPr>
          <w:rFonts w:cs="Calibri"/>
          <w:sz w:val="24"/>
          <w:szCs w:val="24"/>
          <w:highlight w:val="yellow"/>
          <w:lang w:val="en-US"/>
        </w:rPr>
        <w:t>R</w:t>
      </w:r>
      <w:r w:rsidR="00E717EA" w:rsidRPr="00C96363">
        <w:rPr>
          <w:rFonts w:cs="Calibri"/>
          <w:sz w:val="24"/>
          <w:szCs w:val="24"/>
          <w:highlight w:val="yellow"/>
          <w:lang w:val="en-US"/>
        </w:rPr>
        <w:t>FP+ve</w:t>
      </w:r>
      <w:proofErr w:type="spellEnd"/>
      <w:r w:rsidR="002D000B" w:rsidRPr="00C96363">
        <w:rPr>
          <w:rFonts w:cs="Calibri"/>
          <w:sz w:val="24"/>
          <w:szCs w:val="24"/>
          <w:highlight w:val="yellow"/>
          <w:lang w:val="en-US"/>
        </w:rPr>
        <w:t xml:space="preserve"> </w:t>
      </w:r>
      <w:r w:rsidR="00345ED4" w:rsidRPr="00C96363">
        <w:rPr>
          <w:rFonts w:cs="Calibri"/>
          <w:sz w:val="24"/>
          <w:szCs w:val="24"/>
          <w:highlight w:val="yellow"/>
          <w:lang w:val="en-US"/>
        </w:rPr>
        <w:t>/</w:t>
      </w:r>
      <w:r w:rsidR="002D000B" w:rsidRPr="00C96363">
        <w:rPr>
          <w:rFonts w:cs="Calibri"/>
          <w:sz w:val="24"/>
          <w:szCs w:val="24"/>
          <w:highlight w:val="yellow"/>
          <w:lang w:val="en-US"/>
        </w:rPr>
        <w:t xml:space="preserve"> </w:t>
      </w:r>
      <w:r w:rsidR="00E717EA" w:rsidRPr="00C96363">
        <w:rPr>
          <w:rFonts w:cs="Calibri"/>
          <w:sz w:val="24"/>
          <w:szCs w:val="24"/>
          <w:highlight w:val="yellow"/>
          <w:lang w:val="en-US"/>
        </w:rPr>
        <w:t xml:space="preserve">(negs + </w:t>
      </w:r>
      <w:proofErr w:type="spellStart"/>
      <w:r w:rsidRPr="00C96363">
        <w:rPr>
          <w:rFonts w:cs="Calibri"/>
          <w:sz w:val="24"/>
          <w:szCs w:val="24"/>
          <w:highlight w:val="yellow"/>
          <w:lang w:val="en-US"/>
        </w:rPr>
        <w:t>R</w:t>
      </w:r>
      <w:r w:rsidR="00E717EA" w:rsidRPr="00C96363">
        <w:rPr>
          <w:rFonts w:cs="Calibri"/>
          <w:sz w:val="24"/>
          <w:szCs w:val="24"/>
          <w:highlight w:val="yellow"/>
          <w:lang w:val="en-US"/>
        </w:rPr>
        <w:t>FP+ve</w:t>
      </w:r>
      <w:proofErr w:type="spellEnd"/>
      <w:r w:rsidR="00E717EA" w:rsidRPr="00C96363">
        <w:rPr>
          <w:rFonts w:cs="Calibri"/>
          <w:sz w:val="24"/>
          <w:szCs w:val="24"/>
          <w:highlight w:val="yellow"/>
          <w:lang w:val="en-US"/>
        </w:rPr>
        <w:t>)</w:t>
      </w:r>
      <w:r w:rsidR="00345ED4" w:rsidRPr="00C96363">
        <w:rPr>
          <w:rFonts w:cs="Calibri"/>
          <w:sz w:val="24"/>
          <w:szCs w:val="24"/>
          <w:highlight w:val="yellow"/>
          <w:lang w:val="en-US"/>
        </w:rPr>
        <w:t>)</w:t>
      </w:r>
      <w:r w:rsidR="00E717EA" w:rsidRPr="00C96363">
        <w:rPr>
          <w:rFonts w:cs="Calibri"/>
          <w:sz w:val="24"/>
          <w:szCs w:val="24"/>
          <w:highlight w:val="yellow"/>
          <w:lang w:val="en-US"/>
        </w:rPr>
        <w:t xml:space="preserve"> and </w:t>
      </w:r>
      <w:r w:rsidRPr="00C96363">
        <w:rPr>
          <w:rFonts w:cs="Calibri"/>
          <w:sz w:val="24"/>
          <w:szCs w:val="24"/>
          <w:highlight w:val="yellow"/>
          <w:lang w:val="en-US"/>
        </w:rPr>
        <w:t>percentage R</w:t>
      </w:r>
      <w:r w:rsidR="00E717EA" w:rsidRPr="00C96363">
        <w:rPr>
          <w:rFonts w:cs="Calibri"/>
          <w:sz w:val="24"/>
          <w:szCs w:val="24"/>
          <w:highlight w:val="yellow"/>
          <w:lang w:val="en-US"/>
        </w:rPr>
        <w:t xml:space="preserve">FP of </w:t>
      </w:r>
      <w:proofErr w:type="spellStart"/>
      <w:r w:rsidR="00E717EA" w:rsidRPr="00C96363">
        <w:rPr>
          <w:rFonts w:cs="Calibri"/>
          <w:sz w:val="24"/>
          <w:szCs w:val="24"/>
          <w:highlight w:val="yellow"/>
          <w:lang w:val="en-US"/>
        </w:rPr>
        <w:t>YFP+ves</w:t>
      </w:r>
      <w:proofErr w:type="spellEnd"/>
      <w:r w:rsidR="00E717EA" w:rsidRPr="00C96363">
        <w:rPr>
          <w:rFonts w:cs="Calibri"/>
          <w:sz w:val="24"/>
          <w:szCs w:val="24"/>
          <w:highlight w:val="yellow"/>
          <w:lang w:val="en-US"/>
        </w:rPr>
        <w:t xml:space="preserve"> (doubles</w:t>
      </w:r>
      <w:r w:rsidR="002D000B" w:rsidRPr="00C96363">
        <w:rPr>
          <w:rFonts w:cs="Calibri"/>
          <w:sz w:val="24"/>
          <w:szCs w:val="24"/>
          <w:highlight w:val="yellow"/>
          <w:lang w:val="en-US"/>
        </w:rPr>
        <w:t xml:space="preserve"> </w:t>
      </w:r>
      <w:r w:rsidR="00E717EA" w:rsidRPr="00C96363">
        <w:rPr>
          <w:rFonts w:cs="Calibri"/>
          <w:sz w:val="24"/>
          <w:szCs w:val="24"/>
          <w:highlight w:val="yellow"/>
          <w:lang w:val="en-US"/>
        </w:rPr>
        <w:t>/</w:t>
      </w:r>
      <w:r w:rsidR="002D000B" w:rsidRPr="00C96363">
        <w:rPr>
          <w:rFonts w:cs="Calibri"/>
          <w:sz w:val="24"/>
          <w:szCs w:val="24"/>
          <w:highlight w:val="yellow"/>
          <w:lang w:val="en-US"/>
        </w:rPr>
        <w:t xml:space="preserve"> </w:t>
      </w:r>
      <w:r w:rsidR="00E717EA" w:rsidRPr="00C96363">
        <w:rPr>
          <w:rFonts w:cs="Calibri"/>
          <w:sz w:val="24"/>
          <w:szCs w:val="24"/>
          <w:highlight w:val="yellow"/>
          <w:lang w:val="en-US"/>
        </w:rPr>
        <w:t xml:space="preserve">(doubles + </w:t>
      </w:r>
      <w:proofErr w:type="spellStart"/>
      <w:r w:rsidR="00E717EA" w:rsidRPr="00C96363">
        <w:rPr>
          <w:rFonts w:cs="Calibri"/>
          <w:sz w:val="24"/>
          <w:szCs w:val="24"/>
          <w:highlight w:val="yellow"/>
          <w:lang w:val="en-US"/>
        </w:rPr>
        <w:t>YFP+ve</w:t>
      </w:r>
      <w:proofErr w:type="spellEnd"/>
      <w:r w:rsidR="00E717EA" w:rsidRPr="00C96363">
        <w:rPr>
          <w:rFonts w:cs="Calibri"/>
          <w:sz w:val="24"/>
          <w:szCs w:val="24"/>
          <w:highlight w:val="yellow"/>
          <w:lang w:val="en-US"/>
        </w:rPr>
        <w:t>)</w:t>
      </w:r>
      <w:r w:rsidR="00345ED4" w:rsidRPr="00C96363">
        <w:rPr>
          <w:rFonts w:cs="Calibri"/>
          <w:sz w:val="24"/>
          <w:szCs w:val="24"/>
          <w:highlight w:val="yellow"/>
          <w:lang w:val="en-US"/>
        </w:rPr>
        <w:t>)</w:t>
      </w:r>
      <w:r w:rsidR="00E717EA" w:rsidRPr="00C96363">
        <w:rPr>
          <w:rFonts w:cs="Calibri"/>
          <w:sz w:val="24"/>
          <w:szCs w:val="24"/>
          <w:highlight w:val="yellow"/>
          <w:lang w:val="en-US"/>
        </w:rPr>
        <w:t xml:space="preserve"> and then a final column of (%</w:t>
      </w:r>
      <w:r w:rsidRPr="00C96363">
        <w:rPr>
          <w:rFonts w:cs="Calibri"/>
          <w:sz w:val="24"/>
          <w:szCs w:val="24"/>
          <w:highlight w:val="yellow"/>
          <w:lang w:val="en-US"/>
        </w:rPr>
        <w:t>R</w:t>
      </w:r>
      <w:r w:rsidR="00E717EA" w:rsidRPr="00C96363">
        <w:rPr>
          <w:rFonts w:cs="Calibri"/>
          <w:sz w:val="24"/>
          <w:szCs w:val="24"/>
          <w:highlight w:val="yellow"/>
          <w:lang w:val="en-US"/>
        </w:rPr>
        <w:t xml:space="preserve">FP of </w:t>
      </w:r>
      <w:proofErr w:type="spellStart"/>
      <w:r w:rsidR="00E717EA" w:rsidRPr="00C96363">
        <w:rPr>
          <w:rFonts w:cs="Calibri"/>
          <w:sz w:val="24"/>
          <w:szCs w:val="24"/>
          <w:highlight w:val="yellow"/>
          <w:lang w:val="en-US"/>
        </w:rPr>
        <w:t>YFP+ve</w:t>
      </w:r>
      <w:proofErr w:type="spellEnd"/>
      <w:r w:rsidR="002D000B" w:rsidRPr="00C96363">
        <w:rPr>
          <w:rFonts w:cs="Calibri"/>
          <w:sz w:val="24"/>
          <w:szCs w:val="24"/>
          <w:highlight w:val="yellow"/>
          <w:lang w:val="en-US"/>
        </w:rPr>
        <w:t xml:space="preserve"> </w:t>
      </w:r>
      <w:r w:rsidR="00E717EA" w:rsidRPr="00C96363">
        <w:rPr>
          <w:rFonts w:cs="Calibri"/>
          <w:sz w:val="24"/>
          <w:szCs w:val="24"/>
          <w:highlight w:val="yellow"/>
          <w:lang w:val="en-US"/>
        </w:rPr>
        <w:t>/</w:t>
      </w:r>
      <w:r w:rsidR="002D000B" w:rsidRPr="00C96363">
        <w:rPr>
          <w:rFonts w:cs="Calibri"/>
          <w:sz w:val="24"/>
          <w:szCs w:val="24"/>
          <w:highlight w:val="yellow"/>
          <w:lang w:val="en-US"/>
        </w:rPr>
        <w:t xml:space="preserve"> </w:t>
      </w:r>
      <w:r w:rsidR="00E717EA" w:rsidRPr="00C96363">
        <w:rPr>
          <w:rFonts w:cs="Calibri"/>
          <w:sz w:val="24"/>
          <w:szCs w:val="24"/>
          <w:highlight w:val="yellow"/>
          <w:lang w:val="en-US"/>
        </w:rPr>
        <w:t>%</w:t>
      </w:r>
      <w:r w:rsidRPr="00C96363">
        <w:rPr>
          <w:rFonts w:cs="Calibri"/>
          <w:sz w:val="24"/>
          <w:szCs w:val="24"/>
          <w:highlight w:val="yellow"/>
          <w:lang w:val="en-US"/>
        </w:rPr>
        <w:t>R</w:t>
      </w:r>
      <w:r w:rsidR="00E717EA" w:rsidRPr="00C96363">
        <w:rPr>
          <w:rFonts w:cs="Calibri"/>
          <w:sz w:val="24"/>
          <w:szCs w:val="24"/>
          <w:highlight w:val="yellow"/>
          <w:lang w:val="en-US"/>
        </w:rPr>
        <w:t>FP of negs)</w:t>
      </w:r>
      <w:r w:rsidR="00345ED4" w:rsidRPr="00C96363">
        <w:rPr>
          <w:rFonts w:cs="Calibri"/>
          <w:sz w:val="24"/>
          <w:szCs w:val="24"/>
          <w:highlight w:val="yellow"/>
          <w:lang w:val="en-US"/>
        </w:rPr>
        <w:t xml:space="preserve">, </w:t>
      </w:r>
      <w:r w:rsidR="00DE7026" w:rsidRPr="00C96363">
        <w:rPr>
          <w:rFonts w:cs="Calibri"/>
          <w:sz w:val="24"/>
          <w:szCs w:val="24"/>
          <w:highlight w:val="yellow"/>
          <w:lang w:val="en-US"/>
        </w:rPr>
        <w:t xml:space="preserve">see </w:t>
      </w:r>
      <w:r w:rsidR="00DE7026" w:rsidRPr="00C96363">
        <w:rPr>
          <w:rFonts w:cs="Calibri"/>
          <w:b/>
          <w:bCs/>
          <w:sz w:val="24"/>
          <w:szCs w:val="24"/>
          <w:highlight w:val="yellow"/>
          <w:lang w:val="en-US"/>
        </w:rPr>
        <w:t>Figure 1</w:t>
      </w:r>
      <w:r w:rsidR="00E717EA" w:rsidRPr="00C96363">
        <w:rPr>
          <w:rFonts w:cs="Calibri"/>
          <w:sz w:val="24"/>
          <w:szCs w:val="24"/>
          <w:highlight w:val="yellow"/>
          <w:lang w:val="en-US"/>
        </w:rPr>
        <w:t>.</w:t>
      </w:r>
      <w:r w:rsidR="00851755" w:rsidRPr="00C96363">
        <w:rPr>
          <w:rFonts w:cs="Calibri"/>
          <w:sz w:val="24"/>
          <w:szCs w:val="24"/>
          <w:highlight w:val="yellow"/>
          <w:lang w:val="en-US"/>
        </w:rPr>
        <w:t xml:space="preserve"> A</w:t>
      </w:r>
      <w:r w:rsidR="00D37458" w:rsidRPr="00C96363">
        <w:rPr>
          <w:rFonts w:cs="Calibri"/>
          <w:sz w:val="24"/>
          <w:szCs w:val="24"/>
          <w:highlight w:val="yellow"/>
          <w:lang w:val="en-US"/>
        </w:rPr>
        <w:t>verage the replicate data for each SAMHD1 construct and calculate whether restriction values for tested SAMHD1 variants are significantly different from wild-type and/or 206-7AA</w:t>
      </w:r>
      <w:r w:rsidR="00345ED4" w:rsidRPr="00C96363">
        <w:rPr>
          <w:rFonts w:cs="Calibri"/>
          <w:sz w:val="24"/>
          <w:szCs w:val="24"/>
          <w:highlight w:val="yellow"/>
          <w:lang w:val="en-US"/>
        </w:rPr>
        <w:t xml:space="preserve"> using appropriate data analysis software</w:t>
      </w:r>
      <w:r w:rsidR="00D37458" w:rsidRPr="00C96363">
        <w:rPr>
          <w:rFonts w:cs="Calibri"/>
          <w:sz w:val="24"/>
          <w:szCs w:val="24"/>
          <w:highlight w:val="yellow"/>
          <w:lang w:val="en-US"/>
        </w:rPr>
        <w:t>.</w:t>
      </w:r>
    </w:p>
    <w:bookmarkEnd w:id="0"/>
    <w:p w14:paraId="0FC1451F" w14:textId="77777777" w:rsidR="00010506" w:rsidRPr="00C96363" w:rsidRDefault="00010506" w:rsidP="00673C5C">
      <w:pPr>
        <w:pStyle w:val="NoSpacing"/>
        <w:jc w:val="both"/>
        <w:rPr>
          <w:rFonts w:cs="Calibri"/>
          <w:sz w:val="24"/>
          <w:szCs w:val="24"/>
          <w:highlight w:val="yellow"/>
          <w:lang w:val="en-US"/>
        </w:rPr>
      </w:pPr>
    </w:p>
    <w:p w14:paraId="6CA93CD3" w14:textId="790B22AF" w:rsidR="001D7028" w:rsidRPr="003F7539" w:rsidRDefault="00551D82">
      <w:pPr>
        <w:pBdr>
          <w:top w:val="nil"/>
          <w:left w:val="nil"/>
          <w:bottom w:val="nil"/>
          <w:right w:val="nil"/>
          <w:between w:val="nil"/>
        </w:pBdr>
        <w:rPr>
          <w:color w:val="808080"/>
        </w:rPr>
      </w:pPr>
      <w:r w:rsidRPr="003F7539">
        <w:rPr>
          <w:b/>
          <w:color w:val="000000"/>
        </w:rPr>
        <w:t>REPRESENTATIVE RESULTS:</w:t>
      </w:r>
    </w:p>
    <w:p w14:paraId="338F5F77" w14:textId="3B3E96A0" w:rsidR="00D37458" w:rsidRPr="003F7539" w:rsidRDefault="00527A5C">
      <w:r w:rsidRPr="003F7539">
        <w:t xml:space="preserve">The results of the analysis above should yield </w:t>
      </w:r>
      <w:r w:rsidR="00B92BC7" w:rsidRPr="003F7539">
        <w:t xml:space="preserve">a restriction ratio of </w:t>
      </w:r>
      <w:r w:rsidRPr="003F7539">
        <w:t>0.</w:t>
      </w:r>
      <w:r w:rsidR="00E667DA" w:rsidRPr="003F7539">
        <w:t>25</w:t>
      </w:r>
      <w:r w:rsidRPr="003F7539">
        <w:t xml:space="preserve"> or lower for the wild-type SAMHD1 positive control, and 1.0 for the negative control</w:t>
      </w:r>
      <w:r w:rsidR="00551D82" w:rsidRPr="003F7539">
        <w:t>.</w:t>
      </w:r>
      <w:r w:rsidRPr="003F7539">
        <w:t xml:space="preserve"> </w:t>
      </w:r>
      <w:r w:rsidR="00D37458" w:rsidRPr="003F7539">
        <w:t>If these two quality control checks are valid</w:t>
      </w:r>
      <w:r w:rsidR="002D000B" w:rsidRPr="003F7539">
        <w:t>,</w:t>
      </w:r>
      <w:r w:rsidR="00D37458" w:rsidRPr="003F7539">
        <w:t xml:space="preserve"> then consider the statistical significance of the results. SAMHD1 variants that show no significant difference from wild type therefore</w:t>
      </w:r>
      <w:r w:rsidR="00F0693C" w:rsidRPr="003F7539">
        <w:t xml:space="preserve"> carry substitutions which</w:t>
      </w:r>
      <w:r w:rsidR="00D37458" w:rsidRPr="003F7539">
        <w:t xml:space="preserve"> </w:t>
      </w:r>
      <w:r w:rsidR="00F0693C" w:rsidRPr="003F7539">
        <w:t>do not impact SAMHD1 restriction</w:t>
      </w:r>
      <w:r w:rsidR="00D37458" w:rsidRPr="003F7539">
        <w:t xml:space="preserve"> in this context. Those significantly different from wild type show impaired restriction. If these are not significantly different from the negative control, then they lack the ability to restrict in this context</w:t>
      </w:r>
      <w:r w:rsidR="008B761E" w:rsidRPr="003F7539">
        <w:t xml:space="preserve"> (</w:t>
      </w:r>
      <w:r w:rsidR="008B761E" w:rsidRPr="003F7539">
        <w:rPr>
          <w:b/>
          <w:bCs/>
        </w:rPr>
        <w:t xml:space="preserve">Figure </w:t>
      </w:r>
      <w:r w:rsidR="0043360D" w:rsidRPr="003F7539">
        <w:rPr>
          <w:b/>
          <w:bCs/>
        </w:rPr>
        <w:t>4</w:t>
      </w:r>
      <w:r w:rsidR="0043360D" w:rsidRPr="003F7539">
        <w:t xml:space="preserve"> left panels</w:t>
      </w:r>
      <w:r w:rsidR="008B761E" w:rsidRPr="003F7539">
        <w:t>)</w:t>
      </w:r>
      <w:r w:rsidR="00D37458" w:rsidRPr="003F7539">
        <w:t>.</w:t>
      </w:r>
    </w:p>
    <w:p w14:paraId="39EC2250" w14:textId="74ADF269" w:rsidR="00D37458" w:rsidRPr="003F7539" w:rsidRDefault="00D37458">
      <w:pPr>
        <w:rPr>
          <w:b/>
          <w:bCs/>
        </w:rPr>
      </w:pPr>
    </w:p>
    <w:p w14:paraId="32ED34F3" w14:textId="1417869C" w:rsidR="006E4797" w:rsidRPr="003F7539" w:rsidRDefault="00527A5C">
      <w:r w:rsidRPr="003F7539">
        <w:t xml:space="preserve">If the wild-type </w:t>
      </w:r>
      <w:r w:rsidR="00456CB2" w:rsidRPr="003F7539">
        <w:t xml:space="preserve">SAMHD1 </w:t>
      </w:r>
      <w:r w:rsidRPr="003F7539">
        <w:t>restriction value is greater than 0.3</w:t>
      </w:r>
      <w:r w:rsidR="002D000B" w:rsidRPr="003F7539">
        <w:t>,</w:t>
      </w:r>
      <w:r w:rsidRPr="003F7539">
        <w:t xml:space="preserve"> then </w:t>
      </w:r>
      <w:r w:rsidR="00C4117B" w:rsidRPr="003F7539">
        <w:t xml:space="preserve">results for tester viruses </w:t>
      </w:r>
      <w:r w:rsidR="0043360D" w:rsidRPr="003F7539">
        <w:t>may</w:t>
      </w:r>
      <w:r w:rsidR="00C4117B" w:rsidRPr="003F7539">
        <w:t xml:space="preserve"> be indicative but </w:t>
      </w:r>
      <w:r w:rsidR="00DE7026" w:rsidRPr="003F7539">
        <w:t>cannot</w:t>
      </w:r>
      <w:r w:rsidR="00C4117B" w:rsidRPr="003F7539">
        <w:t xml:space="preserve"> be relied upon. </w:t>
      </w:r>
      <w:r w:rsidR="001E0C3D" w:rsidRPr="003F7539">
        <w:t xml:space="preserve">Ineffective restriction by wild-type protein may </w:t>
      </w:r>
      <w:r w:rsidR="0043360D" w:rsidRPr="003F7539">
        <w:t>result from</w:t>
      </w:r>
      <w:r w:rsidR="00456CB2" w:rsidRPr="003F7539">
        <w:t xml:space="preserve"> </w:t>
      </w:r>
      <w:r w:rsidR="001E0C3D" w:rsidRPr="003F7539">
        <w:t xml:space="preserve">using </w:t>
      </w:r>
      <w:r w:rsidR="00456CB2" w:rsidRPr="003F7539">
        <w:t xml:space="preserve">U937 </w:t>
      </w:r>
      <w:r w:rsidR="001E0C3D" w:rsidRPr="003F7539">
        <w:t>cells too early post-recovery from reconstitution (within 2 weeks), or when they are too old (&gt;2</w:t>
      </w:r>
      <w:r w:rsidR="00983E7D" w:rsidRPr="003F7539">
        <w:t>–</w:t>
      </w:r>
      <w:r w:rsidR="001E0C3D" w:rsidRPr="003F7539">
        <w:t xml:space="preserve">3 months). These parameters may need to be empirically determined for a given cell stock. </w:t>
      </w:r>
      <w:r w:rsidR="00E667DA" w:rsidRPr="003F7539">
        <w:t>Typically, t</w:t>
      </w:r>
      <w:r w:rsidR="001E0C3D" w:rsidRPr="003F7539">
        <w:t xml:space="preserve">he lower the passage, the </w:t>
      </w:r>
      <w:r w:rsidR="00E667DA" w:rsidRPr="003F7539">
        <w:t>more reliably the cells differentiate and therefore provide the appropriate environment for SAMHD1 restriction.</w:t>
      </w:r>
      <w:r w:rsidR="0043360D" w:rsidRPr="003F7539">
        <w:t xml:space="preserve"> Inappropriate infection level with either SAMHD1-YFP or HIV-RFP may also result in difficulties with both compensation and downstream determination of restriction ratio. An example is illustrated in the </w:t>
      </w:r>
      <w:r w:rsidR="00464101" w:rsidRPr="003F7539">
        <w:t>right-hand</w:t>
      </w:r>
      <w:r w:rsidR="0043360D" w:rsidRPr="003F7539">
        <w:t xml:space="preserve"> panels of </w:t>
      </w:r>
      <w:r w:rsidR="0043360D" w:rsidRPr="003F7539">
        <w:rPr>
          <w:b/>
          <w:bCs/>
        </w:rPr>
        <w:t>Figure 4</w:t>
      </w:r>
      <w:r w:rsidR="0043360D" w:rsidRPr="003F7539">
        <w:t>.</w:t>
      </w:r>
    </w:p>
    <w:p w14:paraId="135F2003" w14:textId="77777777" w:rsidR="00345ED4" w:rsidRPr="003F7539" w:rsidRDefault="00345ED4"/>
    <w:p w14:paraId="315DD358" w14:textId="6B25461F" w:rsidR="001E0C3D" w:rsidRPr="003F7539" w:rsidRDefault="00E667DA">
      <w:r w:rsidRPr="003F7539">
        <w:t>If the negative control deviates from 1.0 (outside the range of 0.9</w:t>
      </w:r>
      <w:r w:rsidR="00983E7D" w:rsidRPr="003F7539">
        <w:t>–</w:t>
      </w:r>
      <w:r w:rsidRPr="003F7539">
        <w:t>1.2)</w:t>
      </w:r>
      <w:r w:rsidR="002D000B" w:rsidRPr="003F7539">
        <w:t>,</w:t>
      </w:r>
      <w:r w:rsidRPr="003F7539">
        <w:t xml:space="preserve"> this may indicate a problem with the analysis, either </w:t>
      </w:r>
      <w:r w:rsidR="00456CB2" w:rsidRPr="003F7539">
        <w:t xml:space="preserve">the </w:t>
      </w:r>
      <w:r w:rsidRPr="003F7539">
        <w:t>proportion of infected cells, gating strategy</w:t>
      </w:r>
      <w:r w:rsidR="002D000B" w:rsidRPr="003F7539">
        <w:t>,</w:t>
      </w:r>
      <w:r w:rsidRPr="003F7539">
        <w:t xml:space="preserve"> or health of the cells are affecting the assay. Refer to NOTES above.</w:t>
      </w:r>
    </w:p>
    <w:p w14:paraId="7781930F" w14:textId="77777777" w:rsidR="006E4797" w:rsidRPr="003F7539" w:rsidRDefault="006E4797">
      <w:pPr>
        <w:rPr>
          <w:color w:val="808080"/>
        </w:rPr>
      </w:pPr>
    </w:p>
    <w:p w14:paraId="5C6FFBE2" w14:textId="100016D7" w:rsidR="00AA41D5" w:rsidRPr="003F7539" w:rsidRDefault="00551D82">
      <w:pPr>
        <w:rPr>
          <w:color w:val="808080"/>
        </w:rPr>
      </w:pPr>
      <w:r w:rsidRPr="003F7539">
        <w:rPr>
          <w:b/>
        </w:rPr>
        <w:t>FIGURE AND TABLE LEGENDS:</w:t>
      </w:r>
    </w:p>
    <w:p w14:paraId="3CF9F96D" w14:textId="77777777" w:rsidR="002D000B" w:rsidRPr="003F7539" w:rsidRDefault="002D000B">
      <w:pPr>
        <w:rPr>
          <w:color w:val="808080"/>
        </w:rPr>
      </w:pPr>
    </w:p>
    <w:p w14:paraId="4F1EE704" w14:textId="207BB55A" w:rsidR="006E4797" w:rsidRPr="003F7539" w:rsidRDefault="007D7545">
      <w:r w:rsidRPr="003F7539">
        <w:rPr>
          <w:b/>
          <w:bCs/>
        </w:rPr>
        <w:t xml:space="preserve">Figure 1: </w:t>
      </w:r>
      <w:r w:rsidR="00AA41D5" w:rsidRPr="003F7539">
        <w:rPr>
          <w:b/>
          <w:bCs/>
        </w:rPr>
        <w:t>Schematic outlining protocol.</w:t>
      </w:r>
      <w:r w:rsidR="00AA41D5" w:rsidRPr="003F7539">
        <w:t xml:space="preserve"> VLP, virus-like particles, </w:t>
      </w:r>
      <w:r w:rsidR="003A4558" w:rsidRPr="003F7539">
        <w:t>PMA</w:t>
      </w:r>
      <w:r w:rsidR="00464101" w:rsidRPr="003F7539">
        <w:t>,</w:t>
      </w:r>
      <w:r w:rsidR="003A4558" w:rsidRPr="003F7539">
        <w:t xml:space="preserve"> phorbol myristate acetate. Numbered stages correspond to stages in protocol. Figure produced using BioRender.com.</w:t>
      </w:r>
    </w:p>
    <w:p w14:paraId="7C475F72" w14:textId="59258D73" w:rsidR="00040449" w:rsidRPr="003F7539" w:rsidRDefault="00040449"/>
    <w:p w14:paraId="4B3A50F8" w14:textId="099421AD" w:rsidR="005C338D" w:rsidRPr="003F7539" w:rsidRDefault="00040449" w:rsidP="005C338D">
      <w:r w:rsidRPr="003F7539">
        <w:rPr>
          <w:b/>
          <w:bCs/>
        </w:rPr>
        <w:t>Figure 2: Schematic of retroviral plasmids</w:t>
      </w:r>
      <w:r w:rsidRPr="003F7539">
        <w:t>. (</w:t>
      </w:r>
      <w:r w:rsidRPr="003F7539">
        <w:rPr>
          <w:b/>
          <w:bCs/>
        </w:rPr>
        <w:t>A</w:t>
      </w:r>
      <w:r w:rsidRPr="003F7539">
        <w:t xml:space="preserve">) Packaging </w:t>
      </w:r>
      <w:r w:rsidR="00432A14" w:rsidRPr="003F7539">
        <w:t>vectors</w:t>
      </w:r>
      <w:r w:rsidRPr="003F7539">
        <w:t xml:space="preserve"> (</w:t>
      </w:r>
      <w:r w:rsidRPr="003F7539">
        <w:rPr>
          <w:b/>
          <w:bCs/>
        </w:rPr>
        <w:t>B</w:t>
      </w:r>
      <w:r w:rsidRPr="003F7539">
        <w:t xml:space="preserve">) Transfer </w:t>
      </w:r>
      <w:r w:rsidR="00432A14" w:rsidRPr="003F7539">
        <w:t>vectors</w:t>
      </w:r>
      <w:r w:rsidRPr="003F7539">
        <w:t xml:space="preserve"> </w:t>
      </w:r>
      <w:r w:rsidR="00432A14" w:rsidRPr="003F7539">
        <w:t>(</w:t>
      </w:r>
      <w:r w:rsidRPr="00C96363">
        <w:rPr>
          <w:b/>
          <w:bCs/>
        </w:rPr>
        <w:t>C</w:t>
      </w:r>
      <w:r w:rsidRPr="003F7539">
        <w:t xml:space="preserve">) VSV-G envelope </w:t>
      </w:r>
      <w:r w:rsidR="00432A14" w:rsidRPr="004A6846">
        <w:t>expressor</w:t>
      </w:r>
      <w:r w:rsidRPr="003E0321">
        <w:t xml:space="preserve">. Key coding and regulatory elements are shown. For details refer to </w:t>
      </w:r>
      <w:r w:rsidR="00983E7D" w:rsidRPr="003E0321">
        <w:t xml:space="preserve">the </w:t>
      </w:r>
      <w:r w:rsidR="00983E7D" w:rsidRPr="003E0321">
        <w:rPr>
          <w:b/>
          <w:bCs/>
        </w:rPr>
        <w:t xml:space="preserve">Table of </w:t>
      </w:r>
      <w:r w:rsidRPr="003F7539">
        <w:rPr>
          <w:b/>
          <w:bCs/>
        </w:rPr>
        <w:t>Materials</w:t>
      </w:r>
      <w:r w:rsidRPr="003F7539">
        <w:t>.</w:t>
      </w:r>
      <w:r w:rsidR="005C338D" w:rsidRPr="003F7539">
        <w:t xml:space="preserve"> </w:t>
      </w:r>
      <w:r w:rsidR="00432A14" w:rsidRPr="003F7539">
        <w:t>CMV</w:t>
      </w:r>
      <w:r w:rsidR="006B118A" w:rsidRPr="003F7539">
        <w:t xml:space="preserve"> IE</w:t>
      </w:r>
      <w:r w:rsidR="00983E7D" w:rsidRPr="003F7539">
        <w:t xml:space="preserve">: </w:t>
      </w:r>
      <w:r w:rsidR="00432A14" w:rsidRPr="003F7539">
        <w:t>cytomegalovirus</w:t>
      </w:r>
      <w:r w:rsidR="006B118A" w:rsidRPr="003F7539">
        <w:t xml:space="preserve"> immediate-early promoter</w:t>
      </w:r>
      <w:r w:rsidR="00432A14" w:rsidRPr="003F7539">
        <w:t xml:space="preserve">, </w:t>
      </w:r>
      <w:r w:rsidR="006B118A" w:rsidRPr="003F7539">
        <w:t>BGH</w:t>
      </w:r>
      <w:r w:rsidR="00983E7D" w:rsidRPr="003F7539">
        <w:t xml:space="preserve">: </w:t>
      </w:r>
      <w:r w:rsidR="006B118A" w:rsidRPr="003F7539">
        <w:t xml:space="preserve">bovine growth hormone, </w:t>
      </w:r>
      <w:proofErr w:type="spellStart"/>
      <w:r w:rsidR="006B118A" w:rsidRPr="003F7539">
        <w:t>pA</w:t>
      </w:r>
      <w:proofErr w:type="spellEnd"/>
      <w:r w:rsidR="00983E7D" w:rsidRPr="003F7539">
        <w:t xml:space="preserve">: </w:t>
      </w:r>
      <w:proofErr w:type="spellStart"/>
      <w:r w:rsidR="006B118A" w:rsidRPr="003F7539">
        <w:t>polyA</w:t>
      </w:r>
      <w:proofErr w:type="spellEnd"/>
      <w:r w:rsidR="006B118A" w:rsidRPr="003F7539">
        <w:t>, RRE</w:t>
      </w:r>
      <w:r w:rsidR="00983E7D" w:rsidRPr="003F7539">
        <w:t xml:space="preserve">: </w:t>
      </w:r>
      <w:r w:rsidR="006B118A" w:rsidRPr="003F7539">
        <w:t>Rev Response Element, CMV-LTR</w:t>
      </w:r>
      <w:r w:rsidR="00983E7D" w:rsidRPr="003F7539">
        <w:t>:</w:t>
      </w:r>
      <w:r w:rsidR="006B118A" w:rsidRPr="003F7539">
        <w:t xml:space="preserve"> composite CMV-HIV-1 LTR promoter, Psi</w:t>
      </w:r>
      <w:r w:rsidR="00983E7D" w:rsidRPr="003F7539">
        <w:t xml:space="preserve">: </w:t>
      </w:r>
      <w:r w:rsidR="006B118A" w:rsidRPr="003F7539">
        <w:t xml:space="preserve">HIV-1 packaging signal, </w:t>
      </w:r>
      <w:proofErr w:type="spellStart"/>
      <w:r w:rsidR="006B118A" w:rsidRPr="003F7539">
        <w:t>cPPT</w:t>
      </w:r>
      <w:proofErr w:type="spellEnd"/>
      <w:r w:rsidR="006B118A" w:rsidRPr="003F7539">
        <w:t>/CTS</w:t>
      </w:r>
      <w:r w:rsidR="00983E7D" w:rsidRPr="003F7539">
        <w:t xml:space="preserve">: </w:t>
      </w:r>
      <w:r w:rsidR="006B118A" w:rsidRPr="003F7539">
        <w:t xml:space="preserve">central </w:t>
      </w:r>
      <w:proofErr w:type="spellStart"/>
      <w:r w:rsidR="006B118A" w:rsidRPr="003F7539">
        <w:t>polypurine</w:t>
      </w:r>
      <w:proofErr w:type="spellEnd"/>
      <w:r w:rsidR="006B118A" w:rsidRPr="003F7539">
        <w:t xml:space="preserve"> tract/central termination sequence, SV40</w:t>
      </w:r>
      <w:r w:rsidR="00983E7D" w:rsidRPr="003F7539">
        <w:t xml:space="preserve">: </w:t>
      </w:r>
      <w:r w:rsidR="006B118A" w:rsidRPr="003F7539">
        <w:t xml:space="preserve">simian vacuolating virus 40. </w:t>
      </w:r>
      <w:r w:rsidR="005C338D" w:rsidRPr="003F7539">
        <w:t>Figure produced using BioRender.com.</w:t>
      </w:r>
    </w:p>
    <w:p w14:paraId="6F915D17" w14:textId="77777777" w:rsidR="00AA41D5" w:rsidRPr="003F7539" w:rsidRDefault="00AA41D5"/>
    <w:p w14:paraId="36AD36FD" w14:textId="34E4AF33" w:rsidR="00AA41D5" w:rsidRPr="003F7539" w:rsidRDefault="00AA41D5">
      <w:r w:rsidRPr="003F7539">
        <w:rPr>
          <w:b/>
          <w:bCs/>
        </w:rPr>
        <w:t xml:space="preserve">Figure </w:t>
      </w:r>
      <w:r w:rsidR="00040449" w:rsidRPr="003F7539">
        <w:rPr>
          <w:b/>
          <w:bCs/>
        </w:rPr>
        <w:t>3</w:t>
      </w:r>
      <w:r w:rsidRPr="003F7539">
        <w:rPr>
          <w:b/>
          <w:bCs/>
        </w:rPr>
        <w:t>: Gating strategy for flow cytometry analysis</w:t>
      </w:r>
      <w:r w:rsidRPr="003F7539">
        <w:t>. (</w:t>
      </w:r>
      <w:r w:rsidRPr="003F7539">
        <w:rPr>
          <w:b/>
          <w:bCs/>
        </w:rPr>
        <w:t>A</w:t>
      </w:r>
      <w:r w:rsidRPr="003F7539">
        <w:t xml:space="preserve">) </w:t>
      </w:r>
      <w:r w:rsidR="00040449" w:rsidRPr="003F7539">
        <w:t xml:space="preserve">Compensation controls: left panel shows FSC-A/SSC-A gating on in-tact cells for the </w:t>
      </w:r>
      <w:proofErr w:type="spellStart"/>
      <w:r w:rsidR="00040449" w:rsidRPr="003F7539">
        <w:t>untransduced</w:t>
      </w:r>
      <w:proofErr w:type="spellEnd"/>
      <w:r w:rsidR="00040449" w:rsidRPr="003F7539">
        <w:t xml:space="preserve">, uninfected control. Central and right panels show screenshots of </w:t>
      </w:r>
      <w:r w:rsidR="0099129F" w:rsidRPr="003F7539">
        <w:t>single-color</w:t>
      </w:r>
      <w:r w:rsidR="00040449" w:rsidRPr="003F7539">
        <w:t xml:space="preserve"> compensation controls for YFP (mid) and RFP (right) with uncompensated data in black and compensated in blue. (</w:t>
      </w:r>
      <w:r w:rsidR="00040449" w:rsidRPr="003F7539">
        <w:rPr>
          <w:b/>
          <w:bCs/>
        </w:rPr>
        <w:t>B</w:t>
      </w:r>
      <w:r w:rsidR="00040449" w:rsidRPr="003F7539">
        <w:t>) Corresponding compensation matrix and plots for compensation controls above. (</w:t>
      </w:r>
      <w:r w:rsidR="00040449" w:rsidRPr="003F7539">
        <w:rPr>
          <w:b/>
          <w:bCs/>
        </w:rPr>
        <w:t>C</w:t>
      </w:r>
      <w:r w:rsidR="00040449" w:rsidRPr="003F7539">
        <w:t xml:space="preserve">) Gating strategy. </w:t>
      </w:r>
      <w:r w:rsidRPr="003F7539">
        <w:t xml:space="preserve">Debris is eliminated through analysis of all cells by </w:t>
      </w:r>
      <w:r w:rsidR="008E3644" w:rsidRPr="003F7539">
        <w:t xml:space="preserve">FSC-A/SSC-A </w:t>
      </w:r>
      <w:r w:rsidR="00040449" w:rsidRPr="003F7539">
        <w:t>(left panel)</w:t>
      </w:r>
      <w:r w:rsidRPr="003F7539">
        <w:t xml:space="preserve">. </w:t>
      </w:r>
      <w:r w:rsidR="00040449" w:rsidRPr="003F7539">
        <w:t>Doublets are excluded by gating on FSC height versus area (central panel)</w:t>
      </w:r>
      <w:r w:rsidR="00C16370" w:rsidRPr="003F7539">
        <w:t xml:space="preserve">. Right panel shows an example of HIV-1 restriction by wild-type SAMHD1. Axes show compensated blue and yellow laser fluorescence corresponding to YFP (SAMHD1) and RFP (HIV)-positive </w:t>
      </w:r>
      <w:proofErr w:type="gramStart"/>
      <w:r w:rsidR="00C16370" w:rsidRPr="003F7539">
        <w:t>cells</w:t>
      </w:r>
      <w:proofErr w:type="gramEnd"/>
      <w:r w:rsidR="00C16370" w:rsidRPr="003F7539">
        <w:t xml:space="preserve"> respectively. </w:t>
      </w:r>
      <w:r w:rsidR="00040449" w:rsidRPr="003F7539">
        <w:t>Quadrant g</w:t>
      </w:r>
      <w:r w:rsidRPr="003F7539">
        <w:t xml:space="preserve">ates are drawn though comparison of negative and </w:t>
      </w:r>
      <w:r w:rsidR="0099129F" w:rsidRPr="003F7539">
        <w:t>single-color</w:t>
      </w:r>
      <w:r w:rsidRPr="003F7539">
        <w:t xml:space="preserve"> controls for RFP and YFP</w:t>
      </w:r>
      <w:r w:rsidR="00464101" w:rsidRPr="003F7539">
        <w:t xml:space="preserve">. </w:t>
      </w:r>
      <w:r w:rsidR="00304DF7" w:rsidRPr="003F7539">
        <w:t xml:space="preserve">Numbers indicate percentage of parent population. </w:t>
      </w:r>
      <w:r w:rsidR="008E3644" w:rsidRPr="003F7539">
        <w:t>C</w:t>
      </w:r>
      <w:r w:rsidRPr="003F7539">
        <w:t xml:space="preserve">ompensation values for YFP with GFP </w:t>
      </w:r>
      <w:r w:rsidR="0028712E" w:rsidRPr="003F7539">
        <w:t xml:space="preserve">will be </w:t>
      </w:r>
      <w:r w:rsidRPr="003F7539">
        <w:t>much higher</w:t>
      </w:r>
      <w:r w:rsidR="0028712E" w:rsidRPr="003F7539">
        <w:t xml:space="preserve"> but possible to discriminate using appropriate</w:t>
      </w:r>
      <w:r w:rsidR="008E3644" w:rsidRPr="003F7539">
        <w:t xml:space="preserve"> </w:t>
      </w:r>
      <w:r w:rsidR="0028712E" w:rsidRPr="003F7539">
        <w:t>filter sets</w:t>
      </w:r>
      <w:r w:rsidRPr="003F7539">
        <w:t>.</w:t>
      </w:r>
    </w:p>
    <w:p w14:paraId="2E2356A9" w14:textId="77777777" w:rsidR="00AA41D5" w:rsidRPr="003F7539" w:rsidRDefault="00AA41D5"/>
    <w:p w14:paraId="1CC06791" w14:textId="150354FB" w:rsidR="00AA41D5" w:rsidRPr="003F7539" w:rsidRDefault="00AA41D5" w:rsidP="00AA41D5">
      <w:r w:rsidRPr="003F7539">
        <w:rPr>
          <w:b/>
          <w:bCs/>
        </w:rPr>
        <w:t xml:space="preserve">Figure </w:t>
      </w:r>
      <w:r w:rsidR="00C16370" w:rsidRPr="003F7539">
        <w:rPr>
          <w:b/>
          <w:bCs/>
        </w:rPr>
        <w:t>4</w:t>
      </w:r>
      <w:r w:rsidRPr="003F7539">
        <w:rPr>
          <w:b/>
          <w:bCs/>
        </w:rPr>
        <w:t>: Expected results: ideal versus suboptimal data.</w:t>
      </w:r>
      <w:r w:rsidRPr="003F7539">
        <w:t xml:space="preserve"> </w:t>
      </w:r>
      <w:r w:rsidR="003E4A29" w:rsidRPr="003F7539">
        <w:t>(</w:t>
      </w:r>
      <w:r w:rsidR="00C16370" w:rsidRPr="003F7539">
        <w:rPr>
          <w:b/>
          <w:bCs/>
        </w:rPr>
        <w:t>A</w:t>
      </w:r>
      <w:r w:rsidR="00C16370" w:rsidRPr="003F7539">
        <w:t xml:space="preserve">) Representative YFP/RFP plots for </w:t>
      </w:r>
      <w:r w:rsidR="003E4A29" w:rsidRPr="003F7539">
        <w:t xml:space="preserve">optimal (left) and suboptimal (right) data. </w:t>
      </w:r>
      <w:r w:rsidR="00304DF7" w:rsidRPr="003F7539">
        <w:t xml:space="preserve">Numbers indicate percentage of parent population. </w:t>
      </w:r>
      <w:r w:rsidR="003E4A29" w:rsidRPr="003F7539">
        <w:t>In the right panel, HIV infection is too low creating difficulties with compensation and gating. Restriction ratio is higher than expected at 0.5. (</w:t>
      </w:r>
      <w:r w:rsidR="003E4A29" w:rsidRPr="003F7539">
        <w:rPr>
          <w:b/>
          <w:bCs/>
        </w:rPr>
        <w:t>B</w:t>
      </w:r>
      <w:r w:rsidR="003E4A29" w:rsidRPr="003F7539">
        <w:t xml:space="preserve">) </w:t>
      </w:r>
      <w:r w:rsidRPr="003F7539">
        <w:t xml:space="preserve">Plots of restriction ratio for variants of </w:t>
      </w:r>
      <w:r w:rsidRPr="003F7539">
        <w:lastRenderedPageBreak/>
        <w:t xml:space="preserve">SAMHD1 with respect to wild type (WT, red) or the negative control (HD206-7AA, black) generated using </w:t>
      </w:r>
      <w:r w:rsidR="00AF16D5" w:rsidRPr="003F7539">
        <w:t>statistical software</w:t>
      </w:r>
      <w:r w:rsidRPr="003F7539">
        <w:t>. Each point represents a replicate value</w:t>
      </w:r>
      <w:r w:rsidR="005521C2" w:rsidRPr="003F7539">
        <w:t>. Mean and</w:t>
      </w:r>
      <w:r w:rsidRPr="003F7539">
        <w:t xml:space="preserve"> standard deviation </w:t>
      </w:r>
      <w:r w:rsidR="005521C2" w:rsidRPr="003F7539">
        <w:t>are</w:t>
      </w:r>
      <w:r w:rsidRPr="003F7539">
        <w:t xml:space="preserve"> shown. Paired </w:t>
      </w:r>
      <w:r w:rsidRPr="00C96363">
        <w:rPr>
          <w:i/>
          <w:iCs/>
        </w:rPr>
        <w:t>t</w:t>
      </w:r>
      <w:r w:rsidR="003F7539" w:rsidRPr="003F7539">
        <w:t>-</w:t>
      </w:r>
      <w:r w:rsidRPr="003F7539">
        <w:t xml:space="preserve">tests between each group were significant in all cases expect where shown. </w:t>
      </w:r>
      <w:r w:rsidR="003E4A29" w:rsidRPr="003F7539">
        <w:t>Left:</w:t>
      </w:r>
      <w:r w:rsidRPr="003F7539">
        <w:t xml:space="preserve"> Ideal data – WT shows the expected restriction of approximately 0.2, negative shows 1.0. The </w:t>
      </w:r>
      <w:r w:rsidR="0028712E" w:rsidRPr="003F7539">
        <w:t>variant</w:t>
      </w:r>
      <w:r w:rsidRPr="003F7539">
        <w:t xml:space="preserve"> R372D</w:t>
      </w:r>
      <w:r w:rsidR="001075CC" w:rsidRPr="003F7539">
        <w:t xml:space="preserve"> (</w:t>
      </w:r>
      <w:r w:rsidR="003F7539" w:rsidRPr="003F7539">
        <w:t>gray</w:t>
      </w:r>
      <w:r w:rsidR="001075CC" w:rsidRPr="003F7539">
        <w:t>)</w:t>
      </w:r>
      <w:r w:rsidRPr="003F7539">
        <w:t xml:space="preserve"> is significantly different from WT but not signi</w:t>
      </w:r>
      <w:r w:rsidR="00260A25" w:rsidRPr="003F7539">
        <w:t>f</w:t>
      </w:r>
      <w:r w:rsidRPr="003F7539">
        <w:t xml:space="preserve">icant from the negative control and thus has lost the ability to restrict. </w:t>
      </w:r>
      <w:r w:rsidR="003E4A29" w:rsidRPr="003F7539">
        <w:t>Right:</w:t>
      </w:r>
      <w:r w:rsidRPr="003F7539">
        <w:t xml:space="preserve"> Suboptimal data. Here</w:t>
      </w:r>
      <w:r w:rsidR="003F7539" w:rsidRPr="003F7539">
        <w:t>,</w:t>
      </w:r>
      <w:r w:rsidRPr="003F7539">
        <w:t xml:space="preserve"> the negative behaves as expected but in all six replicates the WT only shows a restriction ratio of 0.5</w:t>
      </w:r>
      <w:r w:rsidR="003E4A29" w:rsidRPr="003F7539">
        <w:t>, due to low infection rate</w:t>
      </w:r>
      <w:r w:rsidRPr="003F7539">
        <w:t xml:space="preserve">. </w:t>
      </w:r>
      <w:r w:rsidR="003E4A29" w:rsidRPr="003F7539">
        <w:t>T</w:t>
      </w:r>
      <w:r w:rsidRPr="003F7539">
        <w:t xml:space="preserve">he low variance within the groups </w:t>
      </w:r>
      <w:r w:rsidR="003E4A29" w:rsidRPr="003F7539">
        <w:t xml:space="preserve">means </w:t>
      </w:r>
      <w:r w:rsidRPr="003F7539">
        <w:t xml:space="preserve">R143H shows an intermediate phenotype statistically different from WT and the negative, </w:t>
      </w:r>
      <w:r w:rsidR="003F7539" w:rsidRPr="003F7539">
        <w:t xml:space="preserve">while </w:t>
      </w:r>
      <w:r w:rsidRPr="003F7539">
        <w:t>G209S does not restrict</w:t>
      </w:r>
      <w:r w:rsidR="003F7539" w:rsidRPr="003F7539">
        <w:t>;</w:t>
      </w:r>
      <w:r w:rsidRPr="003F7539">
        <w:t xml:space="preserve"> however</w:t>
      </w:r>
      <w:r w:rsidR="003F7539" w:rsidRPr="003F7539">
        <w:t>,</w:t>
      </w:r>
      <w:r w:rsidRPr="003F7539">
        <w:t xml:space="preserve"> this should be repeated with fresh cells</w:t>
      </w:r>
      <w:r w:rsidR="003E4A29" w:rsidRPr="003F7539">
        <w:t xml:space="preserve"> as the positive control has not given the expected restriction ratio</w:t>
      </w:r>
      <w:r w:rsidRPr="003F7539">
        <w:t>.</w:t>
      </w:r>
    </w:p>
    <w:p w14:paraId="4A8ED9D6" w14:textId="77777777" w:rsidR="006E4797" w:rsidRPr="003F7539" w:rsidRDefault="006E4797">
      <w:pPr>
        <w:rPr>
          <w:color w:val="808080"/>
        </w:rPr>
      </w:pPr>
    </w:p>
    <w:p w14:paraId="72D06418" w14:textId="107FF619" w:rsidR="00F02E8E" w:rsidRPr="00C96363" w:rsidRDefault="00551D82">
      <w:r w:rsidRPr="003F7539">
        <w:rPr>
          <w:b/>
        </w:rPr>
        <w:t>DISCUSSION:</w:t>
      </w:r>
    </w:p>
    <w:p w14:paraId="3F9CD911" w14:textId="46225F6C" w:rsidR="00F02E8E" w:rsidRPr="003F7539" w:rsidRDefault="00F02E8E">
      <w:r w:rsidRPr="003F7539">
        <w:t xml:space="preserve">As discussed in the notes above, the critical aspects of the protocol </w:t>
      </w:r>
      <w:r w:rsidR="003F7539" w:rsidRPr="003F7539">
        <w:t>center</w:t>
      </w:r>
      <w:r w:rsidRPr="003F7539">
        <w:t xml:space="preserve"> around retaining the correct cell phenotype for VLP production and for creating the appropriate environment for observing SAMHD1 restriction. </w:t>
      </w:r>
      <w:r w:rsidR="00A342FC" w:rsidRPr="004A6846">
        <w:t>Firstly, t</w:t>
      </w:r>
      <w:r w:rsidRPr="003E0321">
        <w:t xml:space="preserve">he accurate analysis of restriction by </w:t>
      </w:r>
      <w:r w:rsidR="0099129F" w:rsidRPr="003E0321">
        <w:t>two-color</w:t>
      </w:r>
      <w:r w:rsidRPr="003E0321">
        <w:t xml:space="preserve"> flow cytometry relies on achieving appropriate proportions of transduced and infected cells so that there are enoug</w:t>
      </w:r>
      <w:r w:rsidRPr="003F7539">
        <w:t xml:space="preserve">h cells in each area of the plot for analysis. As such the researcher should be aiming for </w:t>
      </w:r>
      <w:r w:rsidR="00496B1A" w:rsidRPr="003F7539">
        <w:t xml:space="preserve">an MOI of less than 1 (see </w:t>
      </w:r>
      <w:r w:rsidR="003F7539" w:rsidRPr="00C96363">
        <w:rPr>
          <w:b/>
          <w:bCs/>
        </w:rPr>
        <w:t>P</w:t>
      </w:r>
      <w:r w:rsidR="00496B1A" w:rsidRPr="00C96363">
        <w:rPr>
          <w:b/>
          <w:bCs/>
        </w:rPr>
        <w:t>rotocol</w:t>
      </w:r>
      <w:r w:rsidR="00496B1A" w:rsidRPr="003F7539">
        <w:t xml:space="preserve">). </w:t>
      </w:r>
      <w:r w:rsidRPr="004A6846">
        <w:t xml:space="preserve">Transduction and infection rates that are either too high or too low lead to problems with analysis due to lack of uninfected </w:t>
      </w:r>
      <w:r w:rsidRPr="003F7539">
        <w:t>or doubl</w:t>
      </w:r>
      <w:r w:rsidR="00595F12" w:rsidRPr="003F7539">
        <w:t>y</w:t>
      </w:r>
      <w:r w:rsidRPr="003F7539">
        <w:t xml:space="preserve"> infected cells. Equally</w:t>
      </w:r>
      <w:r w:rsidR="003F7539">
        <w:t>,</w:t>
      </w:r>
      <w:r w:rsidRPr="003F7539">
        <w:t xml:space="preserve"> a similar transduction rate for SAMHD1 vectors to be compared i</w:t>
      </w:r>
      <w:r w:rsidRPr="004A6846">
        <w:t>s key to allowing the same compensation matrix and gating to be applied to the whole experiment, increasing confidence in the subsequent analysis.</w:t>
      </w:r>
    </w:p>
    <w:p w14:paraId="7F402DD3" w14:textId="77777777" w:rsidR="00F02E8E" w:rsidRPr="003F7539" w:rsidRDefault="00F02E8E"/>
    <w:p w14:paraId="5C2AF0E3" w14:textId="2FB3937E" w:rsidR="0009193D" w:rsidRPr="003E0321" w:rsidRDefault="00A342FC">
      <w:r w:rsidRPr="003F7539">
        <w:t xml:space="preserve">Secondly, the age of the U937 cells used is a key factor in whether they differentiate successfully. Successful differentiation can be monitored through observation of adherence, a reduced acidification of the media over time following differentiation and adequate restriction by the wild </w:t>
      </w:r>
      <w:proofErr w:type="gramStart"/>
      <w:r w:rsidRPr="003F7539">
        <w:t>type</w:t>
      </w:r>
      <w:proofErr w:type="gramEnd"/>
      <w:r w:rsidRPr="003F7539">
        <w:t xml:space="preserve"> positive control in the assay.</w:t>
      </w:r>
      <w:r w:rsidR="0028712E" w:rsidRPr="003F7539">
        <w:t xml:space="preserve"> Differentiation of up to </w:t>
      </w:r>
      <w:r w:rsidR="003F7539">
        <w:t>5</w:t>
      </w:r>
      <w:r w:rsidR="003F7539" w:rsidRPr="003F7539">
        <w:t xml:space="preserve"> </w:t>
      </w:r>
      <w:r w:rsidR="0028712E" w:rsidRPr="004A6846">
        <w:t xml:space="preserve">days has </w:t>
      </w:r>
      <w:r w:rsidR="0028712E" w:rsidRPr="003E0321">
        <w:t>been successful.</w:t>
      </w:r>
    </w:p>
    <w:p w14:paraId="6BFBDBF3" w14:textId="77777777" w:rsidR="00A342FC" w:rsidRPr="00C96363" w:rsidRDefault="00A342FC"/>
    <w:p w14:paraId="3831E852" w14:textId="172E19C6" w:rsidR="00A342FC" w:rsidRPr="003F7539" w:rsidRDefault="00A342FC">
      <w:r w:rsidRPr="004A6846">
        <w:t>One of the key advantages to this assay is its flexibility. A variety of modified versions of SAMHD1 (domains, amino acids, species seque</w:t>
      </w:r>
      <w:r w:rsidRPr="003F7539">
        <w:t>nces) can be tested via simple site-directed mutagenesis of the vector</w:t>
      </w:r>
      <w:r w:rsidR="00595F12" w:rsidRPr="003F7539">
        <w:t xml:space="preserve"> or cloning</w:t>
      </w:r>
      <w:r w:rsidRPr="003F7539">
        <w:t xml:space="preserve">. Equally, variants of the tester virus can be explored. </w:t>
      </w:r>
      <w:r w:rsidR="00DE01D1" w:rsidRPr="003F7539">
        <w:t>T</w:t>
      </w:r>
      <w:r w:rsidRPr="003F7539">
        <w:t xml:space="preserve">he assay </w:t>
      </w:r>
      <w:r w:rsidR="00DE01D1" w:rsidRPr="003F7539">
        <w:t xml:space="preserve">has been used previously </w:t>
      </w:r>
      <w:r w:rsidRPr="003F7539">
        <w:t>to demonstrate that HIV-1 reverse transcriptase mutants with reduced capacity to bind dNTP are more sensitive to SAMHD1 restriction. The same principle can be used to test the restriction of other viruses by SAMHD1. Furthermore</w:t>
      </w:r>
      <w:r w:rsidR="00CF0EF2" w:rsidRPr="003F7539">
        <w:t>,</w:t>
      </w:r>
      <w:r w:rsidRPr="003F7539">
        <w:t xml:space="preserve"> varying differentiation conditions or artificial manipulation of intracellular dNTP concentrations can be used to further probe the interaction between intracellular conditions and SAMHD1 activity, an area of active research in the Bishop lab. </w:t>
      </w:r>
      <w:r w:rsidR="00CF0EF2" w:rsidRPr="003F7539">
        <w:t>The interaction of</w:t>
      </w:r>
      <w:r w:rsidRPr="003F7539">
        <w:t xml:space="preserve"> SAMHD1 </w:t>
      </w:r>
      <w:r w:rsidR="00CF0EF2" w:rsidRPr="003F7539">
        <w:t>with various nucleoside reverse transcriptase inhibitors</w:t>
      </w:r>
      <w:r w:rsidRPr="003F7539">
        <w:t xml:space="preserve"> ha</w:t>
      </w:r>
      <w:r w:rsidR="00CF0EF2" w:rsidRPr="003F7539">
        <w:t>s</w:t>
      </w:r>
      <w:r w:rsidRPr="003F7539">
        <w:t xml:space="preserve"> also been described</w:t>
      </w:r>
      <w:r w:rsidR="00CF0EF2" w:rsidRPr="003F7539">
        <w:t>,</w:t>
      </w:r>
      <w:r w:rsidRPr="003F7539">
        <w:t xml:space="preserve"> and </w:t>
      </w:r>
      <w:r w:rsidR="00CF0EF2" w:rsidRPr="003F7539">
        <w:t>the effect of</w:t>
      </w:r>
      <w:r w:rsidRPr="003F7539">
        <w:t xml:space="preserve"> SAMHD1 shown using this assay modified for use in primary cells</w:t>
      </w:r>
      <w:r w:rsidRPr="003F7539">
        <w:fldChar w:fldCharType="begin" w:fldLock="1"/>
      </w:r>
      <w:r w:rsidR="00D0611B" w:rsidRPr="003F7539">
        <w:instrText>ADDIN CSL_CITATION {"citationItems":[{"id":"ITEM-1","itemData":{"DOI":"10.1038/srep42824","ISSN":"20452322","abstract":"© The Author(s) 2017. SAMHD1 is an intracellular enzyme that specifically degrades deoxynucleoside triphosphates into component nucleoside and inorganic triphosphate. In myeloid-derived dendritic cells and macrophages as well as resting T-cells, SAMHD1 blocks HIV-1 infection through this dNTP triphosphohydrolase activity by reducing the cellular dNTP pool to a level that cannot support productive reverse transcription. We now show that, in addition to this direct effect on virus replication, manipulating cellular SAMHD1 activity can significantly enhance or decrease the anti-HIV-1 efficacy of nucleotide analogue reverse transcription inhibitors presumably as a result of modulating dNTP pools that compete for recruitment by viral polymerases. Further, a variety of other nucleotide-based analogues, not normally considered antiretrovirals, such as the anti-herpes drugs Aciclovir and Ganciclovir and the anti-cancer drug Clofarabine are now revealed as potent anti-HIV-1 agents, under conditions of low dNTPs. This in turn suggests novel uses for nucleotide analogues to inhibit HIV-1 in differentiated cells low in dNTPs.","author":[{"dropping-particle":"","family":"Ordonez","given":"P.","non-dropping-particle":"","parse-names":false,"suffix":""},{"dropping-particle":"","family":"Kunzelmann","given":"S.","non-dropping-particle":"","parse-names":false,"suffix":""},{"dropping-particle":"","family":"Groom","given":"H.C.T.","non-dropping-particle":"","parse-names":false,"suffix":""},{"dropping-particle":"","family":"Yap","given":"M.W.","non-dropping-particle":"","parse-names":false,"suffix":""},{"dropping-particle":"","family":"Weising","given":"S.","non-dropping-particle":"","parse-names":false,"suffix":""},{"dropping-particle":"","family":"Meier","given":"C.","non-dropping-particle":"","parse-names":false,"suffix":""},{"dropping-particle":"","family":"Bishop","given":"K.N.","non-dropping-particle":"","parse-names":false,"suffix":""},{"dropping-particle":"","family":"Taylor","given":"I.A.","non-dropping-particle":"","parse-names":false,"suffix":""},{"dropping-particle":"","family":"Stoye","given":"J.P.","non-dropping-particle":"","parse-names":false,"suffix":""}],"container-title":"Scientific Reports","id":"ITEM-1","issued":{"date-parts":[["2017"]]},"title":"SAMHD1 enhances nucleoside-analogue efficacy against HIV-1 in myeloid cells","type":"article-journal","volume":"7"},"uris":["http://www.mendeley.com/documents/?uuid=b59d71d0-1054-3b54-b65b-b291d3ed8f8a"]},{"id":"ITEM-2","itemData":{"DOI":"10.1128/AAC.03145-14","ISBN":"1098-6596 (Electronic)\r0066-4804 (Linking)","PMID":"24913159","abstract":"SAMHD1 is a dNTP triphophohydrolase recently been recognized as an antiviral factor that acts by depleting dNTP availability for viral reverse transcriptase. SAMHD1 restriction is counteracted by the HIV-2 accessory protein Vpx, which targets SAMHD1 for proteosomal degradation, resulting in an increased availability of dNTPs and consequently enhanced viral replication. Nucleoside reverse transcriptase inhibitors (NRTIs), one of the most commonly agents used in antiretroviral therapy, compete with intracellular dNTPs as substrate for viral RT. Consequently, SAMHD1 activity may be influencing NRTI efficacy in inhibiting viral replication. Here, a panel of different RT inhibitors was analyzed for their different antiviral efficacy depending on SAMHD1. Antiviral potency was measured for all the inhibitors in transformed cell lines and primary monocyte-derived macrophages and CD4+ T cells infected with HIV-1 with or without Vpx. No changes in sensitivity to non-NRTIs or the integrase inhibitor raltegravir were observed, but for NRTIs, sensitivity significantly changed only in the case of the thymidine analogs (AZT and d4T). Addition of exogenous thymidine mimicked the change in viral sensitivity observed after Vpx-mediated SAMHD1 degradation pointing towards a differential effect of SAMHD1 activity on thymidine. Accordingly, sensitivity to AZT was also reduced in CD4+ T cells infected with HIV-2 compared to infection with HIV-2 DeltaVpx. In conclusion, reduction of SAMHD1 levels significantly decreases HIV sensitivity to thymidine but not other nucleotide RT analog inhibitors in both macrophages and lymphocytes.","author":[{"dropping-particle":"","family":"Ballana","given":"E","non-dropping-particle":"","parse-names":false,"suffix":""},{"dropping-particle":"","family":"Badia","given":"R","non-dropping-particle":"","parse-names":false,"suffix":""},{"dropping-particle":"","family":"Terradas","given":"G","non-dropping-particle":"","parse-names":false,"suffix":""},{"dropping-particle":"","family":"Torres-Torronteras","given":"J","non-dropping-particle":"","parse-names":false,"suffix":""},{"dropping-particle":"","family":"Ruiz","given":"A","non-dropping-particle":"","parse-names":false,"suffix":""},{"dropping-particle":"","family":"Pauls","given":"E","non-dropping-particle":"","parse-names":false,"suffix":""},{"dropping-particle":"","family":"Riveira-Munoz","given":"E","non-dropping-particle":"","parse-names":false,"suffix":""},{"dropping-particle":"","family":"Clotet","given":"B","non-dropping-particle":"","parse-names":false,"suffix":""},{"dropping-particle":"","family":"Marti","given":"R","non-dropping-particle":"","parse-names":false,"suffix":""},{"dropping-particle":"","family":"Este","given":"J A","non-dropping-particle":"","parse-names":false,"suffix":""}],"container-title":"Antimicrob Agents Chemother","edition":"2014/06/11","id":"ITEM-2","issued":{"date-parts":[["2014"]]},"language":"Eng","note":"Ballana, Ester\nBadia, Roger\nTerradas, Gerard\nTorres-Torronteras, Javier\nRuiz, Alba\nPauls, Eduardo\nRiveira-Munoz, Eva\nClotet, Bonaventura\nMarti, Ramon\nEste, Jose A\nAntimicrob Agents Chemother. 2014 Jun 9. pii: AAC.03145-14.","title":"SAMHD1 specifically affects the antiviral potency of thymidine analog HIV reverse transcriptase inhibitors","type":"article-journal"},"uris":["http://www.mendeley.com/documents/?uuid=a3bc01a0-9620-4df4-8b59-404ef1913edc"]},{"id":"ITEM-3","itemData":{"DOI":"10.1128/AAC.02745-14","ISSN":"10986596","PMID":"24867973","abstract":"SAMHD1 limits HIV-1 replication by hydrolyzing deoxynucleoside triphosphates (dNTPs) necessary for reverse transcription. Nucleoside Reverse Transcriptase Inhibitors (NRTIs) are components of anti-HIV therapies. We report that SAMHD1 cleaves NRTI triphosphates (NRTI-TPs) at a significantly lower rate than dNTPs and that SAMHD1 depletion from monocytic cells affects susceptibility of HIV-1 infection to NRTIs in complex ways that depend not only on the relative changes in dNTP and NRTI-TP concentrations, but also on the NRTI activation pathways.","author":[{"dropping-particle":"","family":"Huber","given":"Andrew D.","non-dropping-particle":"","parse-names":false,"suffix":""},{"dropping-particle":"","family":"Michailidis","given":"Eleftherios","non-dropping-particle":"","parse-names":false,"suffix":""},{"dropping-particle":"","family":"Schultz","given":"Megan L.","non-dropping-particle":"","parse-names":false,"suffix":""},{"dropping-particle":"","family":"Ong","given":"Yee T.","non-dropping-particle":"","parse-names":false,"suffix":""},{"dropping-particle":"","family":"Bloch","given":"Nicolin","non-dropping-particle":"","parse-names":false,"suffix":""},{"dropping-particle":"","family":"Puray-Chavez","given":"Maritza N.","non-dropping-particle":"","parse-names":false,"suffix":""},{"dropping-particle":"","family":"Leslie","given":"Maxwell D.","non-dropping-particle":"","parse-names":false,"suffix":""},{"dropping-particle":"","family":"Ji","given":"Juan","non-dropping-particle":"","parse-names":false,"suffix":""},{"dropping-particle":"","family":"Lucas","given":"Anthony D.","non-dropping-particle":"","parse-names":false,"suffix":""},{"dropping-particle":"","family":"Kirby","given":"Karen A.","non-dropping-particle":"","parse-names":false,"suffix":""},{"dropping-particle":"","family":"Landau","given":"Nathaniel R.","non-dropping-particle":"","parse-names":false,"suffix":""},{"dropping-particle":"","family":"Sarafianos","given":"Stefan G.","non-dropping-particle":"","parse-names":false,"suffix":""}],"container-title":"Antimicrobial Agents and Chemotherapy","id":"ITEM-3","issued":{"date-parts":[["2014"]]},"title":"SAMHD1 has differential impact on the efficacies of HIV nucleoside reverse transcriptase inhibitors","type":"article-journal"},"uris":["http://www.mendeley.com/documents/?uuid=eaa661e4-417f-4943-817e-5df88ee170b8"]},{"id":"ITEM-4","itemData":{"DOI":"10.1074/jbc.M113.472159","ISBN":"1083-351X (Electronic)\r0021-9258 (Linking)","PMID":"23744077","abstract":"Newly identified anti-HIV host factor, SAMHD1, restricts replication of lentiviruses such as HIV-1, HIV-2, and simian immunodeficiency virus in macrophages by enzymatically hydrolyzing and depleting cellular dNTPs, which are the substrates of viral DNA polymerases. HIV-2 and some simian immunodeficiency viruses express viral protein X (VPX), which counteracts SAMHD1 and elevates cellular dNTPs, enhancing viral replication in macrophages. Because nucleoside reverse transcriptase inhibitors (NRTIs), the most commonly used anti-HIV drugs, compete against cellular dNTPs for incorporation into proviral DNA, we tested whether SAMHD1 directly affects the efficacy of NRTIs in inhibiting HIV-1. We found that reduction of SAMHD1 levels with the use of virus-like particles expressing Vpx- and SAMHD1-specific shRNA subsequently elevates cellular dNTPs and significantly decreases HIV-1 sensitivity to various NRTIs in macrophages. However, virus-like particles +Vpx treatment of activated CD4(+) T cells only minimally reduced NRTI efficacy. Furthermore, with the use of HPLC, we could not detect SAMHD1-mediated hydrolysis of NRTI-triphosphates, verifying that the reduced sensitivity of HIV-1 to NRTIs upon SAMHD1 degradation is most likely caused by the elevation in cellular dNTPs.","author":[{"dropping-particle":"","family":"Amie","given":"S M","non-dropping-particle":"","parse-names":false,"suffix":""},{"dropping-particle":"","family":"Daly","given":"M B","non-dropping-particle":"","parse-names":false,"suffix":""},{"dropping-particle":"","family":"Noble","given":"E","non-dropping-particle":"","parse-names":false,"suffix":""},{"dropping-particle":"","family":"Schinazi","given":"R F","non-dropping-particle":"","parse-names":false,"suffix":""},{"dropping-particle":"","family":"Bambara","given":"R A","non-dropping-particle":"","parse-names":false,"suffix":""},{"dropping-particle":"","family":"Kim","given":"B","non-dropping-particle":"","parse-names":false,"suffix":""}],"container-title":"J Biol Chem","edition":"2013/06/08","id":"ITEM-4","issue":"28","issued":{"date-parts":[["2013"]]},"language":"eng","note":"From Duplicate 1 (Anti-HIV Host Factor SAMHD1 Regulates Viral Sensitivity to Nucleoside Reverse Transcriptase Inhibitors via Modulation of Cellular Deoxyribonucleoside Triphosphate (dNTP) Levels - Amie, S M; Daly, M B; Noble, E; Schinazi, R F; Bambara, R A; Kim, B)\n\nAmie, Sarah M\nDaly, Michele B\nNoble, Erin\nSchinazi, Raymond F\nBambara, Robert A\nKim, Baek\nJ Biol Chem. 2013 Jul 12;288(28):20683-91. doi: 10.1074/jbc.M113.472159. Epub 2013 Jun 5.\n\nFrom Duplicate 2 (Anti-HIV host factor SAMHD1 regulates viral sensitivity to nucleoside reverse transcriptase inhibitors via modulation of cellular deoxyribonucleoside triphosphate (dNTP) levels - Amie, S M; Daly, M B; Noble, E; Schinazi, R F; Bambara, R A; Kim, B)\n\nAmie, Sarah M\nDaly, Michele B\nNoble, Erin\nSchinazi, Raymond F\nBambara, Robert A\nKim, Baek\n5P30-AI-50409/AI/NIAID NIH HHS/\nAI049781/AI/NIAID NIH HHS/\nAI077401/AI/NIAID NIH HHS/\nDE007202/DE/NIDCR NIH HHS/\nGM049573/GM/NIGMS NIH HHS/\nGM068411/GM/NIGMS NIH HHS/\nR01 GM104198/GM/NIGMS NIH HHS/\nT32 GM068411/GM/NIGMS NIH HHS/\nJ Biol Chem. 2013 Jul 12;288(28):20683-91. doi: 10.1074/jbc.M113.472159. Epub 2013 Jun 5.","page":"20683-20691","title":"Anti-HIV Host Factor SAMHD1 Regulates Viral Sensitivity to Nucleoside Reverse Transcriptase Inhibitors via Modulation of Cellular Deoxyribonucleoside Triphosphate (dNTP) Levels","type":"article-journal","volume":"288"},"uris":["http://www.mendeley.com/documents/?uuid=00cf4a80-e615-4a50-a32d-1c2a73a208a6"]}],"mendeley":{"formattedCitation":"&lt;sup&gt;12–15&lt;/sup&gt;","plainTextFormattedCitation":"12–15","previouslyFormattedCitation":"&lt;sup&gt;11–14&lt;/sup&gt;"},"properties":{"noteIndex":0},"schema":"https://github.com/citation-style-language/schema/raw/master/csl-citation.json"}</w:instrText>
      </w:r>
      <w:r w:rsidRPr="003F7539">
        <w:fldChar w:fldCharType="separate"/>
      </w:r>
      <w:r w:rsidR="00D0611B" w:rsidRPr="00C96363">
        <w:rPr>
          <w:vertAlign w:val="superscript"/>
        </w:rPr>
        <w:t>12–15</w:t>
      </w:r>
      <w:r w:rsidRPr="003F7539">
        <w:fldChar w:fldCharType="end"/>
      </w:r>
      <w:r w:rsidRPr="003F7539">
        <w:t>.</w:t>
      </w:r>
    </w:p>
    <w:p w14:paraId="47B94880" w14:textId="77777777" w:rsidR="002B00F3" w:rsidRPr="00C96363" w:rsidRDefault="002B00F3"/>
    <w:p w14:paraId="2A1F31C4" w14:textId="0E495C37" w:rsidR="00F02E8E" w:rsidRPr="00B743B8" w:rsidRDefault="002B00F3">
      <w:r w:rsidRPr="004A6846">
        <w:t>Adaptation of the protocol for use in primary cells overcomes the limitation p</w:t>
      </w:r>
      <w:r w:rsidRPr="003E0321">
        <w:t xml:space="preserve">osed by examining metabolic phenotypes in transformed cells. However, the existing format allows for </w:t>
      </w:r>
      <w:r w:rsidR="00D05890">
        <w:t xml:space="preserve">a </w:t>
      </w:r>
      <w:r w:rsidRPr="003E0321">
        <w:t xml:space="preserve">convenient and less technically challenging </w:t>
      </w:r>
      <w:r w:rsidR="00595F12" w:rsidRPr="003F7539">
        <w:t>protocol</w:t>
      </w:r>
      <w:r w:rsidRPr="003F7539">
        <w:t xml:space="preserve"> for high throughput analysis, especially with use of a </w:t>
      </w:r>
      <w:r w:rsidRPr="003F7539">
        <w:lastRenderedPageBreak/>
        <w:t>flow cytometer with a high-throughput sampler.</w:t>
      </w:r>
      <w:r w:rsidR="008B761E" w:rsidRPr="003F7539">
        <w:t xml:space="preserve"> When adapting the protocol, the susceptibility of the internally </w:t>
      </w:r>
      <w:proofErr w:type="spellStart"/>
      <w:r w:rsidR="008B761E" w:rsidRPr="003F7539">
        <w:t>untransduced</w:t>
      </w:r>
      <w:proofErr w:type="spellEnd"/>
      <w:r w:rsidR="008B761E" w:rsidRPr="003F7539">
        <w:t xml:space="preserve"> cells to bystander effects</w:t>
      </w:r>
      <w:r w:rsidR="00D05890">
        <w:t xml:space="preserve"> (e.g.,</w:t>
      </w:r>
      <w:r w:rsidR="008B761E" w:rsidRPr="00B743B8">
        <w:t xml:space="preserve"> immune signaling</w:t>
      </w:r>
      <w:r w:rsidR="00D05890">
        <w:t>)</w:t>
      </w:r>
      <w:r w:rsidR="00D05890" w:rsidRPr="00B743B8">
        <w:t xml:space="preserve"> </w:t>
      </w:r>
      <w:r w:rsidR="008B761E" w:rsidRPr="00B743B8">
        <w:t>should be considered.</w:t>
      </w:r>
    </w:p>
    <w:p w14:paraId="30EC1927" w14:textId="77777777" w:rsidR="002B00F3" w:rsidRPr="00C96363" w:rsidRDefault="002B00F3"/>
    <w:p w14:paraId="6C8DC2BC" w14:textId="2849D40C" w:rsidR="002B00F3" w:rsidRPr="003F7539" w:rsidRDefault="002B00F3">
      <w:r w:rsidRPr="00B743B8">
        <w:t>As with many aspects of cell biology</w:t>
      </w:r>
      <w:r w:rsidR="00B743B8">
        <w:t>,</w:t>
      </w:r>
      <w:r w:rsidRPr="00B743B8">
        <w:t xml:space="preserve"> it is essential that such assays are used as part of a holistic approach for understanding a given phenomenon. The parallel use of biochemical assays for SAMHD1 activity</w:t>
      </w:r>
      <w:r w:rsidR="004A03DB" w:rsidRPr="00B743B8">
        <w:fldChar w:fldCharType="begin" w:fldLock="1"/>
      </w:r>
      <w:r w:rsidR="00D0611B" w:rsidRPr="003F7539">
        <w:instrText>ADDIN CSL_CITATION {"citationItems":[{"id":"ITEM-1","itemData":{"DOI":"10.1128/AAC.03903-14","ISBN":"1098-6596 (Electronic)\r0066-4804 (Linking)","PMID":"25331707","abstract":"Development of dNTP-based drugs requires a quantitative understanding of any inhibition, activation or hydrolysis by off-target cellular enzymes. SAMHD1 is a regulatory dNTP-triphosphohydrolase that inhibits HIV-1 replication in human myeloid cells. We describe a coupled-enzyme assay to quantify activation, inhibition and hydrolysis of dNTPs, nucleotide analogues and nucleotide analogue inhibitors by triphosphohydrolase enzymes. The assay facilitates mechanistic studies of triphosphohydrolase enzymes and quantification of off-target effects of nucleotide-based antiviral and chemotherapeutic agents.","author":[{"dropping-particle":"","family":"Arnold","given":"L H","non-dropping-particle":"","parse-names":false,"suffix":""},{"dropping-particle":"","family":"Kunzelmann","given":"S","non-dropping-particle":"","parse-names":false,"suffix":""},{"dropping-particle":"","family":"Webb","given":"M R","non-dropping-particle":"","parse-names":false,"suffix":""},{"dropping-particle":"","family":"Taylor","given":"I A","non-dropping-particle":"","parse-names":false,"suffix":""}],"container-title":"Antimicrob Agents Chemother","edition":"2014/10/22","id":"ITEM-1","issued":{"date-parts":[["2014"]]},"language":"Eng","note":"Arnold, Laurence H\nKunzelmann, Simone\nWebb, Martin R\nTaylor, Ian A\nMC_U117512742/Medical Research Council/United Kingdom\nAntimicrob Agents Chemother. 2014 Oct 20. pii: AAC.03903-14.","title":"A continuous enzyme-coupled assay for triphosphohydrolase activity of HIV-1 restriction factor SAMHD1","type":"article-journal"},"uris":["http://www.mendeley.com/documents/?uuid=97a63ae3-327c-4476-8e13-6a4e49171d39"]}],"mendeley":{"formattedCitation":"&lt;sup&gt;16&lt;/sup&gt;","plainTextFormattedCitation":"16","previouslyFormattedCitation":"&lt;sup&gt;15&lt;/sup&gt;"},"properties":{"noteIndex":0},"schema":"https://github.com/citation-style-language/schema/raw/master/csl-citation.json"}</w:instrText>
      </w:r>
      <w:r w:rsidR="004A03DB" w:rsidRPr="00B743B8">
        <w:fldChar w:fldCharType="separate"/>
      </w:r>
      <w:r w:rsidR="00D0611B" w:rsidRPr="00C96363">
        <w:rPr>
          <w:vertAlign w:val="superscript"/>
        </w:rPr>
        <w:t>16</w:t>
      </w:r>
      <w:r w:rsidR="004A03DB" w:rsidRPr="00B743B8">
        <w:fldChar w:fldCharType="end"/>
      </w:r>
      <w:r w:rsidRPr="003F7539">
        <w:t>, quantification of intracellular dNTP pools</w:t>
      </w:r>
      <w:r w:rsidR="00B743B8">
        <w:t>,</w:t>
      </w:r>
      <w:r w:rsidRPr="003F7539">
        <w:t xml:space="preserve"> </w:t>
      </w:r>
      <w:r w:rsidR="00832898" w:rsidRPr="00B743B8">
        <w:t xml:space="preserve">and observation of SAMHD1 mutant phenotypes in humans, </w:t>
      </w:r>
      <w:r w:rsidR="00832898" w:rsidRPr="00B743B8">
        <w:rPr>
          <w:i/>
          <w:iCs/>
        </w:rPr>
        <w:t>ex vivo</w:t>
      </w:r>
      <w:r w:rsidR="00832898" w:rsidRPr="004A6846">
        <w:t xml:space="preserve"> and in a</w:t>
      </w:r>
      <w:r w:rsidR="00832898" w:rsidRPr="003E0321">
        <w:t>nimal models (being carried out by labs around the world</w:t>
      </w:r>
      <w:r w:rsidR="0028712E" w:rsidRPr="003F7539">
        <w:t>, some described in this issue</w:t>
      </w:r>
      <w:r w:rsidR="00832898" w:rsidRPr="003F7539">
        <w:t xml:space="preserve">) are key for </w:t>
      </w:r>
      <w:r w:rsidR="00983E7D" w:rsidRPr="003F7539">
        <w:t xml:space="preserve">the </w:t>
      </w:r>
      <w:r w:rsidR="00832898" w:rsidRPr="003F7539">
        <w:t>evolving understanding of this complex protein.</w:t>
      </w:r>
    </w:p>
    <w:p w14:paraId="33E2B3C1" w14:textId="77777777" w:rsidR="006E4797" w:rsidRPr="003F7539" w:rsidRDefault="006E4797">
      <w:pPr>
        <w:rPr>
          <w:color w:val="000000"/>
        </w:rPr>
      </w:pPr>
    </w:p>
    <w:p w14:paraId="1B16B2F4" w14:textId="335898BE" w:rsidR="006E4797" w:rsidRPr="003F7539" w:rsidRDefault="00551D82">
      <w:pPr>
        <w:pBdr>
          <w:top w:val="nil"/>
          <w:left w:val="nil"/>
          <w:bottom w:val="nil"/>
          <w:right w:val="nil"/>
          <w:between w:val="nil"/>
        </w:pBdr>
        <w:rPr>
          <w:color w:val="808080"/>
        </w:rPr>
      </w:pPr>
      <w:r w:rsidRPr="003F7539">
        <w:rPr>
          <w:b/>
          <w:color w:val="000000"/>
        </w:rPr>
        <w:t>ACKNOWLEDGMENTS:</w:t>
      </w:r>
    </w:p>
    <w:p w14:paraId="68406EE9" w14:textId="68E87654" w:rsidR="00F05657" w:rsidRPr="00C96363" w:rsidRDefault="00F05657" w:rsidP="00F05657">
      <w:pPr>
        <w:rPr>
          <w:color w:val="000000" w:themeColor="text1"/>
        </w:rPr>
      </w:pPr>
      <w:r w:rsidRPr="00C96363">
        <w:rPr>
          <w:color w:val="000000" w:themeColor="text1"/>
        </w:rPr>
        <w:t>This work was supported by the Francis Crick Institute, which receives its core funding from Cancer Research UK (FC001042 and FC001162), the UK Medical Research Council (FC001042 and FC001162)</w:t>
      </w:r>
      <w:r w:rsidR="00B743B8">
        <w:rPr>
          <w:color w:val="000000" w:themeColor="text1"/>
        </w:rPr>
        <w:t>,</w:t>
      </w:r>
      <w:r w:rsidRPr="00C96363">
        <w:rPr>
          <w:color w:val="000000" w:themeColor="text1"/>
        </w:rPr>
        <w:t xml:space="preserve"> and the </w:t>
      </w:r>
      <w:proofErr w:type="spellStart"/>
      <w:r w:rsidRPr="00C96363">
        <w:rPr>
          <w:color w:val="000000" w:themeColor="text1"/>
        </w:rPr>
        <w:t>Wellcome</w:t>
      </w:r>
      <w:proofErr w:type="spellEnd"/>
      <w:r w:rsidRPr="00C96363">
        <w:rPr>
          <w:color w:val="000000" w:themeColor="text1"/>
        </w:rPr>
        <w:t xml:space="preserve"> trust (FC001042 and FC001162) and by a </w:t>
      </w:r>
      <w:proofErr w:type="spellStart"/>
      <w:r w:rsidRPr="00C96363">
        <w:rPr>
          <w:color w:val="000000" w:themeColor="text1"/>
        </w:rPr>
        <w:t>Wellcome</w:t>
      </w:r>
      <w:proofErr w:type="spellEnd"/>
      <w:r w:rsidRPr="00C96363">
        <w:rPr>
          <w:color w:val="000000" w:themeColor="text1"/>
        </w:rPr>
        <w:t xml:space="preserve"> Trust Investigator Award to JPS (108012/Z/15/Z).</w:t>
      </w:r>
      <w:r w:rsidR="00297FA1" w:rsidRPr="00C96363">
        <w:rPr>
          <w:color w:val="000000" w:themeColor="text1"/>
        </w:rPr>
        <w:t>Work at the University of Cambridge was co</w:t>
      </w:r>
      <w:r w:rsidR="00595F12" w:rsidRPr="00C96363">
        <w:rPr>
          <w:color w:val="000000" w:themeColor="text1"/>
        </w:rPr>
        <w:t>-</w:t>
      </w:r>
      <w:r w:rsidR="00297FA1" w:rsidRPr="00C96363">
        <w:rPr>
          <w:color w:val="000000" w:themeColor="text1"/>
        </w:rPr>
        <w:t>funded by the NIHR Cambridge Biomedical Research Centre, The Evelyn Trust</w:t>
      </w:r>
      <w:r w:rsidR="00FD71F4" w:rsidRPr="00C96363">
        <w:rPr>
          <w:color w:val="000000" w:themeColor="text1"/>
        </w:rPr>
        <w:t xml:space="preserve"> (16/21)</w:t>
      </w:r>
      <w:r w:rsidR="00297FA1" w:rsidRPr="00C96363">
        <w:rPr>
          <w:color w:val="000000" w:themeColor="text1"/>
        </w:rPr>
        <w:t xml:space="preserve">, The </w:t>
      </w:r>
      <w:proofErr w:type="spellStart"/>
      <w:r w:rsidR="00297FA1" w:rsidRPr="00C96363">
        <w:rPr>
          <w:color w:val="000000" w:themeColor="text1"/>
        </w:rPr>
        <w:t>Rosetrees</w:t>
      </w:r>
      <w:proofErr w:type="spellEnd"/>
      <w:r w:rsidR="00297FA1" w:rsidRPr="00C96363">
        <w:rPr>
          <w:color w:val="000000" w:themeColor="text1"/>
        </w:rPr>
        <w:t xml:space="preserve"> Trust</w:t>
      </w:r>
      <w:r w:rsidR="00FD71F4" w:rsidRPr="00C96363">
        <w:rPr>
          <w:color w:val="000000" w:themeColor="text1"/>
        </w:rPr>
        <w:t xml:space="preserve"> (M590)</w:t>
      </w:r>
      <w:r w:rsidR="00297FA1" w:rsidRPr="00C96363">
        <w:rPr>
          <w:color w:val="000000" w:themeColor="text1"/>
        </w:rPr>
        <w:t xml:space="preserve">, and the UK Medical Research Council (MR/S009752/1). The latter UK funded award is part of the EDCTP2 </w:t>
      </w:r>
      <w:proofErr w:type="spellStart"/>
      <w:r w:rsidR="00297FA1" w:rsidRPr="00C96363">
        <w:rPr>
          <w:color w:val="000000" w:themeColor="text1"/>
        </w:rPr>
        <w:t>programme</w:t>
      </w:r>
      <w:proofErr w:type="spellEnd"/>
      <w:r w:rsidR="00297FA1" w:rsidRPr="00C96363">
        <w:rPr>
          <w:color w:val="000000" w:themeColor="text1"/>
        </w:rPr>
        <w:t xml:space="preserve"> supported by the European Union.</w:t>
      </w:r>
    </w:p>
    <w:p w14:paraId="24A61465" w14:textId="77777777" w:rsidR="006E4797" w:rsidRPr="003F7539" w:rsidRDefault="006E4797">
      <w:pPr>
        <w:rPr>
          <w:b/>
        </w:rPr>
      </w:pPr>
    </w:p>
    <w:p w14:paraId="12692602" w14:textId="39107565" w:rsidR="006E4797" w:rsidRPr="003F7539" w:rsidRDefault="00551D82">
      <w:pPr>
        <w:pBdr>
          <w:top w:val="nil"/>
          <w:left w:val="nil"/>
          <w:bottom w:val="nil"/>
          <w:right w:val="nil"/>
          <w:between w:val="nil"/>
        </w:pBdr>
        <w:rPr>
          <w:color w:val="808080"/>
        </w:rPr>
      </w:pPr>
      <w:r w:rsidRPr="00B743B8">
        <w:rPr>
          <w:b/>
          <w:color w:val="000000"/>
        </w:rPr>
        <w:t>DISCLOSURES</w:t>
      </w:r>
      <w:r w:rsidR="004863B3" w:rsidRPr="00B743B8">
        <w:rPr>
          <w:b/>
          <w:color w:val="000000"/>
        </w:rPr>
        <w:t>:</w:t>
      </w:r>
    </w:p>
    <w:p w14:paraId="5AE7F8C6" w14:textId="0D590137" w:rsidR="00D852DA" w:rsidRPr="003F7539" w:rsidRDefault="00D852DA">
      <w:proofErr w:type="gramStart"/>
      <w:r w:rsidRPr="003F7539">
        <w:t>For the purpose of</w:t>
      </w:r>
      <w:proofErr w:type="gramEnd"/>
      <w:r w:rsidRPr="003F7539">
        <w:t xml:space="preserve"> Open Access, the authors have applied a CC BY public copyright </w:t>
      </w:r>
      <w:r w:rsidR="00B25886" w:rsidRPr="003F7539">
        <w:t>license</w:t>
      </w:r>
      <w:r w:rsidRPr="003F7539">
        <w:t xml:space="preserve"> to any Author Accepted Manuscript version arising from this submission.</w:t>
      </w:r>
      <w:r w:rsidR="00FD71F4" w:rsidRPr="003F7539">
        <w:t xml:space="preserve"> The views expressed are those of the author(s) and not necessarily those of the NIHR or the Department of Health and Social Care.</w:t>
      </w:r>
    </w:p>
    <w:p w14:paraId="4F36325C" w14:textId="77777777" w:rsidR="006E4797" w:rsidRPr="003F7539" w:rsidRDefault="006E4797">
      <w:pPr>
        <w:rPr>
          <w:color w:val="000000"/>
        </w:rPr>
      </w:pPr>
    </w:p>
    <w:p w14:paraId="6D36D67A" w14:textId="4774675A" w:rsidR="006E4797" w:rsidRPr="003F7539" w:rsidRDefault="00551D82">
      <w:pPr>
        <w:rPr>
          <w:b/>
          <w:color w:val="000000"/>
        </w:rPr>
      </w:pPr>
      <w:r w:rsidRPr="003F7539">
        <w:rPr>
          <w:b/>
        </w:rPr>
        <w:t>REFERENCES:</w:t>
      </w:r>
    </w:p>
    <w:p w14:paraId="52588D07" w14:textId="1B7194EB" w:rsidR="00D0611B" w:rsidRPr="00C96363" w:rsidRDefault="00BA3057" w:rsidP="0099129F">
      <w:pPr>
        <w:pStyle w:val="ListParagraph"/>
        <w:autoSpaceDE w:val="0"/>
        <w:autoSpaceDN w:val="0"/>
        <w:adjustRightInd w:val="0"/>
        <w:ind w:left="0"/>
      </w:pPr>
      <w:r w:rsidRPr="003F7539">
        <w:rPr>
          <w:color w:val="808080"/>
        </w:rPr>
        <w:fldChar w:fldCharType="begin" w:fldLock="1"/>
      </w:r>
      <w:r w:rsidRPr="003F7539">
        <w:rPr>
          <w:color w:val="808080"/>
        </w:rPr>
        <w:instrText xml:space="preserve">ADDIN Mendeley Bibliography CSL_BIBLIOGRAPHY </w:instrText>
      </w:r>
      <w:r w:rsidRPr="003F7539">
        <w:rPr>
          <w:color w:val="808080"/>
        </w:rPr>
        <w:fldChar w:fldCharType="separate"/>
      </w:r>
    </w:p>
    <w:p w14:paraId="2A2727B3" w14:textId="1934E525" w:rsidR="00D0611B" w:rsidRPr="00C96363" w:rsidRDefault="00D0611B" w:rsidP="00747A19">
      <w:pPr>
        <w:pStyle w:val="ListParagraph"/>
        <w:numPr>
          <w:ilvl w:val="0"/>
          <w:numId w:val="45"/>
        </w:numPr>
        <w:autoSpaceDE w:val="0"/>
        <w:autoSpaceDN w:val="0"/>
        <w:adjustRightInd w:val="0"/>
        <w:ind w:left="0" w:firstLine="0"/>
      </w:pPr>
      <w:r w:rsidRPr="00C96363">
        <w:t xml:space="preserve">Sundström, C., Nilsson, K. Establishment and characterization of a human histiocytic lymphoma cell line (U‐937). </w:t>
      </w:r>
      <w:r w:rsidRPr="00C96363">
        <w:rPr>
          <w:i/>
          <w:iCs/>
        </w:rPr>
        <w:t>International Journal of Cancer</w:t>
      </w:r>
      <w:r w:rsidRPr="00C96363">
        <w:t xml:space="preserve">. </w:t>
      </w:r>
      <w:r w:rsidR="002C15DF" w:rsidRPr="00C96363">
        <w:rPr>
          <w:b/>
          <w:bCs/>
        </w:rPr>
        <w:t>17</w:t>
      </w:r>
      <w:r w:rsidR="00983E7D" w:rsidRPr="00C96363">
        <w:t xml:space="preserve"> </w:t>
      </w:r>
      <w:r w:rsidR="002C15DF" w:rsidRPr="00C96363">
        <w:t>(5)</w:t>
      </w:r>
      <w:r w:rsidR="00B743B8">
        <w:t>,</w:t>
      </w:r>
      <w:r w:rsidR="002C15DF" w:rsidRPr="00C96363">
        <w:t xml:space="preserve"> 565</w:t>
      </w:r>
      <w:r w:rsidR="00983E7D" w:rsidRPr="00C96363">
        <w:t>–</w:t>
      </w:r>
      <w:r w:rsidR="002C15DF" w:rsidRPr="00C96363">
        <w:t xml:space="preserve">577 </w:t>
      </w:r>
      <w:r w:rsidRPr="00C96363">
        <w:t>(1976).</w:t>
      </w:r>
    </w:p>
    <w:p w14:paraId="3B2AD5EB" w14:textId="58381608" w:rsidR="00D0611B" w:rsidRPr="00C96363" w:rsidRDefault="00D0611B" w:rsidP="00747A19">
      <w:pPr>
        <w:pStyle w:val="ListParagraph"/>
        <w:numPr>
          <w:ilvl w:val="0"/>
          <w:numId w:val="45"/>
        </w:numPr>
        <w:autoSpaceDE w:val="0"/>
        <w:autoSpaceDN w:val="0"/>
        <w:adjustRightInd w:val="0"/>
        <w:ind w:left="0" w:firstLine="0"/>
      </w:pPr>
      <w:r w:rsidRPr="00C96363">
        <w:t>Bock, M., Bishop, K.</w:t>
      </w:r>
      <w:r w:rsidR="00983E7D" w:rsidRPr="00C96363">
        <w:t xml:space="preserve"> </w:t>
      </w:r>
      <w:r w:rsidRPr="00C96363">
        <w:t>N., Towers, G., Stoye, J.</w:t>
      </w:r>
      <w:r w:rsidR="00983E7D" w:rsidRPr="00C96363">
        <w:t xml:space="preserve"> </w:t>
      </w:r>
      <w:r w:rsidRPr="00C96363">
        <w:t xml:space="preserve">P. Use of a transient assay for studying the genetic determinants of Fv1 restriction. </w:t>
      </w:r>
      <w:r w:rsidRPr="00C96363">
        <w:rPr>
          <w:i/>
          <w:iCs/>
        </w:rPr>
        <w:t>J</w:t>
      </w:r>
      <w:r w:rsidR="00B743B8">
        <w:rPr>
          <w:i/>
          <w:iCs/>
        </w:rPr>
        <w:t>ournal of</w:t>
      </w:r>
      <w:r w:rsidRPr="00C96363">
        <w:rPr>
          <w:i/>
          <w:iCs/>
        </w:rPr>
        <w:t xml:space="preserve"> Virol</w:t>
      </w:r>
      <w:r w:rsidR="00B743B8">
        <w:rPr>
          <w:i/>
          <w:iCs/>
        </w:rPr>
        <w:t>ogy</w:t>
      </w:r>
      <w:r w:rsidRPr="00C96363">
        <w:t xml:space="preserve">. </w:t>
      </w:r>
      <w:r w:rsidRPr="00C96363">
        <w:rPr>
          <w:b/>
          <w:bCs/>
        </w:rPr>
        <w:t>74</w:t>
      </w:r>
      <w:r w:rsidRPr="00C96363">
        <w:t xml:space="preserve"> (16), 7422–7430 (2000).</w:t>
      </w:r>
    </w:p>
    <w:p w14:paraId="7C5BD23C" w14:textId="40061505" w:rsidR="00F8517B" w:rsidRPr="00C96363" w:rsidRDefault="00D0611B" w:rsidP="00747A19">
      <w:pPr>
        <w:pStyle w:val="ListParagraph"/>
        <w:numPr>
          <w:ilvl w:val="0"/>
          <w:numId w:val="45"/>
        </w:numPr>
        <w:autoSpaceDE w:val="0"/>
        <w:autoSpaceDN w:val="0"/>
        <w:adjustRightInd w:val="0"/>
        <w:ind w:left="0" w:firstLine="0"/>
      </w:pPr>
      <w:r w:rsidRPr="00C96363">
        <w:t>Yap, M.</w:t>
      </w:r>
      <w:r w:rsidR="00983E7D" w:rsidRPr="00C96363">
        <w:t xml:space="preserve"> </w:t>
      </w:r>
      <w:r w:rsidRPr="00C96363">
        <w:t>W., Nisole, S., Lynch, C., Stoye, J.</w:t>
      </w:r>
      <w:r w:rsidR="00983E7D" w:rsidRPr="00C96363">
        <w:t xml:space="preserve"> </w:t>
      </w:r>
      <w:r w:rsidRPr="00C96363">
        <w:t xml:space="preserve">P. Trim5alpha protein restricts both HIV-1 and murine leukemia virus. </w:t>
      </w:r>
      <w:r w:rsidRPr="00C96363">
        <w:rPr>
          <w:i/>
          <w:iCs/>
        </w:rPr>
        <w:t>Proc</w:t>
      </w:r>
      <w:r w:rsidR="00983E7D" w:rsidRPr="00C96363">
        <w:rPr>
          <w:i/>
          <w:iCs/>
        </w:rPr>
        <w:t>eedings of the</w:t>
      </w:r>
      <w:r w:rsidRPr="00C96363">
        <w:rPr>
          <w:i/>
          <w:iCs/>
        </w:rPr>
        <w:t xml:space="preserve"> Nat</w:t>
      </w:r>
      <w:r w:rsidR="00983E7D" w:rsidRPr="00C96363">
        <w:rPr>
          <w:i/>
          <w:iCs/>
        </w:rPr>
        <w:t>iona</w:t>
      </w:r>
      <w:r w:rsidRPr="00C96363">
        <w:rPr>
          <w:i/>
          <w:iCs/>
        </w:rPr>
        <w:t>l Acad</w:t>
      </w:r>
      <w:r w:rsidR="00D42DC9" w:rsidRPr="00C96363">
        <w:rPr>
          <w:i/>
          <w:iCs/>
        </w:rPr>
        <w:t>emy of</w:t>
      </w:r>
      <w:r w:rsidRPr="00C96363">
        <w:rPr>
          <w:i/>
          <w:iCs/>
        </w:rPr>
        <w:t xml:space="preserve"> Sci</w:t>
      </w:r>
      <w:r w:rsidR="00D42DC9" w:rsidRPr="00C96363">
        <w:rPr>
          <w:i/>
          <w:iCs/>
        </w:rPr>
        <w:t>ences of the</w:t>
      </w:r>
      <w:r w:rsidRPr="00C96363">
        <w:rPr>
          <w:i/>
          <w:iCs/>
        </w:rPr>
        <w:t xml:space="preserve"> U</w:t>
      </w:r>
      <w:r w:rsidR="00D42DC9" w:rsidRPr="00C96363">
        <w:rPr>
          <w:i/>
          <w:iCs/>
        </w:rPr>
        <w:t>nited</w:t>
      </w:r>
      <w:r w:rsidRPr="00C96363">
        <w:rPr>
          <w:i/>
          <w:iCs/>
        </w:rPr>
        <w:t xml:space="preserve"> S</w:t>
      </w:r>
      <w:r w:rsidR="00D42DC9" w:rsidRPr="00C96363">
        <w:rPr>
          <w:i/>
          <w:iCs/>
        </w:rPr>
        <w:t>tates of</w:t>
      </w:r>
      <w:r w:rsidRPr="00C96363">
        <w:rPr>
          <w:i/>
          <w:iCs/>
        </w:rPr>
        <w:t xml:space="preserve"> A</w:t>
      </w:r>
      <w:r w:rsidR="00D42DC9" w:rsidRPr="00C96363">
        <w:rPr>
          <w:i/>
          <w:iCs/>
        </w:rPr>
        <w:t>merica</w:t>
      </w:r>
      <w:r w:rsidRPr="00C96363">
        <w:t xml:space="preserve">. </w:t>
      </w:r>
      <w:r w:rsidRPr="00C96363">
        <w:rPr>
          <w:b/>
          <w:bCs/>
        </w:rPr>
        <w:t>101</w:t>
      </w:r>
      <w:r w:rsidRPr="00C96363">
        <w:t xml:space="preserve"> (29), 10786–10791 (2004).</w:t>
      </w:r>
    </w:p>
    <w:p w14:paraId="755D74AE" w14:textId="60356B22" w:rsidR="00D0611B" w:rsidRPr="00C96363" w:rsidRDefault="00F8517B" w:rsidP="00747A19">
      <w:pPr>
        <w:pStyle w:val="ListParagraph"/>
        <w:numPr>
          <w:ilvl w:val="0"/>
          <w:numId w:val="45"/>
        </w:numPr>
        <w:autoSpaceDE w:val="0"/>
        <w:autoSpaceDN w:val="0"/>
        <w:adjustRightInd w:val="0"/>
        <w:ind w:left="0" w:firstLine="0"/>
      </w:pPr>
      <w:r w:rsidRPr="00C96363">
        <w:t xml:space="preserve">Arnold, L. H. </w:t>
      </w:r>
      <w:r w:rsidRPr="00C96363">
        <w:rPr>
          <w:iCs/>
        </w:rPr>
        <w:t>et al</w:t>
      </w:r>
      <w:r w:rsidRPr="00C96363">
        <w:rPr>
          <w:i/>
          <w:iCs/>
        </w:rPr>
        <w:t>.</w:t>
      </w:r>
      <w:r w:rsidRPr="00C96363">
        <w:t xml:space="preserve"> Phospho-dependent regulation of SAMHD1 oligomerisation couples catalysis and restriction. </w:t>
      </w:r>
      <w:r w:rsidRPr="00C96363">
        <w:rPr>
          <w:i/>
          <w:iCs/>
        </w:rPr>
        <w:t>PLoS Pathogens</w:t>
      </w:r>
      <w:r w:rsidRPr="00C96363">
        <w:t xml:space="preserve">. </w:t>
      </w:r>
      <w:r w:rsidRPr="00C96363">
        <w:rPr>
          <w:b/>
          <w:bCs/>
        </w:rPr>
        <w:t xml:space="preserve">11 </w:t>
      </w:r>
      <w:r w:rsidRPr="00C96363">
        <w:t>(10), e1005194 (2015).</w:t>
      </w:r>
    </w:p>
    <w:p w14:paraId="1D522F06" w14:textId="4D6DE442" w:rsidR="00D0611B" w:rsidRPr="00C96363" w:rsidRDefault="00D0611B" w:rsidP="00747A19">
      <w:pPr>
        <w:pStyle w:val="ListParagraph"/>
        <w:numPr>
          <w:ilvl w:val="0"/>
          <w:numId w:val="45"/>
        </w:numPr>
        <w:autoSpaceDE w:val="0"/>
        <w:autoSpaceDN w:val="0"/>
        <w:adjustRightInd w:val="0"/>
        <w:ind w:left="0" w:firstLine="0"/>
      </w:pPr>
      <w:r w:rsidRPr="00C96363">
        <w:t>Groom, H.</w:t>
      </w:r>
      <w:r w:rsidR="00D42DC9" w:rsidRPr="00C96363">
        <w:t xml:space="preserve"> </w:t>
      </w:r>
      <w:r w:rsidRPr="00C96363">
        <w:t>C.</w:t>
      </w:r>
      <w:r w:rsidR="00D42DC9" w:rsidRPr="00C96363">
        <w:t xml:space="preserve"> </w:t>
      </w:r>
      <w:r w:rsidRPr="00C96363">
        <w:t xml:space="preserve">T. </w:t>
      </w:r>
      <w:r w:rsidR="00983E7D" w:rsidRPr="00C96363">
        <w:rPr>
          <w:iCs/>
        </w:rPr>
        <w:t>et al</w:t>
      </w:r>
      <w:r w:rsidRPr="00C96363">
        <w:rPr>
          <w:i/>
          <w:iCs/>
        </w:rPr>
        <w:t>.</w:t>
      </w:r>
      <w:r w:rsidRPr="00C96363">
        <w:t xml:space="preserve"> Absence of xenotropic murine leukaemia virus-related virus in UK patients with chronic fatigue syndrome. </w:t>
      </w:r>
      <w:r w:rsidRPr="00C96363">
        <w:rPr>
          <w:i/>
          <w:iCs/>
        </w:rPr>
        <w:t>Retrovirology</w:t>
      </w:r>
      <w:r w:rsidRPr="00C96363">
        <w:t xml:space="preserve">. </w:t>
      </w:r>
      <w:r w:rsidRPr="00C96363">
        <w:rPr>
          <w:b/>
          <w:bCs/>
        </w:rPr>
        <w:t>7</w:t>
      </w:r>
      <w:r w:rsidR="00D42DC9" w:rsidRPr="00C96363">
        <w:t xml:space="preserve">, </w:t>
      </w:r>
      <w:r w:rsidR="009A15F1" w:rsidRPr="00C96363">
        <w:t>10</w:t>
      </w:r>
      <w:r w:rsidR="00D42DC9" w:rsidRPr="00C96363">
        <w:t xml:space="preserve"> </w:t>
      </w:r>
      <w:r w:rsidRPr="00C96363">
        <w:t>(2010).</w:t>
      </w:r>
    </w:p>
    <w:p w14:paraId="74E2BDBC" w14:textId="5952A508" w:rsidR="00D0611B" w:rsidRPr="00C96363" w:rsidRDefault="00D0611B" w:rsidP="00747A19">
      <w:pPr>
        <w:pStyle w:val="ListParagraph"/>
        <w:numPr>
          <w:ilvl w:val="0"/>
          <w:numId w:val="45"/>
        </w:numPr>
        <w:autoSpaceDE w:val="0"/>
        <w:autoSpaceDN w:val="0"/>
        <w:adjustRightInd w:val="0"/>
        <w:ind w:left="0" w:firstLine="0"/>
      </w:pPr>
      <w:r w:rsidRPr="00C96363">
        <w:t>Mothes, W., Boerger, A.</w:t>
      </w:r>
      <w:r w:rsidR="00D42DC9" w:rsidRPr="00C96363">
        <w:t xml:space="preserve"> </w:t>
      </w:r>
      <w:r w:rsidRPr="00C96363">
        <w:t>L., Narayan, S., Cunningham, J.</w:t>
      </w:r>
      <w:r w:rsidR="00D42DC9" w:rsidRPr="00C96363">
        <w:t xml:space="preserve"> </w:t>
      </w:r>
      <w:r w:rsidRPr="00C96363">
        <w:t>M., Young, J.</w:t>
      </w:r>
      <w:r w:rsidR="00D42DC9" w:rsidRPr="00C96363">
        <w:t xml:space="preserve"> </w:t>
      </w:r>
      <w:r w:rsidRPr="00C96363">
        <w:t xml:space="preserve">A. Retroviral entry mediated by receptor priming and low pH triggering of an envelope glycoprotein. </w:t>
      </w:r>
      <w:r w:rsidRPr="00C96363">
        <w:rPr>
          <w:i/>
          <w:iCs/>
        </w:rPr>
        <w:t>Cell</w:t>
      </w:r>
      <w:r w:rsidRPr="00C96363">
        <w:t xml:space="preserve">. </w:t>
      </w:r>
      <w:r w:rsidRPr="00C96363">
        <w:rPr>
          <w:b/>
          <w:bCs/>
        </w:rPr>
        <w:t>103</w:t>
      </w:r>
      <w:r w:rsidRPr="00C96363">
        <w:t xml:space="preserve"> (4), 679–689 (2000).</w:t>
      </w:r>
    </w:p>
    <w:p w14:paraId="3995DD38" w14:textId="53B0E8B3" w:rsidR="00D0611B" w:rsidRPr="00C96363" w:rsidRDefault="00D0611B" w:rsidP="00747A19">
      <w:pPr>
        <w:pStyle w:val="ListParagraph"/>
        <w:numPr>
          <w:ilvl w:val="0"/>
          <w:numId w:val="45"/>
        </w:numPr>
        <w:autoSpaceDE w:val="0"/>
        <w:autoSpaceDN w:val="0"/>
        <w:adjustRightInd w:val="0"/>
        <w:ind w:left="0" w:firstLine="0"/>
      </w:pPr>
      <w:r w:rsidRPr="00C96363">
        <w:t>Pietschmann, T.</w:t>
      </w:r>
      <w:r w:rsidR="00D42DC9" w:rsidRPr="00C96363">
        <w:t xml:space="preserve"> et al</w:t>
      </w:r>
      <w:r w:rsidRPr="00C96363">
        <w:t xml:space="preserve">. Foamy </w:t>
      </w:r>
      <w:r w:rsidR="00D42DC9" w:rsidRPr="00C96363">
        <w:t>virus capsids require the cognate envelope protein for particle exp</w:t>
      </w:r>
      <w:r w:rsidRPr="00C96363">
        <w:t xml:space="preserve">ort. </w:t>
      </w:r>
      <w:r w:rsidRPr="00C96363">
        <w:rPr>
          <w:i/>
          <w:iCs/>
        </w:rPr>
        <w:t>Journal of Virology</w:t>
      </w:r>
      <w:r w:rsidRPr="00C96363">
        <w:t xml:space="preserve">. </w:t>
      </w:r>
      <w:r w:rsidR="009A15F1" w:rsidRPr="00C96363">
        <w:rPr>
          <w:b/>
          <w:bCs/>
        </w:rPr>
        <w:t>73</w:t>
      </w:r>
      <w:r w:rsidR="00D42DC9" w:rsidRPr="00C96363">
        <w:t xml:space="preserve"> </w:t>
      </w:r>
      <w:r w:rsidR="009A15F1" w:rsidRPr="00C96363">
        <w:t>(4) 2613</w:t>
      </w:r>
      <w:r w:rsidR="00D42DC9" w:rsidRPr="00C96363">
        <w:t>–26</w:t>
      </w:r>
      <w:r w:rsidR="009A15F1" w:rsidRPr="00C96363">
        <w:t xml:space="preserve">21 </w:t>
      </w:r>
      <w:r w:rsidRPr="00C96363">
        <w:t>(1999).</w:t>
      </w:r>
    </w:p>
    <w:p w14:paraId="45547400" w14:textId="7B198D96" w:rsidR="00D0611B" w:rsidRPr="00C96363" w:rsidRDefault="00D0611B" w:rsidP="00747A19">
      <w:pPr>
        <w:pStyle w:val="ListParagraph"/>
        <w:numPr>
          <w:ilvl w:val="0"/>
          <w:numId w:val="45"/>
        </w:numPr>
        <w:autoSpaceDE w:val="0"/>
        <w:autoSpaceDN w:val="0"/>
        <w:adjustRightInd w:val="0"/>
        <w:ind w:left="0" w:firstLine="0"/>
      </w:pPr>
      <w:r w:rsidRPr="00C96363">
        <w:lastRenderedPageBreak/>
        <w:t xml:space="preserve">Naldini, L. </w:t>
      </w:r>
      <w:r w:rsidR="00983E7D" w:rsidRPr="00C96363">
        <w:rPr>
          <w:iCs/>
        </w:rPr>
        <w:t>et al</w:t>
      </w:r>
      <w:r w:rsidRPr="00C96363">
        <w:rPr>
          <w:i/>
          <w:iCs/>
        </w:rPr>
        <w:t>.</w:t>
      </w:r>
      <w:r w:rsidRPr="00C96363">
        <w:t xml:space="preserve"> In vivo gene delivery and stable transduction of nondividing cells by a lentiviral vector. </w:t>
      </w:r>
      <w:r w:rsidRPr="00C96363">
        <w:rPr>
          <w:i/>
          <w:iCs/>
        </w:rPr>
        <w:t>Science</w:t>
      </w:r>
      <w:r w:rsidRPr="00C96363">
        <w:t xml:space="preserve">. </w:t>
      </w:r>
      <w:r w:rsidRPr="00C96363">
        <w:rPr>
          <w:b/>
          <w:bCs/>
        </w:rPr>
        <w:t>272</w:t>
      </w:r>
      <w:r w:rsidRPr="00C96363">
        <w:t xml:space="preserve"> (5259), 263–267 (1996).</w:t>
      </w:r>
    </w:p>
    <w:p w14:paraId="53F308DA" w14:textId="6C12225A" w:rsidR="00D0611B" w:rsidRPr="00C96363" w:rsidRDefault="00D0611B" w:rsidP="00747A19">
      <w:pPr>
        <w:pStyle w:val="ListParagraph"/>
        <w:numPr>
          <w:ilvl w:val="0"/>
          <w:numId w:val="45"/>
        </w:numPr>
        <w:autoSpaceDE w:val="0"/>
        <w:autoSpaceDN w:val="0"/>
        <w:adjustRightInd w:val="0"/>
        <w:ind w:left="0" w:firstLine="0"/>
      </w:pPr>
      <w:r w:rsidRPr="00C96363">
        <w:t>Bainbridge, J.</w:t>
      </w:r>
      <w:r w:rsidR="00D42DC9" w:rsidRPr="00C96363">
        <w:t xml:space="preserve"> </w:t>
      </w:r>
      <w:r w:rsidRPr="00C96363">
        <w:t xml:space="preserve">W. </w:t>
      </w:r>
      <w:r w:rsidR="00983E7D" w:rsidRPr="00C96363">
        <w:rPr>
          <w:iCs/>
        </w:rPr>
        <w:t>et al</w:t>
      </w:r>
      <w:r w:rsidRPr="00C96363">
        <w:rPr>
          <w:i/>
          <w:iCs/>
        </w:rPr>
        <w:t>.</w:t>
      </w:r>
      <w:r w:rsidRPr="00C96363">
        <w:t xml:space="preserve"> In vivo gene transfer to the mouse eye using an HIV-based lentiviral vector; efficient long-term transduction of corneal endothelium and retinal pigment epithelium. </w:t>
      </w:r>
      <w:r w:rsidRPr="00C96363">
        <w:rPr>
          <w:i/>
          <w:iCs/>
        </w:rPr>
        <w:t>Gene Ther</w:t>
      </w:r>
      <w:r w:rsidR="009A15F1" w:rsidRPr="00C96363">
        <w:rPr>
          <w:i/>
          <w:iCs/>
        </w:rPr>
        <w:t>apy</w:t>
      </w:r>
      <w:r w:rsidR="00D42DC9" w:rsidRPr="00C96363">
        <w:t>.</w:t>
      </w:r>
      <w:r w:rsidRPr="00C96363">
        <w:t xml:space="preserve"> </w:t>
      </w:r>
      <w:r w:rsidRPr="00C96363">
        <w:rPr>
          <w:b/>
          <w:bCs/>
        </w:rPr>
        <w:t>8</w:t>
      </w:r>
      <w:r w:rsidRPr="00C96363">
        <w:t xml:space="preserve"> (21), 1665–1668 (2001).</w:t>
      </w:r>
    </w:p>
    <w:p w14:paraId="2DA77FC5" w14:textId="56719D00" w:rsidR="00D0611B" w:rsidRPr="00C96363" w:rsidRDefault="00D0611B" w:rsidP="00747A19">
      <w:pPr>
        <w:pStyle w:val="ListParagraph"/>
        <w:numPr>
          <w:ilvl w:val="0"/>
          <w:numId w:val="45"/>
        </w:numPr>
        <w:autoSpaceDE w:val="0"/>
        <w:autoSpaceDN w:val="0"/>
        <w:adjustRightInd w:val="0"/>
        <w:ind w:left="0" w:firstLine="0"/>
      </w:pPr>
      <w:r w:rsidRPr="00C96363">
        <w:t xml:space="preserve">Kane, M. </w:t>
      </w:r>
      <w:r w:rsidR="00983E7D" w:rsidRPr="00C96363">
        <w:rPr>
          <w:iCs/>
        </w:rPr>
        <w:t>et al</w:t>
      </w:r>
      <w:r w:rsidRPr="00C96363">
        <w:rPr>
          <w:i/>
          <w:iCs/>
        </w:rPr>
        <w:t>.</w:t>
      </w:r>
      <w:r w:rsidRPr="00C96363">
        <w:t xml:space="preserve"> Identification of </w:t>
      </w:r>
      <w:r w:rsidR="00D42DC9" w:rsidRPr="00C96363">
        <w:t>i</w:t>
      </w:r>
      <w:r w:rsidRPr="00C96363">
        <w:t>nterferon-</w:t>
      </w:r>
      <w:r w:rsidR="00D42DC9" w:rsidRPr="00C96363">
        <w:t>stimulated genes with antiretroviral a</w:t>
      </w:r>
      <w:r w:rsidRPr="00C96363">
        <w:t xml:space="preserve">ctivity. </w:t>
      </w:r>
      <w:r w:rsidRPr="00C96363">
        <w:rPr>
          <w:i/>
          <w:iCs/>
        </w:rPr>
        <w:t>Cell Host and Microbe</w:t>
      </w:r>
      <w:r w:rsidRPr="00C96363">
        <w:t>.</w:t>
      </w:r>
      <w:r w:rsidR="009A15F1" w:rsidRPr="00C96363">
        <w:t xml:space="preserve"> </w:t>
      </w:r>
      <w:r w:rsidR="009A15F1" w:rsidRPr="00C96363">
        <w:rPr>
          <w:b/>
          <w:bCs/>
        </w:rPr>
        <w:t>20</w:t>
      </w:r>
      <w:r w:rsidR="00D42DC9" w:rsidRPr="00C96363">
        <w:t xml:space="preserve"> </w:t>
      </w:r>
      <w:r w:rsidR="009A15F1" w:rsidRPr="00C96363">
        <w:t>(3)</w:t>
      </w:r>
      <w:r w:rsidR="00D42DC9" w:rsidRPr="00C96363">
        <w:t>,</w:t>
      </w:r>
      <w:r w:rsidR="009A15F1" w:rsidRPr="00C96363">
        <w:t xml:space="preserve"> 392</w:t>
      </w:r>
      <w:r w:rsidR="00D42DC9" w:rsidRPr="00C96363">
        <w:t>–</w:t>
      </w:r>
      <w:r w:rsidR="009A15F1" w:rsidRPr="00C96363">
        <w:t>405</w:t>
      </w:r>
      <w:r w:rsidRPr="00C96363">
        <w:t xml:space="preserve"> (2016).</w:t>
      </w:r>
    </w:p>
    <w:p w14:paraId="0DDD639D" w14:textId="75BACDF4" w:rsidR="00D0611B" w:rsidRPr="00C96363" w:rsidRDefault="00D0611B" w:rsidP="00747A19">
      <w:pPr>
        <w:pStyle w:val="ListParagraph"/>
        <w:numPr>
          <w:ilvl w:val="0"/>
          <w:numId w:val="45"/>
        </w:numPr>
        <w:autoSpaceDE w:val="0"/>
        <w:autoSpaceDN w:val="0"/>
        <w:adjustRightInd w:val="0"/>
        <w:ind w:left="0" w:firstLine="0"/>
      </w:pPr>
      <w:r w:rsidRPr="00C96363">
        <w:t xml:space="preserve">Gao, Y. </w:t>
      </w:r>
      <w:r w:rsidR="00983E7D" w:rsidRPr="00C96363">
        <w:rPr>
          <w:iCs/>
        </w:rPr>
        <w:t>et al</w:t>
      </w:r>
      <w:r w:rsidRPr="00C96363">
        <w:rPr>
          <w:i/>
          <w:iCs/>
        </w:rPr>
        <w:t>.</w:t>
      </w:r>
      <w:r w:rsidRPr="00C96363">
        <w:t xml:space="preserve"> Calculating HIV-1 </w:t>
      </w:r>
      <w:r w:rsidR="00D42DC9" w:rsidRPr="00C96363">
        <w:t xml:space="preserve">infectious titre using a virtual </w:t>
      </w:r>
      <w:r w:rsidRPr="00C96363">
        <w:t xml:space="preserve">TCID50 </w:t>
      </w:r>
      <w:r w:rsidR="00D42DC9" w:rsidRPr="00C96363">
        <w:t>me</w:t>
      </w:r>
      <w:r w:rsidRPr="00C96363">
        <w:t xml:space="preserve">thod. </w:t>
      </w:r>
      <w:r w:rsidR="00D42DC9" w:rsidRPr="00C96363">
        <w:rPr>
          <w:i/>
          <w:iCs/>
        </w:rPr>
        <w:t>Methods in Molecular Biology (Clifton, N.J.)</w:t>
      </w:r>
      <w:r w:rsidRPr="00C96363">
        <w:t xml:space="preserve">. </w:t>
      </w:r>
      <w:r w:rsidR="00D42DC9" w:rsidRPr="00C96363">
        <w:rPr>
          <w:b/>
          <w:bCs/>
        </w:rPr>
        <w:t>485</w:t>
      </w:r>
      <w:r w:rsidR="00D42DC9" w:rsidRPr="00C96363">
        <w:t xml:space="preserve">, </w:t>
      </w:r>
      <w:r w:rsidRPr="00C96363">
        <w:t>27–35 (2009).</w:t>
      </w:r>
    </w:p>
    <w:p w14:paraId="0143369C" w14:textId="212B50E5" w:rsidR="00D0611B" w:rsidRPr="00C96363" w:rsidRDefault="00D0611B" w:rsidP="00747A19">
      <w:pPr>
        <w:pStyle w:val="ListParagraph"/>
        <w:numPr>
          <w:ilvl w:val="0"/>
          <w:numId w:val="45"/>
        </w:numPr>
        <w:autoSpaceDE w:val="0"/>
        <w:autoSpaceDN w:val="0"/>
        <w:adjustRightInd w:val="0"/>
        <w:ind w:left="0" w:firstLine="0"/>
      </w:pPr>
      <w:r w:rsidRPr="00C96363">
        <w:t xml:space="preserve">Ordonez, P. </w:t>
      </w:r>
      <w:r w:rsidR="00983E7D" w:rsidRPr="00C96363">
        <w:rPr>
          <w:iCs/>
        </w:rPr>
        <w:t>et al</w:t>
      </w:r>
      <w:r w:rsidRPr="00C96363">
        <w:rPr>
          <w:i/>
          <w:iCs/>
        </w:rPr>
        <w:t>.</w:t>
      </w:r>
      <w:r w:rsidRPr="00C96363">
        <w:t xml:space="preserve"> SAMHD1 enhances nucleoside-analogue efficacy against HIV-1 in myeloid cells. </w:t>
      </w:r>
      <w:r w:rsidRPr="00C96363">
        <w:rPr>
          <w:i/>
          <w:iCs/>
        </w:rPr>
        <w:t>Scientific Reports</w:t>
      </w:r>
      <w:r w:rsidRPr="00C96363">
        <w:t xml:space="preserve">. </w:t>
      </w:r>
      <w:r w:rsidRPr="00C96363">
        <w:rPr>
          <w:b/>
          <w:bCs/>
        </w:rPr>
        <w:t>7</w:t>
      </w:r>
      <w:r w:rsidRPr="00C96363">
        <w:t>,</w:t>
      </w:r>
      <w:r w:rsidR="009A15F1" w:rsidRPr="003F7539">
        <w:t xml:space="preserve"> </w:t>
      </w:r>
      <w:r w:rsidR="009A15F1" w:rsidRPr="00C96363">
        <w:t>42824</w:t>
      </w:r>
      <w:r w:rsidRPr="00C96363">
        <w:t xml:space="preserve"> (2017).</w:t>
      </w:r>
    </w:p>
    <w:p w14:paraId="0A92B779" w14:textId="07668748" w:rsidR="00D0611B" w:rsidRPr="00C96363" w:rsidRDefault="00D0611B" w:rsidP="00747A19">
      <w:pPr>
        <w:pStyle w:val="ListParagraph"/>
        <w:numPr>
          <w:ilvl w:val="0"/>
          <w:numId w:val="45"/>
        </w:numPr>
        <w:autoSpaceDE w:val="0"/>
        <w:autoSpaceDN w:val="0"/>
        <w:adjustRightInd w:val="0"/>
        <w:ind w:left="0" w:firstLine="0"/>
      </w:pPr>
      <w:r w:rsidRPr="00C96363">
        <w:t xml:space="preserve">Ballana, E. </w:t>
      </w:r>
      <w:r w:rsidR="00983E7D" w:rsidRPr="00C96363">
        <w:rPr>
          <w:iCs/>
        </w:rPr>
        <w:t>et al</w:t>
      </w:r>
      <w:r w:rsidRPr="00C96363">
        <w:rPr>
          <w:i/>
          <w:iCs/>
        </w:rPr>
        <w:t>.</w:t>
      </w:r>
      <w:r w:rsidRPr="00C96363">
        <w:t xml:space="preserve"> SAMHD1 specifically affects the antiviral potency of thymidine analog HIV reverse transcriptase inhibitors. </w:t>
      </w:r>
      <w:r w:rsidR="00D42DC9" w:rsidRPr="00C96363">
        <w:rPr>
          <w:i/>
          <w:iCs/>
        </w:rPr>
        <w:t>Antimicrobial Agents and Chemotherapy</w:t>
      </w:r>
      <w:r w:rsidRPr="00C96363">
        <w:t>.</w:t>
      </w:r>
      <w:r w:rsidR="009A15F1" w:rsidRPr="00C96363">
        <w:t xml:space="preserve"> </w:t>
      </w:r>
      <w:r w:rsidR="009A15F1" w:rsidRPr="00C96363">
        <w:rPr>
          <w:b/>
          <w:bCs/>
        </w:rPr>
        <w:t>58</w:t>
      </w:r>
      <w:r w:rsidR="00D42DC9" w:rsidRPr="00C96363">
        <w:t xml:space="preserve"> </w:t>
      </w:r>
      <w:r w:rsidR="009A15F1" w:rsidRPr="00C96363">
        <w:t>(8)</w:t>
      </w:r>
      <w:r w:rsidR="00D42DC9" w:rsidRPr="00C96363">
        <w:t>,</w:t>
      </w:r>
      <w:r w:rsidR="009A15F1" w:rsidRPr="00C96363">
        <w:t xml:space="preserve"> 4804–4813</w:t>
      </w:r>
      <w:r w:rsidRPr="00C96363">
        <w:t xml:space="preserve"> (2014).</w:t>
      </w:r>
    </w:p>
    <w:p w14:paraId="3995444C" w14:textId="2C352032" w:rsidR="00D0611B" w:rsidRPr="00C96363" w:rsidRDefault="00D0611B" w:rsidP="00747A19">
      <w:pPr>
        <w:pStyle w:val="ListParagraph"/>
        <w:numPr>
          <w:ilvl w:val="0"/>
          <w:numId w:val="45"/>
        </w:numPr>
        <w:autoSpaceDE w:val="0"/>
        <w:autoSpaceDN w:val="0"/>
        <w:adjustRightInd w:val="0"/>
        <w:ind w:left="0" w:firstLine="0"/>
      </w:pPr>
      <w:r w:rsidRPr="00C96363">
        <w:t>Huber, A.</w:t>
      </w:r>
      <w:r w:rsidR="00D42DC9" w:rsidRPr="00C96363">
        <w:t xml:space="preserve"> </w:t>
      </w:r>
      <w:r w:rsidRPr="00C96363">
        <w:t xml:space="preserve">D. </w:t>
      </w:r>
      <w:r w:rsidR="00983E7D" w:rsidRPr="00C96363">
        <w:rPr>
          <w:iCs/>
        </w:rPr>
        <w:t>et al</w:t>
      </w:r>
      <w:r w:rsidRPr="00C96363">
        <w:rPr>
          <w:i/>
          <w:iCs/>
        </w:rPr>
        <w:t>.</w:t>
      </w:r>
      <w:r w:rsidRPr="00C96363">
        <w:t xml:space="preserve"> SAMHD1 has differential impact on the efficacies of HIV nucleoside reverse transcriptase inhibitors. </w:t>
      </w:r>
      <w:r w:rsidRPr="00C96363">
        <w:rPr>
          <w:i/>
          <w:iCs/>
        </w:rPr>
        <w:t>Antimicrobial Agents and Chemotherapy</w:t>
      </w:r>
      <w:r w:rsidRPr="00C96363">
        <w:t>.</w:t>
      </w:r>
      <w:r w:rsidR="009A15F1" w:rsidRPr="00C96363">
        <w:t xml:space="preserve"> </w:t>
      </w:r>
      <w:r w:rsidR="009A15F1" w:rsidRPr="00C96363">
        <w:rPr>
          <w:b/>
          <w:bCs/>
        </w:rPr>
        <w:t>58</w:t>
      </w:r>
      <w:r w:rsidR="00D42DC9" w:rsidRPr="00C96363">
        <w:t xml:space="preserve"> </w:t>
      </w:r>
      <w:r w:rsidR="009A15F1" w:rsidRPr="00C96363">
        <w:t>(8) 4915–4919</w:t>
      </w:r>
      <w:r w:rsidRPr="00C96363">
        <w:t xml:space="preserve"> (2014).</w:t>
      </w:r>
    </w:p>
    <w:p w14:paraId="2E69E473" w14:textId="35B1A6AE" w:rsidR="00D0611B" w:rsidRPr="00C96363" w:rsidRDefault="00D0611B" w:rsidP="00747A19">
      <w:pPr>
        <w:pStyle w:val="ListParagraph"/>
        <w:numPr>
          <w:ilvl w:val="0"/>
          <w:numId w:val="45"/>
        </w:numPr>
        <w:autoSpaceDE w:val="0"/>
        <w:autoSpaceDN w:val="0"/>
        <w:adjustRightInd w:val="0"/>
        <w:ind w:left="0" w:firstLine="0"/>
      </w:pPr>
      <w:r w:rsidRPr="00C96363">
        <w:t>Amie, S.</w:t>
      </w:r>
      <w:r w:rsidR="00D42DC9" w:rsidRPr="00C96363">
        <w:t xml:space="preserve"> </w:t>
      </w:r>
      <w:r w:rsidRPr="00C96363">
        <w:t>M.</w:t>
      </w:r>
      <w:r w:rsidR="00D42DC9" w:rsidRPr="00C96363">
        <w:t xml:space="preserve"> et al</w:t>
      </w:r>
      <w:r w:rsidRPr="00C96363">
        <w:t xml:space="preserve">. Anti-HIV </w:t>
      </w:r>
      <w:r w:rsidR="00D42DC9" w:rsidRPr="00C96363">
        <w:t>host fact</w:t>
      </w:r>
      <w:r w:rsidRPr="00C96363">
        <w:t xml:space="preserve">or SAMHD1 </w:t>
      </w:r>
      <w:r w:rsidR="00D42DC9" w:rsidRPr="00C96363">
        <w:t>regulates viral sensitivity to nucleoside reverse transcriptase inhibitors via modulation of cellular deoxyribonucleoside triphosp</w:t>
      </w:r>
      <w:r w:rsidRPr="00C96363">
        <w:t>hate (dNTP)</w:t>
      </w:r>
      <w:r w:rsidR="00D42DC9" w:rsidRPr="00C96363">
        <w:t xml:space="preserve"> le</w:t>
      </w:r>
      <w:r w:rsidRPr="00C96363">
        <w:t xml:space="preserve">vels. </w:t>
      </w:r>
      <w:r w:rsidR="00D42DC9" w:rsidRPr="00C96363">
        <w:rPr>
          <w:i/>
          <w:iCs/>
        </w:rPr>
        <w:t>The Journal of</w:t>
      </w:r>
      <w:r w:rsidRPr="00C96363">
        <w:rPr>
          <w:i/>
          <w:iCs/>
        </w:rPr>
        <w:t xml:space="preserve"> Biol</w:t>
      </w:r>
      <w:r w:rsidR="00D42DC9" w:rsidRPr="00C96363">
        <w:rPr>
          <w:i/>
          <w:iCs/>
        </w:rPr>
        <w:t>ogical</w:t>
      </w:r>
      <w:r w:rsidRPr="00C96363">
        <w:rPr>
          <w:i/>
          <w:iCs/>
        </w:rPr>
        <w:t xml:space="preserve"> Chem</w:t>
      </w:r>
      <w:r w:rsidR="00D42DC9" w:rsidRPr="00C96363">
        <w:rPr>
          <w:i/>
          <w:iCs/>
        </w:rPr>
        <w:t>istry</w:t>
      </w:r>
      <w:r w:rsidRPr="00C96363">
        <w:t xml:space="preserve">. </w:t>
      </w:r>
      <w:r w:rsidRPr="00C96363">
        <w:rPr>
          <w:b/>
          <w:bCs/>
        </w:rPr>
        <w:t>288</w:t>
      </w:r>
      <w:r w:rsidRPr="00C96363">
        <w:t xml:space="preserve"> (28), 20683–20691 (2013).</w:t>
      </w:r>
    </w:p>
    <w:p w14:paraId="2F6DE0DA" w14:textId="1744E6B1" w:rsidR="00D0611B" w:rsidRPr="00C96363" w:rsidRDefault="00D0611B" w:rsidP="00747A19">
      <w:pPr>
        <w:pStyle w:val="ListParagraph"/>
        <w:numPr>
          <w:ilvl w:val="0"/>
          <w:numId w:val="45"/>
        </w:numPr>
        <w:autoSpaceDE w:val="0"/>
        <w:autoSpaceDN w:val="0"/>
        <w:adjustRightInd w:val="0"/>
        <w:ind w:left="0" w:firstLine="0"/>
      </w:pPr>
      <w:r w:rsidRPr="00C96363">
        <w:t>Arnold, L.</w:t>
      </w:r>
      <w:r w:rsidR="00D42DC9" w:rsidRPr="00C96363">
        <w:t xml:space="preserve"> </w:t>
      </w:r>
      <w:r w:rsidRPr="00C96363">
        <w:t>H., Kunzelmann, S., Webb, M.</w:t>
      </w:r>
      <w:r w:rsidR="00D42DC9" w:rsidRPr="00C96363">
        <w:t xml:space="preserve"> </w:t>
      </w:r>
      <w:r w:rsidRPr="00C96363">
        <w:t>R., Taylor, I.</w:t>
      </w:r>
      <w:r w:rsidR="00D42DC9" w:rsidRPr="00C96363">
        <w:t xml:space="preserve"> </w:t>
      </w:r>
      <w:r w:rsidRPr="00C96363">
        <w:t xml:space="preserve">A. A continuous enzyme-coupled assay for triphosphohydrolase activity of HIV-1 restriction factor SAMHD1. </w:t>
      </w:r>
      <w:r w:rsidR="00D42DC9" w:rsidRPr="00C96363">
        <w:rPr>
          <w:i/>
          <w:iCs/>
        </w:rPr>
        <w:t>Antimicrobial Agents and Chemotherapy</w:t>
      </w:r>
      <w:r w:rsidR="00D42DC9" w:rsidRPr="00C96363">
        <w:t>.</w:t>
      </w:r>
      <w:r w:rsidR="009A15F1" w:rsidRPr="00C96363">
        <w:t xml:space="preserve"> </w:t>
      </w:r>
      <w:r w:rsidR="009A15F1" w:rsidRPr="00C96363">
        <w:rPr>
          <w:b/>
          <w:bCs/>
        </w:rPr>
        <w:t>59</w:t>
      </w:r>
      <w:r w:rsidR="00D42DC9" w:rsidRPr="00C96363">
        <w:t xml:space="preserve"> </w:t>
      </w:r>
      <w:r w:rsidR="009A15F1" w:rsidRPr="00C96363">
        <w:t>(1)</w:t>
      </w:r>
      <w:r w:rsidR="00D42DC9" w:rsidRPr="00C96363">
        <w:t>,</w:t>
      </w:r>
      <w:r w:rsidR="009A15F1" w:rsidRPr="00C96363">
        <w:t xml:space="preserve"> 186</w:t>
      </w:r>
      <w:r w:rsidR="00D42DC9" w:rsidRPr="00C96363">
        <w:t>–</w:t>
      </w:r>
      <w:r w:rsidR="009A15F1" w:rsidRPr="00C96363">
        <w:t>192</w:t>
      </w:r>
      <w:r w:rsidRPr="00C96363">
        <w:t xml:space="preserve"> (2014).</w:t>
      </w:r>
    </w:p>
    <w:p w14:paraId="638F4150" w14:textId="2A9063AA" w:rsidR="002A7884" w:rsidRPr="003F7539" w:rsidRDefault="00BA3057" w:rsidP="00D0611B">
      <w:pPr>
        <w:rPr>
          <w:color w:val="808080"/>
        </w:rPr>
      </w:pPr>
      <w:r w:rsidRPr="003F7539">
        <w:rPr>
          <w:color w:val="808080"/>
        </w:rPr>
        <w:fldChar w:fldCharType="end"/>
      </w:r>
    </w:p>
    <w:sectPr w:rsidR="002A7884" w:rsidRPr="003F7539" w:rsidSect="00747A19">
      <w:headerReference w:type="even" r:id="rId12"/>
      <w:headerReference w:type="default" r:id="rId13"/>
      <w:footerReference w:type="even" r:id="rId14"/>
      <w:headerReference w:type="first" r:id="rId15"/>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C47FD2" w14:textId="77777777" w:rsidR="003B0BB5" w:rsidRDefault="003B0BB5">
      <w:r>
        <w:separator/>
      </w:r>
    </w:p>
  </w:endnote>
  <w:endnote w:type="continuationSeparator" w:id="0">
    <w:p w14:paraId="2ACAC511" w14:textId="77777777" w:rsidR="003B0BB5" w:rsidRDefault="003B0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2D5B2" w14:textId="77777777" w:rsidR="00B743B8" w:rsidRDefault="00B743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7319D" w14:textId="77777777" w:rsidR="003B0BB5" w:rsidRDefault="003B0BB5">
      <w:r>
        <w:separator/>
      </w:r>
    </w:p>
  </w:footnote>
  <w:footnote w:type="continuationSeparator" w:id="0">
    <w:p w14:paraId="022FBE2D" w14:textId="77777777" w:rsidR="003B0BB5" w:rsidRDefault="003B0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A827E" w14:textId="77777777" w:rsidR="00B743B8" w:rsidRDefault="00B743B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F4547B" w14:textId="4461333D" w:rsidR="00B743B8" w:rsidRDefault="00B743B8">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089B9" w14:textId="3F61D05F" w:rsidR="00B743B8" w:rsidRDefault="00B743B8" w:rsidP="00C96363">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92B59"/>
    <w:multiLevelType w:val="hybridMultilevel"/>
    <w:tmpl w:val="3C0E35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0F9650C"/>
    <w:multiLevelType w:val="multilevel"/>
    <w:tmpl w:val="B398429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61960"/>
    <w:multiLevelType w:val="hybridMultilevel"/>
    <w:tmpl w:val="D43A3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AF24C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77079C"/>
    <w:multiLevelType w:val="hybridMultilevel"/>
    <w:tmpl w:val="3FC26DBE"/>
    <w:lvl w:ilvl="0" w:tplc="DEC60E1A">
      <w:start w:val="43"/>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B51D34"/>
    <w:multiLevelType w:val="hybridMultilevel"/>
    <w:tmpl w:val="A9406722"/>
    <w:lvl w:ilvl="0" w:tplc="BB3471DA">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E46C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530717"/>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1EDB6209"/>
    <w:multiLevelType w:val="hybridMultilevel"/>
    <w:tmpl w:val="6B68152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F952F9"/>
    <w:multiLevelType w:val="hybridMultilevel"/>
    <w:tmpl w:val="A6E2B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675C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2" w15:restartNumberingAfterBreak="0">
    <w:nsid w:val="256D01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4" w15:restartNumberingAfterBreak="0">
    <w:nsid w:val="2CED4A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5731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4757225"/>
    <w:multiLevelType w:val="hybridMultilevel"/>
    <w:tmpl w:val="84D8E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B96E3D"/>
    <w:multiLevelType w:val="hybridMultilevel"/>
    <w:tmpl w:val="CA665BB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CA87E1B"/>
    <w:multiLevelType w:val="hybridMultilevel"/>
    <w:tmpl w:val="297CDF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B73D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1613FD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5FE3899"/>
    <w:multiLevelType w:val="hybridMultilevel"/>
    <w:tmpl w:val="149019C2"/>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1C7DE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422DB9"/>
    <w:multiLevelType w:val="hybridMultilevel"/>
    <w:tmpl w:val="995E3E7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FB01D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0B00C9A"/>
    <w:multiLevelType w:val="multilevel"/>
    <w:tmpl w:val="2B00FD4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8BE7BB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76B4D"/>
    <w:multiLevelType w:val="hybridMultilevel"/>
    <w:tmpl w:val="702234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A3395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8805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BC0B6B"/>
    <w:multiLevelType w:val="hybridMultilevel"/>
    <w:tmpl w:val="5762B21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FF6061A"/>
    <w:multiLevelType w:val="hybridMultilevel"/>
    <w:tmpl w:val="73D66C8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834267B"/>
    <w:multiLevelType w:val="hybridMultilevel"/>
    <w:tmpl w:val="DFBCDC04"/>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5A544A"/>
    <w:multiLevelType w:val="hybridMultilevel"/>
    <w:tmpl w:val="B3AEC4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4B3D06"/>
    <w:multiLevelType w:val="multilevel"/>
    <w:tmpl w:val="08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num w:numId="1">
    <w:abstractNumId w:val="16"/>
  </w:num>
  <w:num w:numId="2">
    <w:abstractNumId w:val="21"/>
  </w:num>
  <w:num w:numId="3">
    <w:abstractNumId w:val="40"/>
  </w:num>
  <w:num w:numId="4">
    <w:abstractNumId w:val="11"/>
  </w:num>
  <w:num w:numId="5">
    <w:abstractNumId w:val="27"/>
  </w:num>
  <w:num w:numId="6">
    <w:abstractNumId w:val="35"/>
  </w:num>
  <w:num w:numId="7">
    <w:abstractNumId w:val="17"/>
  </w:num>
  <w:num w:numId="8">
    <w:abstractNumId w:val="20"/>
  </w:num>
  <w:num w:numId="9">
    <w:abstractNumId w:val="13"/>
  </w:num>
  <w:num w:numId="10">
    <w:abstractNumId w:val="18"/>
  </w:num>
  <w:num w:numId="11">
    <w:abstractNumId w:val="24"/>
  </w:num>
  <w:num w:numId="12">
    <w:abstractNumId w:val="15"/>
  </w:num>
  <w:num w:numId="13">
    <w:abstractNumId w:val="39"/>
  </w:num>
  <w:num w:numId="14">
    <w:abstractNumId w:val="31"/>
  </w:num>
  <w:num w:numId="15">
    <w:abstractNumId w:val="25"/>
  </w:num>
  <w:num w:numId="16">
    <w:abstractNumId w:val="9"/>
  </w:num>
  <w:num w:numId="17">
    <w:abstractNumId w:val="22"/>
  </w:num>
  <w:num w:numId="18">
    <w:abstractNumId w:val="36"/>
  </w:num>
  <w:num w:numId="19">
    <w:abstractNumId w:val="43"/>
  </w:num>
  <w:num w:numId="20">
    <w:abstractNumId w:val="4"/>
  </w:num>
  <w:num w:numId="21">
    <w:abstractNumId w:val="29"/>
  </w:num>
  <w:num w:numId="22">
    <w:abstractNumId w:val="42"/>
  </w:num>
  <w:num w:numId="23">
    <w:abstractNumId w:val="23"/>
  </w:num>
  <w:num w:numId="24">
    <w:abstractNumId w:val="14"/>
  </w:num>
  <w:num w:numId="25">
    <w:abstractNumId w:val="44"/>
  </w:num>
  <w:num w:numId="26">
    <w:abstractNumId w:val="2"/>
  </w:num>
  <w:num w:numId="27">
    <w:abstractNumId w:val="37"/>
  </w:num>
  <w:num w:numId="28">
    <w:abstractNumId w:val="38"/>
  </w:num>
  <w:num w:numId="29">
    <w:abstractNumId w:val="33"/>
  </w:num>
  <w:num w:numId="30">
    <w:abstractNumId w:val="30"/>
  </w:num>
  <w:num w:numId="31">
    <w:abstractNumId w:val="19"/>
  </w:num>
  <w:num w:numId="32">
    <w:abstractNumId w:val="10"/>
  </w:num>
  <w:num w:numId="33">
    <w:abstractNumId w:val="28"/>
  </w:num>
  <w:num w:numId="34">
    <w:abstractNumId w:val="7"/>
  </w:num>
  <w:num w:numId="35">
    <w:abstractNumId w:val="41"/>
  </w:num>
  <w:num w:numId="36">
    <w:abstractNumId w:val="12"/>
  </w:num>
  <w:num w:numId="37">
    <w:abstractNumId w:val="1"/>
  </w:num>
  <w:num w:numId="38">
    <w:abstractNumId w:val="3"/>
  </w:num>
  <w:num w:numId="39">
    <w:abstractNumId w:val="32"/>
  </w:num>
  <w:num w:numId="40">
    <w:abstractNumId w:val="5"/>
  </w:num>
  <w:num w:numId="41">
    <w:abstractNumId w:val="8"/>
  </w:num>
  <w:num w:numId="42">
    <w:abstractNumId w:val="26"/>
  </w:num>
  <w:num w:numId="43">
    <w:abstractNumId w:val="34"/>
  </w:num>
  <w:num w:numId="44">
    <w:abstractNumId w:val="6"/>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4"/>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797"/>
    <w:rsid w:val="0000710E"/>
    <w:rsid w:val="00010506"/>
    <w:rsid w:val="00015127"/>
    <w:rsid w:val="00015897"/>
    <w:rsid w:val="00015DF5"/>
    <w:rsid w:val="00023A9B"/>
    <w:rsid w:val="000271FE"/>
    <w:rsid w:val="0003047B"/>
    <w:rsid w:val="00030C48"/>
    <w:rsid w:val="00031BE5"/>
    <w:rsid w:val="000375CF"/>
    <w:rsid w:val="000400BD"/>
    <w:rsid w:val="00040449"/>
    <w:rsid w:val="00044CE5"/>
    <w:rsid w:val="00062BA9"/>
    <w:rsid w:val="0008624B"/>
    <w:rsid w:val="0009193D"/>
    <w:rsid w:val="000A3E90"/>
    <w:rsid w:val="000C024E"/>
    <w:rsid w:val="000C6CC7"/>
    <w:rsid w:val="000D1071"/>
    <w:rsid w:val="000D32A6"/>
    <w:rsid w:val="000E02AC"/>
    <w:rsid w:val="000E709A"/>
    <w:rsid w:val="000E73B6"/>
    <w:rsid w:val="000F2134"/>
    <w:rsid w:val="00106827"/>
    <w:rsid w:val="001075CC"/>
    <w:rsid w:val="001539C5"/>
    <w:rsid w:val="0015781E"/>
    <w:rsid w:val="00157F83"/>
    <w:rsid w:val="00165F22"/>
    <w:rsid w:val="00187BD8"/>
    <w:rsid w:val="00190C94"/>
    <w:rsid w:val="00193FF6"/>
    <w:rsid w:val="001B143D"/>
    <w:rsid w:val="001C212B"/>
    <w:rsid w:val="001D4A27"/>
    <w:rsid w:val="001D51DC"/>
    <w:rsid w:val="001D7028"/>
    <w:rsid w:val="001E0C3D"/>
    <w:rsid w:val="001E1DCF"/>
    <w:rsid w:val="001E61E5"/>
    <w:rsid w:val="001F6A46"/>
    <w:rsid w:val="00213C4E"/>
    <w:rsid w:val="0021531E"/>
    <w:rsid w:val="00260A25"/>
    <w:rsid w:val="00266AC6"/>
    <w:rsid w:val="00271292"/>
    <w:rsid w:val="0028712E"/>
    <w:rsid w:val="00287731"/>
    <w:rsid w:val="00287D84"/>
    <w:rsid w:val="00297CA7"/>
    <w:rsid w:val="00297FA1"/>
    <w:rsid w:val="002A7884"/>
    <w:rsid w:val="002B00F3"/>
    <w:rsid w:val="002C15DF"/>
    <w:rsid w:val="002D000B"/>
    <w:rsid w:val="00303D82"/>
    <w:rsid w:val="00304DF7"/>
    <w:rsid w:val="00307FF6"/>
    <w:rsid w:val="00313ECB"/>
    <w:rsid w:val="0032294D"/>
    <w:rsid w:val="00345ED4"/>
    <w:rsid w:val="00351060"/>
    <w:rsid w:val="00351087"/>
    <w:rsid w:val="0036768F"/>
    <w:rsid w:val="0037598D"/>
    <w:rsid w:val="00376AD3"/>
    <w:rsid w:val="003A17A9"/>
    <w:rsid w:val="003A38E4"/>
    <w:rsid w:val="003A4558"/>
    <w:rsid w:val="003A63A8"/>
    <w:rsid w:val="003B0BB5"/>
    <w:rsid w:val="003B1F39"/>
    <w:rsid w:val="003B58CE"/>
    <w:rsid w:val="003D3685"/>
    <w:rsid w:val="003E0321"/>
    <w:rsid w:val="003E4A29"/>
    <w:rsid w:val="003E733B"/>
    <w:rsid w:val="003F03DF"/>
    <w:rsid w:val="003F38B4"/>
    <w:rsid w:val="003F7539"/>
    <w:rsid w:val="00407D51"/>
    <w:rsid w:val="00414B52"/>
    <w:rsid w:val="00415D50"/>
    <w:rsid w:val="00426A48"/>
    <w:rsid w:val="00432A14"/>
    <w:rsid w:val="0043360D"/>
    <w:rsid w:val="004409D4"/>
    <w:rsid w:val="00456CB2"/>
    <w:rsid w:val="004610B5"/>
    <w:rsid w:val="00464101"/>
    <w:rsid w:val="00476E69"/>
    <w:rsid w:val="00480DF9"/>
    <w:rsid w:val="004863B3"/>
    <w:rsid w:val="004870A8"/>
    <w:rsid w:val="00496967"/>
    <w:rsid w:val="00496B1A"/>
    <w:rsid w:val="00497F65"/>
    <w:rsid w:val="004A03DB"/>
    <w:rsid w:val="004A4A05"/>
    <w:rsid w:val="004A6846"/>
    <w:rsid w:val="004D2059"/>
    <w:rsid w:val="004D7E26"/>
    <w:rsid w:val="004E087D"/>
    <w:rsid w:val="00506525"/>
    <w:rsid w:val="0051610B"/>
    <w:rsid w:val="005230EF"/>
    <w:rsid w:val="00527A5C"/>
    <w:rsid w:val="0053036F"/>
    <w:rsid w:val="00546B13"/>
    <w:rsid w:val="00551D82"/>
    <w:rsid w:val="005521C2"/>
    <w:rsid w:val="00563BB2"/>
    <w:rsid w:val="005666DD"/>
    <w:rsid w:val="00584430"/>
    <w:rsid w:val="00591270"/>
    <w:rsid w:val="005912FD"/>
    <w:rsid w:val="00595F12"/>
    <w:rsid w:val="005A1E92"/>
    <w:rsid w:val="005C338D"/>
    <w:rsid w:val="005C67B6"/>
    <w:rsid w:val="005D6EC3"/>
    <w:rsid w:val="00605B47"/>
    <w:rsid w:val="00622578"/>
    <w:rsid w:val="00646B59"/>
    <w:rsid w:val="00656184"/>
    <w:rsid w:val="00663934"/>
    <w:rsid w:val="006732B2"/>
    <w:rsid w:val="00673C5C"/>
    <w:rsid w:val="006A6214"/>
    <w:rsid w:val="006B118A"/>
    <w:rsid w:val="006B1882"/>
    <w:rsid w:val="006C4059"/>
    <w:rsid w:val="006D4C9B"/>
    <w:rsid w:val="006E4797"/>
    <w:rsid w:val="006E528E"/>
    <w:rsid w:val="00702A9B"/>
    <w:rsid w:val="007173C3"/>
    <w:rsid w:val="007204E7"/>
    <w:rsid w:val="007427DB"/>
    <w:rsid w:val="00747A19"/>
    <w:rsid w:val="00750FDF"/>
    <w:rsid w:val="00772683"/>
    <w:rsid w:val="007740A3"/>
    <w:rsid w:val="00792979"/>
    <w:rsid w:val="00793AEE"/>
    <w:rsid w:val="007A0987"/>
    <w:rsid w:val="007A3EB0"/>
    <w:rsid w:val="007A7C92"/>
    <w:rsid w:val="007B7A8A"/>
    <w:rsid w:val="007D7545"/>
    <w:rsid w:val="007E6526"/>
    <w:rsid w:val="007F19D7"/>
    <w:rsid w:val="007F430E"/>
    <w:rsid w:val="00801624"/>
    <w:rsid w:val="0080404E"/>
    <w:rsid w:val="008107BB"/>
    <w:rsid w:val="00810DCC"/>
    <w:rsid w:val="00811043"/>
    <w:rsid w:val="00811C08"/>
    <w:rsid w:val="008130A8"/>
    <w:rsid w:val="00816751"/>
    <w:rsid w:val="008212B9"/>
    <w:rsid w:val="00832898"/>
    <w:rsid w:val="00841A8B"/>
    <w:rsid w:val="00845653"/>
    <w:rsid w:val="00851755"/>
    <w:rsid w:val="00866B06"/>
    <w:rsid w:val="00873474"/>
    <w:rsid w:val="00877CC1"/>
    <w:rsid w:val="008861E8"/>
    <w:rsid w:val="0088759F"/>
    <w:rsid w:val="008924B3"/>
    <w:rsid w:val="00897606"/>
    <w:rsid w:val="008A5782"/>
    <w:rsid w:val="008A7469"/>
    <w:rsid w:val="008B761E"/>
    <w:rsid w:val="008C481D"/>
    <w:rsid w:val="008C5825"/>
    <w:rsid w:val="008D6FA0"/>
    <w:rsid w:val="008D77BB"/>
    <w:rsid w:val="008E3644"/>
    <w:rsid w:val="00904BBC"/>
    <w:rsid w:val="0091544E"/>
    <w:rsid w:val="00930427"/>
    <w:rsid w:val="00930572"/>
    <w:rsid w:val="009416E8"/>
    <w:rsid w:val="009471EF"/>
    <w:rsid w:val="00971569"/>
    <w:rsid w:val="00972FB8"/>
    <w:rsid w:val="00981026"/>
    <w:rsid w:val="00983E7D"/>
    <w:rsid w:val="0099129F"/>
    <w:rsid w:val="009A0383"/>
    <w:rsid w:val="009A15F1"/>
    <w:rsid w:val="009A5160"/>
    <w:rsid w:val="009B46DE"/>
    <w:rsid w:val="009C3363"/>
    <w:rsid w:val="009D030B"/>
    <w:rsid w:val="009D6524"/>
    <w:rsid w:val="009E6A88"/>
    <w:rsid w:val="009F713A"/>
    <w:rsid w:val="009F7DD8"/>
    <w:rsid w:val="00A0271E"/>
    <w:rsid w:val="00A13C2F"/>
    <w:rsid w:val="00A342FC"/>
    <w:rsid w:val="00A37A87"/>
    <w:rsid w:val="00A40153"/>
    <w:rsid w:val="00A41E29"/>
    <w:rsid w:val="00A479B0"/>
    <w:rsid w:val="00A50F6A"/>
    <w:rsid w:val="00A52BAB"/>
    <w:rsid w:val="00A56C19"/>
    <w:rsid w:val="00A642B5"/>
    <w:rsid w:val="00A6785F"/>
    <w:rsid w:val="00A970F3"/>
    <w:rsid w:val="00AA41D5"/>
    <w:rsid w:val="00AB7B5F"/>
    <w:rsid w:val="00AD6A40"/>
    <w:rsid w:val="00AE13A3"/>
    <w:rsid w:val="00AF16D5"/>
    <w:rsid w:val="00AF7C6A"/>
    <w:rsid w:val="00B06267"/>
    <w:rsid w:val="00B06795"/>
    <w:rsid w:val="00B101EE"/>
    <w:rsid w:val="00B25886"/>
    <w:rsid w:val="00B41F8D"/>
    <w:rsid w:val="00B64341"/>
    <w:rsid w:val="00B65416"/>
    <w:rsid w:val="00B743B8"/>
    <w:rsid w:val="00B76A08"/>
    <w:rsid w:val="00B81212"/>
    <w:rsid w:val="00B87CC5"/>
    <w:rsid w:val="00B909E3"/>
    <w:rsid w:val="00B9151C"/>
    <w:rsid w:val="00B92BC7"/>
    <w:rsid w:val="00BA02EB"/>
    <w:rsid w:val="00BA3057"/>
    <w:rsid w:val="00BC59D9"/>
    <w:rsid w:val="00BC649B"/>
    <w:rsid w:val="00BD13DA"/>
    <w:rsid w:val="00C16370"/>
    <w:rsid w:val="00C352CF"/>
    <w:rsid w:val="00C40A20"/>
    <w:rsid w:val="00C4117B"/>
    <w:rsid w:val="00C42544"/>
    <w:rsid w:val="00C57CEF"/>
    <w:rsid w:val="00C61767"/>
    <w:rsid w:val="00C7243D"/>
    <w:rsid w:val="00C739FF"/>
    <w:rsid w:val="00C74614"/>
    <w:rsid w:val="00C75D73"/>
    <w:rsid w:val="00C877B2"/>
    <w:rsid w:val="00C96363"/>
    <w:rsid w:val="00C96AE4"/>
    <w:rsid w:val="00CB03AD"/>
    <w:rsid w:val="00CE035A"/>
    <w:rsid w:val="00CE171A"/>
    <w:rsid w:val="00CE61F1"/>
    <w:rsid w:val="00CF0EF2"/>
    <w:rsid w:val="00D05890"/>
    <w:rsid w:val="00D0611B"/>
    <w:rsid w:val="00D140DB"/>
    <w:rsid w:val="00D37458"/>
    <w:rsid w:val="00D42DC9"/>
    <w:rsid w:val="00D535F8"/>
    <w:rsid w:val="00D53C55"/>
    <w:rsid w:val="00D66BEA"/>
    <w:rsid w:val="00D676C2"/>
    <w:rsid w:val="00D81F25"/>
    <w:rsid w:val="00D852DA"/>
    <w:rsid w:val="00D90B34"/>
    <w:rsid w:val="00D91AAE"/>
    <w:rsid w:val="00DB3A2C"/>
    <w:rsid w:val="00DB5BEA"/>
    <w:rsid w:val="00DB6592"/>
    <w:rsid w:val="00DC3B12"/>
    <w:rsid w:val="00DE01D1"/>
    <w:rsid w:val="00DE7026"/>
    <w:rsid w:val="00DE710B"/>
    <w:rsid w:val="00DF2B65"/>
    <w:rsid w:val="00DF6084"/>
    <w:rsid w:val="00E1741F"/>
    <w:rsid w:val="00E22DCD"/>
    <w:rsid w:val="00E37DE0"/>
    <w:rsid w:val="00E5184F"/>
    <w:rsid w:val="00E667DA"/>
    <w:rsid w:val="00E67CE0"/>
    <w:rsid w:val="00E717EA"/>
    <w:rsid w:val="00E74187"/>
    <w:rsid w:val="00E80748"/>
    <w:rsid w:val="00E86D28"/>
    <w:rsid w:val="00E8749B"/>
    <w:rsid w:val="00E90DDD"/>
    <w:rsid w:val="00E91F34"/>
    <w:rsid w:val="00EA1833"/>
    <w:rsid w:val="00EB119E"/>
    <w:rsid w:val="00EB1E68"/>
    <w:rsid w:val="00EC245E"/>
    <w:rsid w:val="00EE717A"/>
    <w:rsid w:val="00EF3D13"/>
    <w:rsid w:val="00F02E8E"/>
    <w:rsid w:val="00F05657"/>
    <w:rsid w:val="00F0693C"/>
    <w:rsid w:val="00F13A21"/>
    <w:rsid w:val="00F16CDB"/>
    <w:rsid w:val="00F214CA"/>
    <w:rsid w:val="00F379D7"/>
    <w:rsid w:val="00F47935"/>
    <w:rsid w:val="00F83DF2"/>
    <w:rsid w:val="00F8517B"/>
    <w:rsid w:val="00FC47EC"/>
    <w:rsid w:val="00FD1BAB"/>
    <w:rsid w:val="00FD71F4"/>
    <w:rsid w:val="00FE06BB"/>
    <w:rsid w:val="00FE2078"/>
    <w:rsid w:val="00FE7E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9366"/>
  <w15:docId w15:val="{AE1C5519-FAD8-434E-991D-AC8AC0E5F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NoSpacing">
    <w:name w:val="No Spacing"/>
    <w:uiPriority w:val="1"/>
    <w:qFormat/>
    <w:rsid w:val="00E717EA"/>
    <w:pPr>
      <w:widowControl/>
      <w:jc w:val="left"/>
    </w:pPr>
    <w:rPr>
      <w:rFonts w:cs="Times New Roman"/>
      <w:sz w:val="22"/>
      <w:szCs w:val="22"/>
      <w:lang w:val="en-GB"/>
    </w:rPr>
  </w:style>
  <w:style w:type="paragraph" w:styleId="ListParagraph">
    <w:name w:val="List Paragraph"/>
    <w:basedOn w:val="Normal"/>
    <w:uiPriority w:val="34"/>
    <w:qFormat/>
    <w:rsid w:val="00426A48"/>
    <w:pPr>
      <w:ind w:left="720"/>
      <w:contextualSpacing/>
    </w:pPr>
  </w:style>
  <w:style w:type="paragraph" w:styleId="HTMLPreformatted">
    <w:name w:val="HTML Preformatted"/>
    <w:basedOn w:val="Normal"/>
    <w:link w:val="HTMLPreformattedChar"/>
    <w:uiPriority w:val="99"/>
    <w:unhideWhenUsed/>
    <w:rsid w:val="00044C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044CE5"/>
    <w:rPr>
      <w:rFonts w:ascii="Courier New" w:eastAsia="Times New Roman" w:hAnsi="Courier New" w:cs="Courier New"/>
      <w:sz w:val="20"/>
      <w:szCs w:val="20"/>
      <w:lang w:val="en-GB" w:eastAsia="en-GB"/>
    </w:rPr>
  </w:style>
  <w:style w:type="character" w:styleId="CommentReference">
    <w:name w:val="annotation reference"/>
    <w:basedOn w:val="DefaultParagraphFont"/>
    <w:uiPriority w:val="99"/>
    <w:semiHidden/>
    <w:unhideWhenUsed/>
    <w:rsid w:val="00D676C2"/>
    <w:rPr>
      <w:sz w:val="16"/>
      <w:szCs w:val="16"/>
    </w:rPr>
  </w:style>
  <w:style w:type="paragraph" w:styleId="CommentText">
    <w:name w:val="annotation text"/>
    <w:basedOn w:val="Normal"/>
    <w:link w:val="CommentTextChar"/>
    <w:uiPriority w:val="99"/>
    <w:semiHidden/>
    <w:unhideWhenUsed/>
    <w:rsid w:val="00D676C2"/>
    <w:rPr>
      <w:sz w:val="20"/>
      <w:szCs w:val="20"/>
    </w:rPr>
  </w:style>
  <w:style w:type="character" w:customStyle="1" w:styleId="CommentTextChar">
    <w:name w:val="Comment Text Char"/>
    <w:basedOn w:val="DefaultParagraphFont"/>
    <w:link w:val="CommentText"/>
    <w:uiPriority w:val="99"/>
    <w:semiHidden/>
    <w:rsid w:val="00D676C2"/>
    <w:rPr>
      <w:sz w:val="20"/>
      <w:szCs w:val="20"/>
    </w:rPr>
  </w:style>
  <w:style w:type="paragraph" w:styleId="CommentSubject">
    <w:name w:val="annotation subject"/>
    <w:basedOn w:val="CommentText"/>
    <w:next w:val="CommentText"/>
    <w:link w:val="CommentSubjectChar"/>
    <w:uiPriority w:val="99"/>
    <w:semiHidden/>
    <w:unhideWhenUsed/>
    <w:rsid w:val="00D676C2"/>
    <w:rPr>
      <w:b/>
      <w:bCs/>
    </w:rPr>
  </w:style>
  <w:style w:type="character" w:customStyle="1" w:styleId="CommentSubjectChar">
    <w:name w:val="Comment Subject Char"/>
    <w:basedOn w:val="CommentTextChar"/>
    <w:link w:val="CommentSubject"/>
    <w:uiPriority w:val="99"/>
    <w:semiHidden/>
    <w:rsid w:val="00D676C2"/>
    <w:rPr>
      <w:b/>
      <w:bCs/>
      <w:sz w:val="20"/>
      <w:szCs w:val="20"/>
    </w:rPr>
  </w:style>
  <w:style w:type="paragraph" w:styleId="BalloonText">
    <w:name w:val="Balloon Text"/>
    <w:basedOn w:val="Normal"/>
    <w:link w:val="BalloonTextChar"/>
    <w:uiPriority w:val="99"/>
    <w:semiHidden/>
    <w:unhideWhenUsed/>
    <w:rsid w:val="00D676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6C2"/>
    <w:rPr>
      <w:rFonts w:ascii="Segoe UI" w:hAnsi="Segoe UI" w:cs="Segoe UI"/>
      <w:sz w:val="18"/>
      <w:szCs w:val="18"/>
    </w:rPr>
  </w:style>
  <w:style w:type="paragraph" w:styleId="Footer">
    <w:name w:val="footer"/>
    <w:basedOn w:val="Normal"/>
    <w:link w:val="FooterChar"/>
    <w:uiPriority w:val="99"/>
    <w:unhideWhenUsed/>
    <w:rsid w:val="001D7028"/>
    <w:pPr>
      <w:tabs>
        <w:tab w:val="center" w:pos="4513"/>
        <w:tab w:val="right" w:pos="9026"/>
      </w:tabs>
    </w:pPr>
  </w:style>
  <w:style w:type="character" w:customStyle="1" w:styleId="FooterChar">
    <w:name w:val="Footer Char"/>
    <w:basedOn w:val="DefaultParagraphFont"/>
    <w:link w:val="Footer"/>
    <w:uiPriority w:val="99"/>
    <w:rsid w:val="001D7028"/>
  </w:style>
  <w:style w:type="paragraph" w:styleId="Revision">
    <w:name w:val="Revision"/>
    <w:hidden/>
    <w:uiPriority w:val="99"/>
    <w:semiHidden/>
    <w:rsid w:val="00673C5C"/>
    <w:pPr>
      <w:widowControl/>
      <w:jc w:val="left"/>
    </w:pPr>
  </w:style>
  <w:style w:type="character" w:styleId="LineNumber">
    <w:name w:val="line number"/>
    <w:basedOn w:val="DefaultParagraphFont"/>
    <w:uiPriority w:val="99"/>
    <w:semiHidden/>
    <w:unhideWhenUsed/>
    <w:rsid w:val="00563B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503871">
      <w:bodyDiv w:val="1"/>
      <w:marLeft w:val="0"/>
      <w:marRight w:val="0"/>
      <w:marTop w:val="0"/>
      <w:marBottom w:val="0"/>
      <w:divBdr>
        <w:top w:val="none" w:sz="0" w:space="0" w:color="auto"/>
        <w:left w:val="none" w:sz="0" w:space="0" w:color="auto"/>
        <w:bottom w:val="none" w:sz="0" w:space="0" w:color="auto"/>
        <w:right w:val="none" w:sz="0" w:space="0" w:color="auto"/>
      </w:divBdr>
    </w:div>
    <w:div w:id="1048719668">
      <w:bodyDiv w:val="1"/>
      <w:marLeft w:val="0"/>
      <w:marRight w:val="0"/>
      <w:marTop w:val="0"/>
      <w:marBottom w:val="0"/>
      <w:divBdr>
        <w:top w:val="none" w:sz="0" w:space="0" w:color="auto"/>
        <w:left w:val="none" w:sz="0" w:space="0" w:color="auto"/>
        <w:bottom w:val="none" w:sz="0" w:space="0" w:color="auto"/>
        <w:right w:val="none" w:sz="0" w:space="0" w:color="auto"/>
      </w:divBdr>
    </w:div>
    <w:div w:id="10652537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13189E-10D7-46DE-848F-0BFCDB347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13</Pages>
  <Words>10764</Words>
  <Characters>61356</Characters>
  <Application>Microsoft Office Word</Application>
  <DocSecurity>0</DocSecurity>
  <Lines>511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Groom</dc:creator>
  <cp:keywords/>
  <dc:description/>
  <cp:lastModifiedBy>Nam Nguyen</cp:lastModifiedBy>
  <cp:revision>9</cp:revision>
  <cp:lastPrinted>2021-01-14T13:13:00Z</cp:lastPrinted>
  <dcterms:created xsi:type="dcterms:W3CDTF">2021-04-05T11:44:00Z</dcterms:created>
  <dcterms:modified xsi:type="dcterms:W3CDTF">2021-04-05T19:07:00Z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1f29cbc9-a19e-3f23-b821-c15e0db1d899</vt:lpwstr>
  </property>
  <property fmtid="{D5CDD505-2E9C-101B-9397-08002B2CF9AE}" pid="24" name="Mendeley Citation Style_1">
    <vt:lpwstr>http://www.zotero.org/styles/journal-of-visualized-experiments</vt:lpwstr>
  </property>
</Properties>
</file>