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4622788F"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3664E3">
        <w:rPr>
          <w:rFonts w:ascii="Calibri" w:hAnsi="Calibri" w:cs="Calibri"/>
          <w:b/>
          <w:i w:val="0"/>
          <w:szCs w:val="24"/>
        </w:rPr>
        <w:t>62501</w:t>
      </w:r>
    </w:p>
    <w:p w14:paraId="18AEE126" w14:textId="77777777" w:rsidR="003664E3" w:rsidRPr="003664E3" w:rsidRDefault="003664E3" w:rsidP="003664E3">
      <w:pPr>
        <w:outlineLvl w:val="0"/>
        <w:rPr>
          <w:rFonts w:asciiTheme="majorHAnsi" w:eastAsia="Times New Roman" w:hAnsiTheme="majorHAnsi" w:cstheme="majorHAnsi"/>
          <w:b/>
          <w:szCs w:val="24"/>
        </w:rPr>
      </w:pPr>
      <w:r w:rsidRPr="003664E3">
        <w:rPr>
          <w:rFonts w:asciiTheme="majorHAnsi" w:eastAsia="Times New Roman" w:hAnsiTheme="majorHAnsi" w:cstheme="majorHAnsi"/>
          <w:b/>
          <w:szCs w:val="24"/>
        </w:rPr>
        <w:t>Scriptwriter Name: Madhulika Pathak</w:t>
      </w:r>
    </w:p>
    <w:p w14:paraId="080024FB" w14:textId="77777777" w:rsidR="003664E3" w:rsidRPr="003664E3" w:rsidDel="00A12F8F" w:rsidRDefault="003664E3" w:rsidP="003664E3">
      <w:pPr>
        <w:outlineLvl w:val="0"/>
        <w:rPr>
          <w:rFonts w:asciiTheme="majorHAnsi" w:eastAsia="Times New Roman" w:hAnsiTheme="majorHAnsi" w:cstheme="majorHAnsi"/>
          <w:b/>
          <w:szCs w:val="24"/>
        </w:rPr>
      </w:pPr>
      <w:r w:rsidRPr="003664E3">
        <w:rPr>
          <w:rFonts w:asciiTheme="majorHAnsi" w:eastAsia="Times New Roman" w:hAnsiTheme="majorHAnsi" w:cstheme="majorHAnsi"/>
          <w:b/>
          <w:szCs w:val="24"/>
        </w:rPr>
        <w:t>Supervisor Name: Anastasia Gomez</w:t>
      </w:r>
    </w:p>
    <w:p w14:paraId="0E062B51" w14:textId="6093DE9A"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3664E3">
          <w:rPr>
            <w:rStyle w:val="Hyperlink"/>
            <w:rFonts w:ascii="Arial" w:hAnsi="Arial" w:cs="Arial"/>
            <w:color w:val="1155CC"/>
            <w:sz w:val="19"/>
            <w:szCs w:val="19"/>
            <w:shd w:val="clear" w:color="auto" w:fill="FFFFFF"/>
          </w:rPr>
          <w:t>https://www.jove.com/account/file-uploader?src=19062853</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3FE52742" w14:textId="438DB2E1" w:rsidR="00123224" w:rsidRDefault="00123224" w:rsidP="00123224">
      <w:pPr>
        <w:rPr>
          <w:rFonts w:ascii="Calibri" w:hAnsi="Calibri" w:cs="Calibri"/>
          <w:b/>
          <w:szCs w:val="24"/>
        </w:rPr>
      </w:pPr>
    </w:p>
    <w:p w14:paraId="6CEA64F6" w14:textId="77777777" w:rsidR="003664E3" w:rsidRPr="003664E3" w:rsidRDefault="003664E3" w:rsidP="003664E3">
      <w:pPr>
        <w:spacing w:before="120"/>
        <w:rPr>
          <w:rFonts w:asciiTheme="majorHAnsi" w:eastAsia="Times New Roman" w:hAnsiTheme="majorHAnsi" w:cstheme="majorHAnsi"/>
          <w:szCs w:val="24"/>
        </w:rPr>
      </w:pPr>
      <w:r w:rsidRPr="003664E3">
        <w:rPr>
          <w:rFonts w:asciiTheme="majorHAnsi" w:eastAsia="Times New Roman" w:hAnsiTheme="majorHAnsi" w:cstheme="majorHAnsi"/>
          <w:b/>
          <w:szCs w:val="24"/>
        </w:rPr>
        <w:t>REQUIRED:</w:t>
      </w:r>
      <w:r w:rsidRPr="003664E3">
        <w:rPr>
          <w:rFonts w:asciiTheme="majorHAnsi" w:eastAsia="Times New Roman" w:hAnsiTheme="majorHAnsi" w:cstheme="majorHAnsi"/>
          <w:szCs w:val="24"/>
        </w:rPr>
        <w:t xml:space="preserve"> </w:t>
      </w:r>
    </w:p>
    <w:p w14:paraId="773032FD" w14:textId="269EC864" w:rsidR="003664E3" w:rsidRPr="003664E3" w:rsidRDefault="003664E3" w:rsidP="003664E3">
      <w:pPr>
        <w:pStyle w:val="ListParagraph"/>
        <w:numPr>
          <w:ilvl w:val="1"/>
          <w:numId w:val="14"/>
        </w:numPr>
        <w:spacing w:before="120"/>
        <w:contextualSpacing w:val="0"/>
        <w:jc w:val="both"/>
        <w:rPr>
          <w:rFonts w:asciiTheme="majorHAnsi" w:eastAsia="Times New Roman" w:hAnsiTheme="majorHAnsi" w:cstheme="majorHAnsi"/>
          <w:b/>
          <w:bCs/>
          <w:szCs w:val="24"/>
        </w:rPr>
      </w:pPr>
      <w:proofErr w:type="spellStart"/>
      <w:r w:rsidRPr="003664E3">
        <w:rPr>
          <w:rStyle w:val="AuthorName"/>
          <w:rFonts w:asciiTheme="majorHAnsi" w:eastAsia="Times" w:hAnsiTheme="majorHAnsi" w:cstheme="majorHAnsi"/>
        </w:rPr>
        <w:t>Inès</w:t>
      </w:r>
      <w:proofErr w:type="spellEnd"/>
      <w:r w:rsidRPr="003664E3">
        <w:rPr>
          <w:rStyle w:val="AuthorName"/>
          <w:rFonts w:asciiTheme="majorHAnsi" w:eastAsia="Times" w:hAnsiTheme="majorHAnsi" w:cstheme="majorHAnsi"/>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The overall objective of this procedure is to follow in real time the formation of proplatelets from mouse megakaryocytes which have matured in their native environment. </w:t>
      </w:r>
      <w:r w:rsidRPr="003664E3">
        <w:rPr>
          <w:rFonts w:asciiTheme="majorHAnsi" w:eastAsia="Times New Roman" w:hAnsiTheme="majorHAnsi" w:cstheme="majorHAnsi"/>
          <w:b/>
          <w:bCs/>
          <w:szCs w:val="24"/>
        </w:rPr>
        <w:t>[1]</w:t>
      </w:r>
      <w:r w:rsidRPr="003664E3">
        <w:rPr>
          <w:rFonts w:asciiTheme="majorHAnsi" w:eastAsia="Times New Roman" w:hAnsiTheme="majorHAnsi" w:cstheme="majorHAnsi"/>
          <w:szCs w:val="24"/>
        </w:rPr>
        <w:t>.</w:t>
      </w:r>
    </w:p>
    <w:p w14:paraId="0F211D68"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r w:rsidRPr="003664E3">
        <w:rPr>
          <w:rFonts w:asciiTheme="majorHAnsi" w:hAnsiTheme="majorHAnsi" w:cstheme="majorHAnsi"/>
          <w:bCs/>
          <w:i/>
          <w:iCs/>
          <w:color w:val="002060"/>
          <w:szCs w:val="24"/>
        </w:rPr>
        <w:t xml:space="preserve">Suggested b-roll: 4.1.2, 4.1.3 </w:t>
      </w:r>
    </w:p>
    <w:p w14:paraId="0471DE40" w14:textId="1D50CB8A" w:rsidR="003664E3" w:rsidRPr="003664E3" w:rsidRDefault="003664E3" w:rsidP="003664E3">
      <w:pPr>
        <w:pStyle w:val="ListParagraph"/>
        <w:numPr>
          <w:ilvl w:val="1"/>
          <w:numId w:val="14"/>
        </w:numPr>
        <w:spacing w:before="120"/>
        <w:contextualSpacing w:val="0"/>
        <w:jc w:val="both"/>
        <w:rPr>
          <w:rFonts w:asciiTheme="majorHAnsi" w:eastAsia="Times New Roman" w:hAnsiTheme="majorHAnsi" w:cstheme="majorHAnsi"/>
          <w:szCs w:val="24"/>
        </w:rPr>
      </w:pPr>
      <w:proofErr w:type="spellStart"/>
      <w:r w:rsidRPr="003664E3">
        <w:rPr>
          <w:rStyle w:val="AuthorName"/>
          <w:rFonts w:asciiTheme="majorHAnsi" w:eastAsia="Times" w:hAnsiTheme="majorHAnsi" w:cstheme="majorHAnsi"/>
        </w:rPr>
        <w:t>Inès</w:t>
      </w:r>
      <w:proofErr w:type="spellEnd"/>
      <w:r w:rsidRPr="003664E3">
        <w:rPr>
          <w:rStyle w:val="AuthorName"/>
          <w:rFonts w:asciiTheme="majorHAnsi" w:eastAsia="Times" w:hAnsiTheme="majorHAnsi" w:cstheme="majorHAnsi"/>
        </w:rPr>
        <w:t xml:space="preserve"> GUINARD</w:t>
      </w:r>
      <w:r w:rsidRPr="003664E3">
        <w:rPr>
          <w:rFonts w:asciiTheme="majorHAnsi" w:eastAsia="Times New Roman" w:hAnsiTheme="majorHAnsi" w:cstheme="majorHAnsi"/>
          <w:bCs/>
          <w:szCs w:val="24"/>
          <w:u w:val="single"/>
        </w:rPr>
        <w:t>:</w:t>
      </w:r>
      <w:r w:rsidRPr="003664E3">
        <w:rPr>
          <w:rFonts w:asciiTheme="majorHAnsi" w:hAnsiTheme="majorHAnsi" w:cstheme="majorHAnsi"/>
        </w:rPr>
        <w:t xml:space="preserve"> </w:t>
      </w:r>
      <w:r w:rsidRPr="003664E3">
        <w:rPr>
          <w:rFonts w:asciiTheme="majorHAnsi" w:eastAsia="Times New Roman" w:hAnsiTheme="majorHAnsi" w:cstheme="majorHAnsi"/>
          <w:bCs/>
          <w:szCs w:val="24"/>
        </w:rPr>
        <w:t xml:space="preserve">This method has the advantage of being simple, reproducible and fast. One can analyze many megakaryocytes and visualize the formation of proplatelets </w:t>
      </w:r>
      <w:r w:rsidR="006D4660">
        <w:rPr>
          <w:rFonts w:asciiTheme="majorHAnsi" w:eastAsia="Times New Roman" w:hAnsiTheme="majorHAnsi" w:cstheme="majorHAnsi"/>
          <w:bCs/>
          <w:szCs w:val="24"/>
        </w:rPr>
        <w:t xml:space="preserve">in </w:t>
      </w:r>
      <w:r w:rsidRPr="003664E3">
        <w:rPr>
          <w:rFonts w:asciiTheme="majorHAnsi" w:eastAsia="Times New Roman" w:hAnsiTheme="majorHAnsi" w:cstheme="majorHAnsi"/>
          <w:bCs/>
          <w:szCs w:val="24"/>
        </w:rPr>
        <w:t>only 6 hours, instead of waiting for the 4</w:t>
      </w:r>
      <w:r w:rsidRPr="003664E3">
        <w:rPr>
          <w:rFonts w:asciiTheme="majorHAnsi" w:eastAsia="Times New Roman" w:hAnsiTheme="majorHAnsi" w:cstheme="majorHAnsi"/>
          <w:bCs/>
          <w:szCs w:val="24"/>
          <w:vertAlign w:val="superscript"/>
        </w:rPr>
        <w:t>th</w:t>
      </w:r>
      <w:r w:rsidRPr="003664E3">
        <w:rPr>
          <w:rFonts w:asciiTheme="majorHAnsi" w:eastAsia="Times New Roman" w:hAnsiTheme="majorHAnsi" w:cstheme="majorHAnsi"/>
          <w:bCs/>
          <w:szCs w:val="24"/>
        </w:rPr>
        <w:t xml:space="preserve"> day of culture as for mouse megakaryocytes </w:t>
      </w:r>
      <w:r w:rsidRPr="003664E3">
        <w:rPr>
          <w:rFonts w:asciiTheme="majorHAnsi" w:eastAsia="Times New Roman" w:hAnsiTheme="majorHAnsi" w:cstheme="majorHAnsi"/>
          <w:bCs/>
          <w:i/>
          <w:szCs w:val="24"/>
        </w:rPr>
        <w:t>in vitro</w:t>
      </w:r>
      <w:r>
        <w:rPr>
          <w:rFonts w:asciiTheme="majorHAnsi" w:eastAsia="Times New Roman" w:hAnsiTheme="majorHAnsi" w:cstheme="majorHAnsi"/>
          <w:bCs/>
          <w:i/>
          <w:szCs w:val="24"/>
        </w:rPr>
        <w:t xml:space="preserve"> </w:t>
      </w:r>
      <w:r w:rsidRPr="003664E3">
        <w:rPr>
          <w:rFonts w:asciiTheme="majorHAnsi" w:eastAsia="Times New Roman" w:hAnsiTheme="majorHAnsi" w:cstheme="majorHAnsi"/>
          <w:b/>
          <w:iCs/>
          <w:szCs w:val="24"/>
        </w:rPr>
        <w:t>[1]</w:t>
      </w:r>
      <w:r>
        <w:rPr>
          <w:rFonts w:asciiTheme="majorHAnsi" w:eastAsia="Times New Roman" w:hAnsiTheme="majorHAnsi" w:cstheme="majorHAnsi"/>
          <w:b/>
          <w:iCs/>
          <w:szCs w:val="24"/>
        </w:rPr>
        <w:t>.</w:t>
      </w:r>
    </w:p>
    <w:p w14:paraId="1F67EAF5"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r w:rsidRPr="003664E3">
        <w:rPr>
          <w:rFonts w:asciiTheme="majorHAnsi" w:hAnsiTheme="majorHAnsi" w:cstheme="majorHAnsi"/>
          <w:bCs/>
          <w:i/>
          <w:iCs/>
          <w:color w:val="002060"/>
          <w:szCs w:val="24"/>
        </w:rPr>
        <w:t>Suggested b-roll: 4.2.1</w:t>
      </w:r>
    </w:p>
    <w:p w14:paraId="70AD8B33" w14:textId="77777777" w:rsidR="003664E3" w:rsidRPr="003664E3" w:rsidRDefault="003664E3" w:rsidP="003664E3">
      <w:pPr>
        <w:spacing w:before="120"/>
        <w:jc w:val="both"/>
        <w:rPr>
          <w:rFonts w:asciiTheme="majorHAnsi" w:eastAsia="Times New Roman" w:hAnsiTheme="majorHAnsi" w:cstheme="majorHAnsi"/>
          <w:szCs w:val="24"/>
        </w:rPr>
      </w:pPr>
      <w:r w:rsidRPr="003664E3">
        <w:rPr>
          <w:rFonts w:asciiTheme="majorHAnsi" w:eastAsia="Times New Roman" w:hAnsiTheme="majorHAnsi" w:cstheme="majorHAnsi"/>
          <w:b/>
          <w:bCs/>
          <w:szCs w:val="24"/>
        </w:rPr>
        <w:t>OPTIONAL:</w:t>
      </w:r>
      <w:r w:rsidRPr="003664E3">
        <w:rPr>
          <w:rFonts w:asciiTheme="majorHAnsi" w:eastAsia="Times New Roman" w:hAnsiTheme="majorHAnsi" w:cstheme="majorHAnsi"/>
          <w:szCs w:val="24"/>
        </w:rPr>
        <w:t xml:space="preserve"> </w:t>
      </w:r>
    </w:p>
    <w:p w14:paraId="4CC20755" w14:textId="746325C9" w:rsidR="003664E3" w:rsidRPr="003664E3" w:rsidRDefault="003664E3" w:rsidP="003664E3">
      <w:pPr>
        <w:pStyle w:val="ListParagraph"/>
        <w:numPr>
          <w:ilvl w:val="1"/>
          <w:numId w:val="14"/>
        </w:numPr>
        <w:spacing w:before="120"/>
        <w:contextualSpacing w:val="0"/>
        <w:jc w:val="both"/>
        <w:rPr>
          <w:rFonts w:asciiTheme="majorHAnsi" w:eastAsia="Times New Roman" w:hAnsiTheme="majorHAnsi" w:cstheme="majorHAnsi"/>
          <w:szCs w:val="24"/>
        </w:rPr>
      </w:pPr>
      <w:proofErr w:type="spellStart"/>
      <w:r w:rsidRPr="003664E3">
        <w:rPr>
          <w:rStyle w:val="AuthorName"/>
          <w:rFonts w:asciiTheme="majorHAnsi" w:eastAsia="Times" w:hAnsiTheme="majorHAnsi" w:cstheme="majorHAnsi"/>
        </w:rPr>
        <w:t>Inès</w:t>
      </w:r>
      <w:proofErr w:type="spellEnd"/>
      <w:r w:rsidRPr="003664E3">
        <w:rPr>
          <w:rStyle w:val="AuthorName"/>
          <w:rFonts w:asciiTheme="majorHAnsi" w:eastAsia="Times" w:hAnsiTheme="majorHAnsi" w:cstheme="majorHAnsi"/>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An interesting application of this model is the possibility to study the effect of pharmaceutical treatments or genetic mutations specifically on the step of proplatelet extension.  Here, there are no interferences with the differentiation process as in the case of </w:t>
      </w:r>
      <w:r w:rsidRPr="003664E3">
        <w:rPr>
          <w:rFonts w:asciiTheme="majorHAnsi" w:eastAsia="Times New Roman" w:hAnsiTheme="majorHAnsi" w:cstheme="majorHAnsi"/>
          <w:i/>
          <w:szCs w:val="24"/>
        </w:rPr>
        <w:t>in vitro</w:t>
      </w:r>
      <w:r w:rsidRPr="003664E3">
        <w:rPr>
          <w:rFonts w:asciiTheme="majorHAnsi" w:eastAsia="Times New Roman" w:hAnsiTheme="majorHAnsi" w:cstheme="majorHAnsi"/>
          <w:szCs w:val="24"/>
        </w:rPr>
        <w:t xml:space="preserve"> culture</w:t>
      </w:r>
      <w:r>
        <w:rPr>
          <w:rFonts w:asciiTheme="majorHAnsi" w:eastAsia="Times New Roman" w:hAnsiTheme="majorHAnsi" w:cstheme="majorHAnsi"/>
          <w:szCs w:val="24"/>
        </w:rPr>
        <w:t xml:space="preserve"> </w:t>
      </w:r>
      <w:r w:rsidRPr="003664E3">
        <w:rPr>
          <w:rFonts w:asciiTheme="majorHAnsi" w:eastAsia="Times New Roman" w:hAnsiTheme="majorHAnsi" w:cstheme="majorHAnsi"/>
          <w:b/>
          <w:bCs/>
          <w:szCs w:val="24"/>
        </w:rPr>
        <w:t>[1]</w:t>
      </w:r>
      <w:r w:rsidRPr="003664E3">
        <w:rPr>
          <w:rFonts w:asciiTheme="majorHAnsi" w:eastAsia="Times New Roman" w:hAnsiTheme="majorHAnsi" w:cstheme="majorHAnsi"/>
          <w:szCs w:val="24"/>
        </w:rPr>
        <w:t>.</w:t>
      </w:r>
    </w:p>
    <w:p w14:paraId="4AA01F9F"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p>
    <w:p w14:paraId="7BE9E522" w14:textId="77777777" w:rsidR="003664E3" w:rsidRPr="003664E3" w:rsidRDefault="003664E3" w:rsidP="003664E3">
      <w:pPr>
        <w:rPr>
          <w:rFonts w:asciiTheme="majorHAnsi" w:eastAsia="Times New Roman" w:hAnsiTheme="majorHAnsi" w:cstheme="majorHAnsi"/>
          <w:szCs w:val="24"/>
        </w:rPr>
      </w:pPr>
    </w:p>
    <w:p w14:paraId="57084967" w14:textId="77777777" w:rsidR="003664E3" w:rsidRPr="003664E3" w:rsidRDefault="003664E3" w:rsidP="003664E3">
      <w:pPr>
        <w:pStyle w:val="ListParagraph"/>
        <w:numPr>
          <w:ilvl w:val="1"/>
          <w:numId w:val="14"/>
        </w:numPr>
        <w:spacing w:before="120"/>
        <w:contextualSpacing w:val="0"/>
        <w:jc w:val="both"/>
        <w:rPr>
          <w:rFonts w:asciiTheme="majorHAnsi" w:eastAsia="Times New Roman" w:hAnsiTheme="majorHAnsi" w:cstheme="majorHAnsi"/>
          <w:szCs w:val="24"/>
        </w:rPr>
      </w:pPr>
      <w:proofErr w:type="spellStart"/>
      <w:r w:rsidRPr="003664E3">
        <w:rPr>
          <w:rStyle w:val="AuthorName"/>
          <w:rFonts w:asciiTheme="majorHAnsi" w:eastAsia="Times" w:hAnsiTheme="majorHAnsi" w:cstheme="majorHAnsi"/>
        </w:rPr>
        <w:t>Inès</w:t>
      </w:r>
      <w:proofErr w:type="spellEnd"/>
      <w:r w:rsidRPr="003664E3">
        <w:rPr>
          <w:rStyle w:val="AuthorName"/>
          <w:rFonts w:asciiTheme="majorHAnsi" w:eastAsia="Times" w:hAnsiTheme="majorHAnsi" w:cstheme="majorHAnsi"/>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w:t>
      </w:r>
      <w:r w:rsidRPr="003664E3">
        <w:rPr>
          <w:rFonts w:asciiTheme="majorHAnsi" w:hAnsiTheme="majorHAnsi" w:cstheme="majorHAnsi"/>
        </w:rPr>
        <w:t>This video helps in showing the key steps of flushing and cutting the bone marrow. It also explains how to classify the morphology and quantify MKs, which is really useful for the characterization of defects in thrombopoiesis.</w:t>
      </w:r>
    </w:p>
    <w:p w14:paraId="73F4DE97"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r w:rsidRPr="003664E3">
        <w:rPr>
          <w:rFonts w:asciiTheme="majorHAnsi" w:hAnsiTheme="majorHAnsi" w:cstheme="majorHAnsi"/>
          <w:bCs/>
          <w:i/>
          <w:iCs/>
          <w:color w:val="002060"/>
          <w:szCs w:val="24"/>
        </w:rPr>
        <w:t>Suggested b-roll: 3.3.1,3.3.2, 4.3.1 and 4.3.2</w:t>
      </w:r>
    </w:p>
    <w:p w14:paraId="19F20CA5" w14:textId="759A3D31" w:rsidR="00DE5C72" w:rsidRPr="003664E3" w:rsidRDefault="00DE5C72">
      <w:pPr>
        <w:rPr>
          <w:rFonts w:asciiTheme="majorHAnsi" w:hAnsiTheme="majorHAnsi" w:cstheme="majorHAnsi"/>
          <w:b/>
          <w:bCs/>
          <w:szCs w:val="24"/>
        </w:rPr>
      </w:pPr>
    </w:p>
    <w:p w14:paraId="1056A3AB" w14:textId="59238E79" w:rsidR="003664E3" w:rsidRPr="003664E3" w:rsidRDefault="003664E3" w:rsidP="003664E3">
      <w:pPr>
        <w:rPr>
          <w:rFonts w:asciiTheme="majorHAnsi" w:hAnsiTheme="majorHAnsi" w:cstheme="majorHAnsi"/>
          <w:b/>
          <w:bCs/>
          <w:szCs w:val="24"/>
          <w:lang w:eastAsia="zh-TW"/>
        </w:rPr>
      </w:pPr>
      <w:bookmarkStart w:id="0" w:name="_Hlk27388131"/>
      <w:r w:rsidRPr="003664E3">
        <w:rPr>
          <w:rFonts w:asciiTheme="majorHAnsi" w:hAnsiTheme="majorHAnsi" w:cstheme="majorHAnsi"/>
          <w:b/>
          <w:bCs/>
          <w:szCs w:val="24"/>
        </w:rPr>
        <w:t>Conclusion Interview Statements</w:t>
      </w:r>
    </w:p>
    <w:bookmarkEnd w:id="0"/>
    <w:p w14:paraId="112DA61C" w14:textId="77777777" w:rsidR="003664E3" w:rsidRPr="003664E3" w:rsidRDefault="003664E3" w:rsidP="003664E3">
      <w:pPr>
        <w:pStyle w:val="ListParagraph"/>
        <w:numPr>
          <w:ilvl w:val="0"/>
          <w:numId w:val="14"/>
        </w:numPr>
        <w:spacing w:before="120"/>
        <w:contextualSpacing w:val="0"/>
        <w:jc w:val="both"/>
        <w:outlineLvl w:val="0"/>
        <w:rPr>
          <w:rStyle w:val="AuthorName"/>
          <w:rFonts w:asciiTheme="majorHAnsi" w:eastAsia="Times" w:hAnsiTheme="majorHAnsi" w:cstheme="majorHAnsi"/>
          <w:vanish/>
        </w:rPr>
      </w:pPr>
    </w:p>
    <w:p w14:paraId="7C503D1D" w14:textId="77777777" w:rsidR="003664E3" w:rsidRPr="003664E3" w:rsidRDefault="003664E3" w:rsidP="003664E3">
      <w:pPr>
        <w:pStyle w:val="ListParagraph"/>
        <w:numPr>
          <w:ilvl w:val="0"/>
          <w:numId w:val="14"/>
        </w:numPr>
        <w:spacing w:before="120"/>
        <w:contextualSpacing w:val="0"/>
        <w:jc w:val="both"/>
        <w:outlineLvl w:val="0"/>
        <w:rPr>
          <w:rStyle w:val="AuthorName"/>
          <w:rFonts w:asciiTheme="majorHAnsi" w:eastAsia="Times" w:hAnsiTheme="majorHAnsi" w:cstheme="majorHAnsi"/>
          <w:vanish/>
        </w:rPr>
      </w:pPr>
    </w:p>
    <w:p w14:paraId="5B41E76D" w14:textId="77777777" w:rsidR="003664E3" w:rsidRPr="003664E3" w:rsidRDefault="003664E3" w:rsidP="003664E3">
      <w:pPr>
        <w:pStyle w:val="ListParagraph"/>
        <w:numPr>
          <w:ilvl w:val="0"/>
          <w:numId w:val="14"/>
        </w:numPr>
        <w:spacing w:before="120"/>
        <w:contextualSpacing w:val="0"/>
        <w:jc w:val="both"/>
        <w:outlineLvl w:val="0"/>
        <w:rPr>
          <w:rStyle w:val="AuthorName"/>
          <w:rFonts w:asciiTheme="majorHAnsi" w:eastAsia="Times" w:hAnsiTheme="majorHAnsi" w:cstheme="majorHAnsi"/>
          <w:vanish/>
        </w:rPr>
      </w:pPr>
    </w:p>
    <w:p w14:paraId="754DBA91" w14:textId="77777777" w:rsidR="003664E3" w:rsidRPr="003664E3" w:rsidRDefault="003664E3" w:rsidP="003664E3">
      <w:pPr>
        <w:pStyle w:val="ListParagraph"/>
        <w:numPr>
          <w:ilvl w:val="0"/>
          <w:numId w:val="14"/>
        </w:numPr>
        <w:spacing w:before="120"/>
        <w:contextualSpacing w:val="0"/>
        <w:jc w:val="both"/>
        <w:outlineLvl w:val="0"/>
        <w:rPr>
          <w:rStyle w:val="AuthorName"/>
          <w:rFonts w:asciiTheme="majorHAnsi" w:eastAsia="Times" w:hAnsiTheme="majorHAnsi" w:cstheme="majorHAnsi"/>
          <w:vanish/>
        </w:rPr>
      </w:pPr>
    </w:p>
    <w:p w14:paraId="5EA1DE00" w14:textId="77777777" w:rsidR="003664E3" w:rsidRPr="003664E3" w:rsidRDefault="003664E3" w:rsidP="003664E3">
      <w:pPr>
        <w:pStyle w:val="ListParagraph"/>
        <w:numPr>
          <w:ilvl w:val="0"/>
          <w:numId w:val="14"/>
        </w:numPr>
        <w:spacing w:before="120"/>
        <w:contextualSpacing w:val="0"/>
        <w:jc w:val="both"/>
        <w:outlineLvl w:val="0"/>
        <w:rPr>
          <w:rStyle w:val="AuthorName"/>
          <w:rFonts w:asciiTheme="majorHAnsi" w:eastAsia="Times" w:hAnsiTheme="majorHAnsi" w:cstheme="majorHAnsi"/>
          <w:vanish/>
        </w:rPr>
      </w:pPr>
    </w:p>
    <w:p w14:paraId="66D1837A" w14:textId="7833CA80" w:rsidR="003664E3" w:rsidRPr="003664E3" w:rsidRDefault="003664E3" w:rsidP="003664E3">
      <w:pPr>
        <w:pStyle w:val="ListParagraph"/>
        <w:numPr>
          <w:ilvl w:val="1"/>
          <w:numId w:val="14"/>
        </w:numPr>
        <w:spacing w:before="120"/>
        <w:ind w:left="904"/>
        <w:contextualSpacing w:val="0"/>
        <w:jc w:val="both"/>
        <w:outlineLvl w:val="0"/>
        <w:rPr>
          <w:rFonts w:asciiTheme="majorHAnsi" w:eastAsia="Times New Roman" w:hAnsiTheme="majorHAnsi" w:cstheme="majorHAnsi"/>
          <w:szCs w:val="24"/>
        </w:rPr>
      </w:pPr>
      <w:proofErr w:type="spellStart"/>
      <w:r w:rsidRPr="003664E3">
        <w:rPr>
          <w:rStyle w:val="AuthorName"/>
          <w:rFonts w:asciiTheme="majorHAnsi" w:eastAsia="Times" w:hAnsiTheme="majorHAnsi" w:cstheme="majorHAnsi"/>
        </w:rPr>
        <w:t>Inès</w:t>
      </w:r>
      <w:proofErr w:type="spellEnd"/>
      <w:r w:rsidRPr="003664E3">
        <w:rPr>
          <w:rStyle w:val="AuthorName"/>
          <w:rFonts w:asciiTheme="majorHAnsi" w:eastAsia="Times" w:hAnsiTheme="majorHAnsi" w:cstheme="majorHAnsi"/>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w:t>
      </w:r>
      <w:r w:rsidRPr="003664E3">
        <w:rPr>
          <w:rFonts w:asciiTheme="majorHAnsi" w:hAnsiTheme="majorHAnsi" w:cstheme="majorHAnsi"/>
        </w:rPr>
        <w:t>An important thing to remember when attempting this procedure is to keep the explants at 37 degrees Celsius for the duration of the experiment. A different temperature can change the results</w:t>
      </w:r>
      <w:r>
        <w:rPr>
          <w:rFonts w:asciiTheme="majorHAnsi" w:hAnsiTheme="majorHAnsi" w:cstheme="majorHAnsi"/>
        </w:rPr>
        <w:t xml:space="preserve"> </w:t>
      </w:r>
      <w:r w:rsidRPr="003664E3">
        <w:rPr>
          <w:rFonts w:asciiTheme="majorHAnsi" w:hAnsiTheme="majorHAnsi" w:cstheme="majorHAnsi"/>
          <w:b/>
          <w:bCs/>
        </w:rPr>
        <w:t>[1]</w:t>
      </w:r>
      <w:r w:rsidRPr="003664E3">
        <w:rPr>
          <w:rFonts w:asciiTheme="majorHAnsi" w:hAnsiTheme="majorHAnsi" w:cstheme="majorHAnsi"/>
        </w:rPr>
        <w:t xml:space="preserve">. </w:t>
      </w:r>
    </w:p>
    <w:p w14:paraId="0EADCD8B"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r w:rsidRPr="003664E3">
        <w:rPr>
          <w:rFonts w:asciiTheme="majorHAnsi" w:hAnsiTheme="majorHAnsi" w:cstheme="majorHAnsi"/>
          <w:bCs/>
          <w:i/>
          <w:iCs/>
          <w:color w:val="002060"/>
          <w:szCs w:val="24"/>
        </w:rPr>
        <w:t>Suggested b-roll: 2.1.1, 2.1.2 and 3.8.1</w:t>
      </w:r>
    </w:p>
    <w:p w14:paraId="3CB30864" w14:textId="12215D92" w:rsidR="003664E3" w:rsidRPr="003664E3" w:rsidRDefault="003664E3" w:rsidP="003664E3">
      <w:pPr>
        <w:pStyle w:val="ListParagraph"/>
        <w:numPr>
          <w:ilvl w:val="1"/>
          <w:numId w:val="14"/>
        </w:numPr>
        <w:spacing w:before="120"/>
        <w:ind w:left="901" w:hanging="544"/>
        <w:contextualSpacing w:val="0"/>
        <w:jc w:val="both"/>
        <w:outlineLvl w:val="0"/>
        <w:rPr>
          <w:rFonts w:asciiTheme="majorHAnsi" w:hAnsiTheme="majorHAnsi" w:cstheme="majorHAnsi"/>
        </w:rPr>
      </w:pPr>
      <w:proofErr w:type="spellStart"/>
      <w:r w:rsidRPr="003664E3">
        <w:rPr>
          <w:rFonts w:asciiTheme="majorHAnsi" w:hAnsiTheme="majorHAnsi" w:cstheme="majorHAnsi"/>
          <w:b/>
          <w:szCs w:val="22"/>
          <w:u w:val="single"/>
          <w:lang w:eastAsia="zh-TW"/>
        </w:rPr>
        <w:t>Inès</w:t>
      </w:r>
      <w:proofErr w:type="spellEnd"/>
      <w:r w:rsidRPr="003664E3">
        <w:rPr>
          <w:rFonts w:asciiTheme="majorHAnsi" w:hAnsiTheme="majorHAnsi" w:cstheme="majorHAnsi"/>
          <w:b/>
          <w:szCs w:val="22"/>
          <w:u w:val="single"/>
          <w:lang w:eastAsia="zh-TW"/>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Interestingly, the explant protocol can be used after intravital microscopy experiments and hence, the megakaryocytes in the bone marrow explants will be naturally fluorescent and their behavior can be easily investigated. This makes it possible to combine different treatments on the same animal and thus reduce the number of mice</w:t>
      </w:r>
      <w:r>
        <w:rPr>
          <w:rFonts w:asciiTheme="majorHAnsi" w:eastAsia="Times New Roman" w:hAnsiTheme="majorHAnsi" w:cstheme="majorHAnsi"/>
          <w:szCs w:val="24"/>
        </w:rPr>
        <w:t xml:space="preserve"> </w:t>
      </w:r>
      <w:r w:rsidRPr="003664E3">
        <w:rPr>
          <w:rFonts w:asciiTheme="majorHAnsi" w:eastAsia="Times New Roman" w:hAnsiTheme="majorHAnsi" w:cstheme="majorHAnsi"/>
          <w:b/>
          <w:bCs/>
          <w:szCs w:val="24"/>
        </w:rPr>
        <w:t>[1]</w:t>
      </w:r>
      <w:r w:rsidRPr="003664E3">
        <w:rPr>
          <w:rFonts w:asciiTheme="majorHAnsi" w:eastAsia="Times New Roman" w:hAnsiTheme="majorHAnsi" w:cstheme="majorHAnsi"/>
          <w:szCs w:val="24"/>
        </w:rPr>
        <w:t>.</w:t>
      </w:r>
    </w:p>
    <w:p w14:paraId="3B55B554"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 xml:space="preserve">INTERVIEW: Named talent says the statement above in an interview-style shot, looking slightly off-camera. </w:t>
      </w:r>
    </w:p>
    <w:p w14:paraId="621A188D" w14:textId="6FF8209D" w:rsidR="003664E3" w:rsidRPr="003664E3" w:rsidRDefault="003664E3" w:rsidP="003664E3">
      <w:pPr>
        <w:pStyle w:val="ListParagraph"/>
        <w:numPr>
          <w:ilvl w:val="1"/>
          <w:numId w:val="14"/>
        </w:numPr>
        <w:spacing w:before="120"/>
        <w:ind w:left="901" w:hanging="544"/>
        <w:contextualSpacing w:val="0"/>
        <w:jc w:val="both"/>
        <w:outlineLvl w:val="0"/>
        <w:rPr>
          <w:rFonts w:asciiTheme="majorHAnsi" w:eastAsia="Times New Roman" w:hAnsiTheme="majorHAnsi" w:cstheme="majorHAnsi"/>
          <w:szCs w:val="24"/>
        </w:rPr>
      </w:pPr>
      <w:proofErr w:type="spellStart"/>
      <w:r w:rsidRPr="003664E3">
        <w:rPr>
          <w:rFonts w:asciiTheme="majorHAnsi" w:hAnsiTheme="majorHAnsi" w:cstheme="majorHAnsi"/>
          <w:b/>
          <w:szCs w:val="22"/>
          <w:u w:val="single"/>
          <w:lang w:eastAsia="zh-TW"/>
        </w:rPr>
        <w:t>Inès</w:t>
      </w:r>
      <w:proofErr w:type="spellEnd"/>
      <w:r w:rsidRPr="003664E3">
        <w:rPr>
          <w:rFonts w:asciiTheme="majorHAnsi" w:hAnsiTheme="majorHAnsi" w:cstheme="majorHAnsi"/>
          <w:b/>
          <w:szCs w:val="22"/>
          <w:u w:val="single"/>
          <w:lang w:eastAsia="zh-TW"/>
        </w:rPr>
        <w:t xml:space="preserve"> GUINARD</w:t>
      </w:r>
      <w:r w:rsidRPr="003664E3">
        <w:rPr>
          <w:rFonts w:asciiTheme="majorHAnsi" w:eastAsia="Times New Roman" w:hAnsiTheme="majorHAnsi" w:cstheme="majorHAnsi"/>
          <w:b/>
          <w:bCs/>
          <w:szCs w:val="24"/>
          <w:u w:val="single"/>
        </w:rPr>
        <w:t>:</w:t>
      </w:r>
      <w:r w:rsidRPr="003664E3">
        <w:rPr>
          <w:rFonts w:asciiTheme="majorHAnsi" w:eastAsia="Times New Roman" w:hAnsiTheme="majorHAnsi" w:cstheme="majorHAnsi"/>
          <w:szCs w:val="24"/>
        </w:rPr>
        <w:t xml:space="preserve"> </w:t>
      </w:r>
      <w:r w:rsidRPr="003664E3">
        <w:rPr>
          <w:rFonts w:asciiTheme="majorHAnsi" w:hAnsiTheme="majorHAnsi" w:cstheme="majorHAnsi"/>
        </w:rPr>
        <w:t>In conclusion, the explant method is simple, fast and provides key information on the capacity of native megakaryocyte to extend proplatelets. The resulting qualitative and quantitative findings are key to our understanding of thrombopoiesis in a physiological or pathological context</w:t>
      </w:r>
      <w:r>
        <w:rPr>
          <w:rFonts w:asciiTheme="majorHAnsi" w:hAnsiTheme="majorHAnsi" w:cstheme="majorHAnsi"/>
        </w:rPr>
        <w:t xml:space="preserve"> </w:t>
      </w:r>
      <w:r w:rsidRPr="003664E3">
        <w:rPr>
          <w:rFonts w:asciiTheme="majorHAnsi" w:hAnsiTheme="majorHAnsi" w:cstheme="majorHAnsi"/>
          <w:b/>
          <w:bCs/>
        </w:rPr>
        <w:t>[1]</w:t>
      </w:r>
      <w:r w:rsidRPr="003664E3">
        <w:rPr>
          <w:rFonts w:asciiTheme="majorHAnsi" w:hAnsiTheme="majorHAnsi" w:cstheme="majorHAnsi"/>
        </w:rPr>
        <w:t>.</w:t>
      </w:r>
    </w:p>
    <w:p w14:paraId="1E2CCC8A" w14:textId="77777777" w:rsidR="003664E3" w:rsidRPr="003664E3" w:rsidRDefault="003664E3" w:rsidP="003664E3">
      <w:pPr>
        <w:pStyle w:val="ListParagraph"/>
        <w:numPr>
          <w:ilvl w:val="2"/>
          <w:numId w:val="14"/>
        </w:numPr>
        <w:spacing w:before="120"/>
        <w:contextualSpacing w:val="0"/>
        <w:outlineLvl w:val="0"/>
        <w:rPr>
          <w:rFonts w:asciiTheme="majorHAnsi" w:hAnsiTheme="majorHAnsi" w:cstheme="majorHAnsi"/>
          <w:color w:val="000000" w:themeColor="text1"/>
          <w:szCs w:val="24"/>
        </w:rPr>
      </w:pPr>
      <w:r w:rsidRPr="003664E3">
        <w:rPr>
          <w:rFonts w:asciiTheme="majorHAnsi" w:hAnsiTheme="majorHAnsi" w:cstheme="majorHAnsi"/>
          <w:bCs/>
          <w:color w:val="000000" w:themeColor="text1"/>
          <w:szCs w:val="24"/>
        </w:rPr>
        <w:t>INTERVIEW: Named talent says the statement above in an interview-style shot, looking slightly off-camera.</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93A4F" w14:textId="77777777" w:rsidR="00E30ADA" w:rsidRDefault="00E30ADA" w:rsidP="00123224">
      <w:r>
        <w:separator/>
      </w:r>
    </w:p>
  </w:endnote>
  <w:endnote w:type="continuationSeparator" w:id="0">
    <w:p w14:paraId="5038489B" w14:textId="77777777" w:rsidR="00E30ADA" w:rsidRDefault="00E30ADA"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A26B" w14:textId="77777777" w:rsidR="00E30ADA" w:rsidRDefault="00E30ADA" w:rsidP="00123224">
      <w:r>
        <w:separator/>
      </w:r>
    </w:p>
  </w:footnote>
  <w:footnote w:type="continuationSeparator" w:id="0">
    <w:p w14:paraId="327D727B" w14:textId="77777777" w:rsidR="00E30ADA" w:rsidRDefault="00E30ADA"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943EAEB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0"/>
  </w:num>
  <w:num w:numId="9">
    <w:abstractNumId w:val="2"/>
  </w:num>
  <w:num w:numId="10">
    <w:abstractNumId w:val="4"/>
  </w:num>
  <w:num w:numId="11">
    <w:abstractNumId w:val="13"/>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254BD2"/>
    <w:rsid w:val="003664E3"/>
    <w:rsid w:val="004705A1"/>
    <w:rsid w:val="004F1276"/>
    <w:rsid w:val="006D4660"/>
    <w:rsid w:val="007E6C7B"/>
    <w:rsid w:val="007F08C5"/>
    <w:rsid w:val="009B2B6F"/>
    <w:rsid w:val="00DE5C72"/>
    <w:rsid w:val="00E30ADA"/>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 w:type="character" w:styleId="FollowedHyperlink">
    <w:name w:val="FollowedHyperlink"/>
    <w:basedOn w:val="DefaultParagraphFont"/>
    <w:uiPriority w:val="99"/>
    <w:semiHidden/>
    <w:unhideWhenUsed/>
    <w:rsid w:val="003664E3"/>
    <w:rPr>
      <w:color w:val="800080" w:themeColor="followedHyperlink"/>
      <w:u w:val="single"/>
    </w:rPr>
  </w:style>
  <w:style w:type="character" w:customStyle="1" w:styleId="AuthorName">
    <w:name w:val="AuthorName"/>
    <w:basedOn w:val="DefaultParagraphFont"/>
    <w:uiPriority w:val="1"/>
    <w:qFormat/>
    <w:rsid w:val="003664E3"/>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62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2674</Characters>
  <Application>Microsoft Office Word</Application>
  <DocSecurity>0</DocSecurity>
  <Lines>74</Lines>
  <Paragraphs>42</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2021-06-11T06:13:00Z</dcterms:created>
  <dcterms:modified xsi:type="dcterms:W3CDTF">2021-06-11T17:44:00Z</dcterms:modified>
</cp:coreProperties>
</file>