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6BF46" w14:textId="77777777" w:rsidR="00506F89" w:rsidRDefault="00C93906" w:rsidP="0050056F">
      <w:pPr>
        <w:rPr>
          <w:rStyle w:val="lev"/>
          <w:lang w:val="en-GB"/>
        </w:rPr>
      </w:pPr>
      <w:r>
        <w:rPr>
          <w:rStyle w:val="lev"/>
          <w:lang w:val="en-GB"/>
        </w:rPr>
        <w:t>Answers</w:t>
      </w:r>
      <w:r w:rsidR="00506F89" w:rsidRPr="00506F89">
        <w:rPr>
          <w:rStyle w:val="lev"/>
          <w:lang w:val="en-GB"/>
        </w:rPr>
        <w:t xml:space="preserve"> to the reviewer</w:t>
      </w:r>
      <w:r w:rsidR="0030224E">
        <w:rPr>
          <w:rStyle w:val="lev"/>
          <w:lang w:val="en-GB"/>
        </w:rPr>
        <w:t>s</w:t>
      </w:r>
    </w:p>
    <w:p w14:paraId="4A94BB8B" w14:textId="77777777" w:rsidR="007C32D5" w:rsidRDefault="003B65E3" w:rsidP="0030224E">
      <w:pPr>
        <w:rPr>
          <w:rStyle w:val="lev"/>
          <w:b w:val="0"/>
          <w:color w:val="0070C0"/>
          <w:lang w:val="en-GB"/>
        </w:rPr>
      </w:pPr>
      <w:r w:rsidRPr="003B65E3">
        <w:rPr>
          <w:rStyle w:val="lev"/>
          <w:b w:val="0"/>
          <w:color w:val="0070C0"/>
          <w:lang w:val="en-GB"/>
        </w:rPr>
        <w:t xml:space="preserve">We </w:t>
      </w:r>
      <w:r w:rsidRPr="0095787D">
        <w:rPr>
          <w:rStyle w:val="lev"/>
          <w:b w:val="0"/>
          <w:color w:val="2E74B5" w:themeColor="accent1" w:themeShade="BF"/>
          <w:lang w:val="en-GB"/>
        </w:rPr>
        <w:t xml:space="preserve">thank the editor and the referees for reviewing our manuscript entitled </w:t>
      </w:r>
      <w:r w:rsidR="007C32D5" w:rsidRPr="0095787D">
        <w:rPr>
          <w:rStyle w:val="lev"/>
          <w:b w:val="0"/>
          <w:color w:val="2E74B5" w:themeColor="accent1" w:themeShade="BF"/>
          <w:lang w:val="en-GB"/>
        </w:rPr>
        <w:t>“Dynamics of proplatelet formation by real-time observation of mouse fresh bone marrow explants”</w:t>
      </w:r>
      <w:r w:rsidR="0030224E" w:rsidRPr="0095787D">
        <w:rPr>
          <w:rStyle w:val="lev"/>
          <w:b w:val="0"/>
          <w:color w:val="2E74B5" w:themeColor="accent1" w:themeShade="BF"/>
          <w:lang w:val="en-GB"/>
        </w:rPr>
        <w:t xml:space="preserve">. </w:t>
      </w:r>
      <w:r w:rsidR="007C32D5" w:rsidRPr="0095787D">
        <w:rPr>
          <w:rStyle w:val="lev"/>
          <w:b w:val="0"/>
          <w:color w:val="2E74B5" w:themeColor="accent1" w:themeShade="BF"/>
          <w:lang w:val="en-GB"/>
        </w:rPr>
        <w:t xml:space="preserve">All points raised by the editor and the reviewers have been addressed and the changes appear in the text in red. Please find below the detailed point-by-point answers </w:t>
      </w:r>
      <w:r w:rsidR="007C32D5" w:rsidRPr="007C32D5">
        <w:rPr>
          <w:rStyle w:val="lev"/>
          <w:b w:val="0"/>
          <w:color w:val="0070C0"/>
          <w:lang w:val="en-GB"/>
        </w:rPr>
        <w:t xml:space="preserve">to the comments. </w:t>
      </w:r>
    </w:p>
    <w:p w14:paraId="46EB988A" w14:textId="77777777" w:rsidR="007C32D5" w:rsidRDefault="007C32D5" w:rsidP="00506F89">
      <w:pPr>
        <w:spacing w:line="240" w:lineRule="auto"/>
        <w:contextualSpacing/>
        <w:rPr>
          <w:rStyle w:val="lev"/>
          <w:b w:val="0"/>
          <w:color w:val="0070C0"/>
          <w:lang w:val="en-GB"/>
        </w:rPr>
      </w:pPr>
    </w:p>
    <w:p w14:paraId="5747C631" w14:textId="77777777" w:rsidR="00506F89" w:rsidRDefault="00ED1B03" w:rsidP="00506F89">
      <w:pPr>
        <w:spacing w:line="240" w:lineRule="auto"/>
        <w:contextualSpacing/>
        <w:rPr>
          <w:lang w:val="en-GB"/>
        </w:rPr>
      </w:pPr>
      <w:r w:rsidRPr="00ED1B03">
        <w:rPr>
          <w:rStyle w:val="lev"/>
          <w:color w:val="FF0000"/>
          <w:u w:val="single"/>
          <w:lang w:val="en-GB"/>
        </w:rPr>
        <w:t>Editorial comments:</w:t>
      </w:r>
      <w:r w:rsidRPr="00ED1B03">
        <w:rPr>
          <w:lang w:val="en-GB"/>
        </w:rPr>
        <w:br/>
        <w:t>Editorial Changes</w:t>
      </w:r>
      <w:r w:rsidRPr="00ED1B03">
        <w:rPr>
          <w:lang w:val="en-GB"/>
        </w:rPr>
        <w:br/>
        <w:t>Changes to be made by the Author(s):</w:t>
      </w:r>
    </w:p>
    <w:p w14:paraId="778B1A64" w14:textId="77777777" w:rsidR="00506F89" w:rsidRDefault="00ED1B03" w:rsidP="00506F89">
      <w:pPr>
        <w:spacing w:line="240" w:lineRule="auto"/>
        <w:contextualSpacing/>
        <w:rPr>
          <w:lang w:val="en-GB"/>
        </w:rPr>
      </w:pPr>
      <w:r w:rsidRPr="00ED1B03">
        <w:rPr>
          <w:lang w:val="en-GB"/>
        </w:rPr>
        <w:br/>
        <w:t>1. Please take this opportunity to thoroughly proofread the manuscript to ensure that there are no spelling or grammar issues.</w:t>
      </w:r>
    </w:p>
    <w:p w14:paraId="2E80714E" w14:textId="77777777" w:rsidR="00506F89" w:rsidRPr="00B12640" w:rsidRDefault="00506F89" w:rsidP="00506F89">
      <w:pPr>
        <w:spacing w:line="240" w:lineRule="auto"/>
        <w:contextualSpacing/>
        <w:rPr>
          <w:rFonts w:ascii="Calibri" w:hAnsi="Calibri" w:cs="Calibri"/>
          <w:color w:val="0070C1"/>
          <w:lang w:val="en-GB"/>
        </w:rPr>
      </w:pPr>
      <w:r w:rsidRPr="00B12640">
        <w:rPr>
          <w:rFonts w:ascii="Calibri" w:hAnsi="Calibri" w:cs="Calibri"/>
          <w:color w:val="0070C1"/>
          <w:lang w:val="en-GB"/>
        </w:rPr>
        <w:t xml:space="preserve">This has been </w:t>
      </w:r>
      <w:r w:rsidR="0030224E">
        <w:rPr>
          <w:rFonts w:ascii="Calibri" w:hAnsi="Calibri" w:cs="Calibri"/>
          <w:color w:val="0070C1"/>
          <w:lang w:val="en-GB"/>
        </w:rPr>
        <w:t xml:space="preserve">carefully </w:t>
      </w:r>
      <w:r w:rsidRPr="00B12640">
        <w:rPr>
          <w:rFonts w:ascii="Calibri" w:hAnsi="Calibri" w:cs="Calibri"/>
          <w:color w:val="0070C1"/>
          <w:lang w:val="en-GB"/>
        </w:rPr>
        <w:t>examined.</w:t>
      </w:r>
    </w:p>
    <w:p w14:paraId="1087844C" w14:textId="77777777" w:rsidR="00506F89" w:rsidRDefault="00ED1B03" w:rsidP="0050056F">
      <w:pPr>
        <w:contextualSpacing/>
        <w:rPr>
          <w:lang w:val="en-GB"/>
        </w:rPr>
      </w:pPr>
      <w:r w:rsidRPr="00ED1B03">
        <w:rPr>
          <w:lang w:val="en-GB"/>
        </w:rPr>
        <w:br/>
        <w:t>2. Please provide an email address and affiliation for each author.</w:t>
      </w:r>
      <w:r w:rsidR="00353E01">
        <w:rPr>
          <w:lang w:val="en-GB"/>
        </w:rPr>
        <w:t xml:space="preserve"> </w:t>
      </w:r>
    </w:p>
    <w:p w14:paraId="39EB0B9C" w14:textId="77777777" w:rsidR="00506F89" w:rsidRDefault="00506F89" w:rsidP="0050056F">
      <w:pPr>
        <w:contextualSpacing/>
        <w:rPr>
          <w:rFonts w:ascii="Calibri" w:hAnsi="Calibri" w:cs="Calibri"/>
          <w:color w:val="0070C1"/>
          <w:lang w:val="en-GB"/>
        </w:rPr>
      </w:pPr>
      <w:r w:rsidRPr="00506F89">
        <w:rPr>
          <w:rFonts w:ascii="Calibri" w:hAnsi="Calibri" w:cs="Calibri"/>
          <w:color w:val="0070C1"/>
          <w:lang w:val="en-GB"/>
        </w:rPr>
        <w:t>The institutional email addresses have been provided.</w:t>
      </w:r>
    </w:p>
    <w:p w14:paraId="09293BC3" w14:textId="77777777" w:rsidR="00506F89" w:rsidRDefault="00ED1B03" w:rsidP="0050056F">
      <w:pPr>
        <w:contextualSpacing/>
        <w:rPr>
          <w:highlight w:val="green"/>
          <w:lang w:val="en-GB"/>
        </w:rPr>
      </w:pPr>
      <w:r w:rsidRPr="00ED1B03">
        <w:rPr>
          <w:lang w:val="en-GB"/>
        </w:rPr>
        <w:br/>
        <w:t>3. For in-text formatting, corresponding reference numbers should appear as numbered superscripts after the appropriate statement(s).</w:t>
      </w:r>
    </w:p>
    <w:p w14:paraId="0DE66463" w14:textId="77777777" w:rsidR="00506F89" w:rsidRDefault="001E0D8D" w:rsidP="0050056F">
      <w:pPr>
        <w:contextualSpacing/>
        <w:rPr>
          <w:rFonts w:ascii="Calibri" w:hAnsi="Calibri" w:cs="Calibri"/>
          <w:color w:val="2E74B6"/>
          <w:lang w:val="en-GB"/>
        </w:rPr>
      </w:pPr>
      <w:r>
        <w:rPr>
          <w:rFonts w:ascii="Calibri" w:hAnsi="Calibri" w:cs="Calibri"/>
          <w:color w:val="2E74B6"/>
          <w:lang w:val="en-GB"/>
        </w:rPr>
        <w:t>T</w:t>
      </w:r>
      <w:r w:rsidR="00506F89" w:rsidRPr="00506F89">
        <w:rPr>
          <w:rFonts w:ascii="Calibri" w:hAnsi="Calibri" w:cs="Calibri"/>
          <w:color w:val="2E74B6"/>
          <w:lang w:val="en-GB"/>
        </w:rPr>
        <w:t>his has been modified throughout the manuscript.</w:t>
      </w:r>
    </w:p>
    <w:p w14:paraId="5AA5D473" w14:textId="7EBB147D" w:rsidR="00506F89" w:rsidRPr="00DD6860" w:rsidRDefault="00ED1B03" w:rsidP="0050056F">
      <w:pPr>
        <w:contextualSpacing/>
        <w:rPr>
          <w:color w:val="FF0000"/>
          <w:lang w:val="en-GB"/>
        </w:rPr>
      </w:pPr>
      <w:r w:rsidRPr="00ED1B03">
        <w:rPr>
          <w:lang w:val="en-GB"/>
        </w:rPr>
        <w:br/>
      </w:r>
      <w:r w:rsidRPr="00DD6860">
        <w:rPr>
          <w:color w:val="000000" w:themeColor="text1"/>
          <w:lang w:val="en-GB"/>
        </w:rPr>
        <w:t>4. Consider adding reagent preparation as a separate table, and reference it in the text.</w:t>
      </w:r>
    </w:p>
    <w:p w14:paraId="6A0DED07" w14:textId="42FBDB85" w:rsidR="00DD6860" w:rsidRPr="00DD6860" w:rsidRDefault="00DD6860" w:rsidP="0050056F">
      <w:pPr>
        <w:contextualSpacing/>
        <w:rPr>
          <w:color w:val="2E74B5" w:themeColor="accent1" w:themeShade="BF"/>
          <w:lang w:val="en-GB"/>
        </w:rPr>
      </w:pPr>
      <w:r w:rsidRPr="00DD6860">
        <w:rPr>
          <w:color w:val="2E74B5" w:themeColor="accent1" w:themeShade="BF"/>
          <w:lang w:val="en-GB"/>
        </w:rPr>
        <w:t>This has been done</w:t>
      </w:r>
      <w:r w:rsidR="006D47CA">
        <w:rPr>
          <w:color w:val="2E74B5" w:themeColor="accent1" w:themeShade="BF"/>
          <w:lang w:val="en-GB"/>
        </w:rPr>
        <w:t>.</w:t>
      </w:r>
    </w:p>
    <w:p w14:paraId="26D4193E" w14:textId="77777777" w:rsidR="00506F89" w:rsidRDefault="00ED1B03" w:rsidP="0050056F">
      <w:pPr>
        <w:contextualSpacing/>
        <w:rPr>
          <w:lang w:val="en-GB"/>
        </w:rPr>
      </w:pPr>
      <w:r w:rsidRPr="00ED1B03">
        <w:rPr>
          <w:lang w:val="en-GB"/>
        </w:rPr>
        <w:br/>
        <w:t>5. Please specify the age, sex and breed of the mice used.</w:t>
      </w:r>
      <w:r w:rsidR="00FA250A">
        <w:rPr>
          <w:lang w:val="en-GB"/>
        </w:rPr>
        <w:t xml:space="preserve"> </w:t>
      </w:r>
    </w:p>
    <w:p w14:paraId="31D934B8" w14:textId="06E7B66D" w:rsidR="00D27320" w:rsidRDefault="00506F89" w:rsidP="0050056F">
      <w:pPr>
        <w:contextualSpacing/>
        <w:rPr>
          <w:color w:val="0070C0"/>
          <w:lang w:val="en-GB"/>
        </w:rPr>
      </w:pPr>
      <w:r>
        <w:rPr>
          <w:color w:val="0070C0"/>
          <w:lang w:val="en-GB"/>
        </w:rPr>
        <w:t>As requested</w:t>
      </w:r>
      <w:r w:rsidR="005E2431">
        <w:rPr>
          <w:color w:val="0070C0"/>
          <w:lang w:val="en-GB"/>
        </w:rPr>
        <w:t xml:space="preserve"> by the editor</w:t>
      </w:r>
      <w:r w:rsidR="003B65E3">
        <w:rPr>
          <w:color w:val="0070C0"/>
          <w:lang w:val="en-GB"/>
        </w:rPr>
        <w:t xml:space="preserve">, </w:t>
      </w:r>
      <w:r w:rsidR="0095787D">
        <w:rPr>
          <w:color w:val="0070C0"/>
          <w:lang w:val="en-GB"/>
        </w:rPr>
        <w:t>these specifications</w:t>
      </w:r>
      <w:r w:rsidR="001E0D8D">
        <w:rPr>
          <w:color w:val="0070C0"/>
          <w:lang w:val="en-GB"/>
        </w:rPr>
        <w:t xml:space="preserve"> have</w:t>
      </w:r>
      <w:r w:rsidR="005E2431">
        <w:rPr>
          <w:color w:val="0070C0"/>
          <w:lang w:val="en-GB"/>
        </w:rPr>
        <w:t xml:space="preserve"> been </w:t>
      </w:r>
      <w:r w:rsidR="0095787D">
        <w:rPr>
          <w:color w:val="0070C0"/>
          <w:lang w:val="en-GB"/>
        </w:rPr>
        <w:t xml:space="preserve">added </w:t>
      </w:r>
      <w:r w:rsidR="004D0251">
        <w:rPr>
          <w:color w:val="0070C0"/>
          <w:lang w:val="en-GB"/>
        </w:rPr>
        <w:t>in the protocol</w:t>
      </w:r>
      <w:r w:rsidR="0030224E">
        <w:rPr>
          <w:color w:val="0070C0"/>
          <w:lang w:val="en-GB"/>
        </w:rPr>
        <w:t xml:space="preserve"> </w:t>
      </w:r>
      <w:r w:rsidR="005E2431">
        <w:rPr>
          <w:color w:val="0070C0"/>
          <w:lang w:val="en-GB"/>
        </w:rPr>
        <w:t xml:space="preserve">section </w:t>
      </w:r>
      <w:r w:rsidR="007C32D5">
        <w:rPr>
          <w:color w:val="0070C0"/>
          <w:lang w:val="en-GB"/>
        </w:rPr>
        <w:t xml:space="preserve">(line </w:t>
      </w:r>
      <w:r w:rsidR="00E8053B">
        <w:rPr>
          <w:color w:val="0070C0"/>
          <w:lang w:val="en-GB"/>
        </w:rPr>
        <w:t>102</w:t>
      </w:r>
      <w:r>
        <w:rPr>
          <w:color w:val="0070C0"/>
          <w:lang w:val="en-GB"/>
        </w:rPr>
        <w:t>)</w:t>
      </w:r>
      <w:r w:rsidR="0030224E">
        <w:rPr>
          <w:color w:val="0070C0"/>
          <w:lang w:val="en-GB"/>
        </w:rPr>
        <w:t>.</w:t>
      </w:r>
    </w:p>
    <w:p w14:paraId="74C83E79" w14:textId="77777777" w:rsidR="00D27320" w:rsidRDefault="00ED1B03" w:rsidP="0050056F">
      <w:pPr>
        <w:contextualSpacing/>
        <w:rPr>
          <w:color w:val="0070C0"/>
          <w:lang w:val="en-GB"/>
        </w:rPr>
      </w:pPr>
      <w:r w:rsidRPr="00ED1B03">
        <w:rPr>
          <w:lang w:val="en-GB"/>
        </w:rPr>
        <w:br/>
        <w:t>6. Line 91: What temperature should the buffer be warmed to?</w:t>
      </w:r>
      <w:r w:rsidR="00D02C0D" w:rsidRPr="00D27320">
        <w:rPr>
          <w:color w:val="0070C0"/>
          <w:lang w:val="en-GB"/>
        </w:rPr>
        <w:t xml:space="preserve"> </w:t>
      </w:r>
    </w:p>
    <w:p w14:paraId="41119AAC" w14:textId="01FFB905" w:rsidR="00D27320" w:rsidRDefault="003B65E3" w:rsidP="0050056F">
      <w:pPr>
        <w:contextualSpacing/>
        <w:rPr>
          <w:color w:val="0070C0"/>
          <w:lang w:val="en-GB"/>
        </w:rPr>
      </w:pPr>
      <w:r>
        <w:rPr>
          <w:color w:val="0070C0"/>
          <w:lang w:val="en-GB"/>
        </w:rPr>
        <w:t>T</w:t>
      </w:r>
      <w:r w:rsidR="00506F89" w:rsidRPr="00D27320">
        <w:rPr>
          <w:color w:val="0070C0"/>
          <w:lang w:val="en-GB"/>
        </w:rPr>
        <w:t xml:space="preserve">he </w:t>
      </w:r>
      <w:r w:rsidR="00D27320" w:rsidRPr="00D27320">
        <w:rPr>
          <w:color w:val="0070C0"/>
          <w:lang w:val="en-GB"/>
        </w:rPr>
        <w:t xml:space="preserve">buffer heating temperature </w:t>
      </w:r>
      <w:r w:rsidR="005E2431">
        <w:rPr>
          <w:color w:val="0070C0"/>
          <w:lang w:val="en-GB"/>
        </w:rPr>
        <w:t xml:space="preserve">of 37 °C </w:t>
      </w:r>
      <w:r w:rsidR="00D27320" w:rsidRPr="00D27320">
        <w:rPr>
          <w:color w:val="0070C0"/>
          <w:lang w:val="en-GB"/>
        </w:rPr>
        <w:t>has been added</w:t>
      </w:r>
      <w:r w:rsidR="00E8053B">
        <w:rPr>
          <w:color w:val="0070C0"/>
          <w:lang w:val="en-GB"/>
        </w:rPr>
        <w:t xml:space="preserve"> (now lines 93-94</w:t>
      </w:r>
      <w:r>
        <w:rPr>
          <w:color w:val="0070C0"/>
          <w:lang w:val="en-GB"/>
        </w:rPr>
        <w:t>)</w:t>
      </w:r>
      <w:r w:rsidR="00D27320">
        <w:rPr>
          <w:color w:val="0070C0"/>
          <w:lang w:val="en-GB"/>
        </w:rPr>
        <w:t>.</w:t>
      </w:r>
    </w:p>
    <w:p w14:paraId="5B6795EB" w14:textId="77777777" w:rsidR="00D27320" w:rsidRDefault="00ED1B03" w:rsidP="0050056F">
      <w:pPr>
        <w:contextualSpacing/>
        <w:rPr>
          <w:highlight w:val="green"/>
          <w:lang w:val="en-GB"/>
        </w:rPr>
      </w:pPr>
      <w:r w:rsidRPr="00ED1B03">
        <w:rPr>
          <w:lang w:val="en-GB"/>
        </w:rPr>
        <w:br/>
        <w:t>7. Line 104, 118: Which buffer is used?</w:t>
      </w:r>
      <w:r w:rsidR="00D02C0D">
        <w:rPr>
          <w:lang w:val="en-GB"/>
        </w:rPr>
        <w:t xml:space="preserve"> </w:t>
      </w:r>
    </w:p>
    <w:p w14:paraId="2FEF459E" w14:textId="2E7D06BC" w:rsidR="00D27320" w:rsidRDefault="005E2431" w:rsidP="0050056F">
      <w:pPr>
        <w:contextualSpacing/>
        <w:rPr>
          <w:lang w:val="en-GB"/>
        </w:rPr>
      </w:pPr>
      <w:r>
        <w:rPr>
          <w:color w:val="0070C0"/>
          <w:lang w:val="en-GB"/>
        </w:rPr>
        <w:t xml:space="preserve">We have used the Tyrode’s buffer as now mentioned </w:t>
      </w:r>
      <w:r w:rsidR="00E8053B">
        <w:rPr>
          <w:color w:val="0070C0"/>
          <w:lang w:val="en-GB"/>
        </w:rPr>
        <w:t>lines 108</w:t>
      </w:r>
      <w:r w:rsidR="003B65E3">
        <w:rPr>
          <w:color w:val="0070C0"/>
          <w:lang w:val="en-GB"/>
        </w:rPr>
        <w:t xml:space="preserve"> and </w:t>
      </w:r>
      <w:r w:rsidR="00E8053B">
        <w:rPr>
          <w:color w:val="0070C0"/>
          <w:lang w:val="en-GB"/>
        </w:rPr>
        <w:t>125</w:t>
      </w:r>
      <w:r>
        <w:rPr>
          <w:color w:val="0070C0"/>
          <w:lang w:val="en-GB"/>
        </w:rPr>
        <w:t>.</w:t>
      </w:r>
    </w:p>
    <w:p w14:paraId="094E91CC" w14:textId="77777777" w:rsidR="00D27320" w:rsidRDefault="00ED1B03" w:rsidP="0050056F">
      <w:pPr>
        <w:contextualSpacing/>
        <w:rPr>
          <w:highlight w:val="green"/>
          <w:lang w:val="en-GB"/>
        </w:rPr>
      </w:pPr>
      <w:r w:rsidRPr="00ED1B03">
        <w:rPr>
          <w:lang w:val="en-GB"/>
        </w:rPr>
        <w:br/>
        <w:t>8. Line 110: What care should be taken?</w:t>
      </w:r>
      <w:r w:rsidR="00D02C0D">
        <w:rPr>
          <w:lang w:val="en-GB"/>
        </w:rPr>
        <w:t xml:space="preserve"> </w:t>
      </w:r>
    </w:p>
    <w:p w14:paraId="263BF8F5" w14:textId="44FEDB02" w:rsidR="00D27320" w:rsidRDefault="001E0D8D" w:rsidP="0050056F">
      <w:pPr>
        <w:contextualSpacing/>
        <w:rPr>
          <w:color w:val="0070C0"/>
          <w:lang w:val="en-GB"/>
        </w:rPr>
      </w:pPr>
      <w:r w:rsidRPr="001E0D8D">
        <w:rPr>
          <w:color w:val="0070C0"/>
          <w:lang w:val="en-GB"/>
        </w:rPr>
        <w:t>It is important that the samples are covered wi</w:t>
      </w:r>
      <w:r>
        <w:rPr>
          <w:color w:val="0070C0"/>
          <w:lang w:val="en-GB"/>
        </w:rPr>
        <w:t>th buffer to prevent drying out</w:t>
      </w:r>
      <w:r w:rsidR="001B796F" w:rsidRPr="001E0D8D">
        <w:rPr>
          <w:color w:val="0070C0"/>
          <w:lang w:val="en-GB"/>
        </w:rPr>
        <w:t>,</w:t>
      </w:r>
      <w:r w:rsidR="00E8053B">
        <w:rPr>
          <w:color w:val="0070C0"/>
          <w:lang w:val="en-GB"/>
        </w:rPr>
        <w:t xml:space="preserve"> as explained line 1</w:t>
      </w:r>
      <w:r w:rsidR="001B796F">
        <w:rPr>
          <w:color w:val="0070C0"/>
          <w:lang w:val="en-GB"/>
        </w:rPr>
        <w:t>1</w:t>
      </w:r>
      <w:r w:rsidR="00E8053B">
        <w:rPr>
          <w:color w:val="0070C0"/>
          <w:lang w:val="en-GB"/>
        </w:rPr>
        <w:t>5</w:t>
      </w:r>
      <w:r w:rsidR="007C32D5">
        <w:rPr>
          <w:color w:val="0070C0"/>
          <w:lang w:val="en-GB"/>
        </w:rPr>
        <w:t>.</w:t>
      </w:r>
    </w:p>
    <w:p w14:paraId="65CA8B2B" w14:textId="77777777" w:rsidR="00D27320" w:rsidRDefault="00ED1B03" w:rsidP="0050056F">
      <w:pPr>
        <w:contextualSpacing/>
        <w:rPr>
          <w:lang w:val="en-GB"/>
        </w:rPr>
      </w:pPr>
      <w:r w:rsidRPr="00ED1B03">
        <w:rPr>
          <w:lang w:val="en-GB"/>
        </w:rPr>
        <w:br/>
        <w:t>9. Include a single space between the quantity and its unit. E.g. “37 oC” instead of “37oC”, etc.</w:t>
      </w:r>
    </w:p>
    <w:p w14:paraId="2649EB5B" w14:textId="77777777" w:rsidR="00D27320" w:rsidRDefault="00203FC9" w:rsidP="0050056F">
      <w:pPr>
        <w:contextualSpacing/>
        <w:rPr>
          <w:rFonts w:ascii="Calibri" w:hAnsi="Calibri" w:cs="Calibri"/>
          <w:color w:val="2E74B6"/>
          <w:lang w:val="en-GB"/>
        </w:rPr>
      </w:pPr>
      <w:r>
        <w:rPr>
          <w:rFonts w:ascii="Calibri" w:hAnsi="Calibri" w:cs="Calibri"/>
          <w:color w:val="2E74B6"/>
          <w:lang w:val="en-GB"/>
        </w:rPr>
        <w:t>T</w:t>
      </w:r>
      <w:r w:rsidR="00D27320" w:rsidRPr="00D27320">
        <w:rPr>
          <w:rFonts w:ascii="Calibri" w:hAnsi="Calibri" w:cs="Calibri"/>
          <w:color w:val="2E74B6"/>
          <w:lang w:val="en-GB"/>
        </w:rPr>
        <w:t>his has been modified throughout the manuscript.</w:t>
      </w:r>
    </w:p>
    <w:p w14:paraId="7CD6C9C3" w14:textId="77777777" w:rsidR="00495976" w:rsidRDefault="00ED1B03" w:rsidP="0050056F">
      <w:pPr>
        <w:contextualSpacing/>
        <w:rPr>
          <w:lang w:val="en-GB"/>
        </w:rPr>
      </w:pPr>
      <w:r w:rsidRPr="00ED1B03">
        <w:rPr>
          <w:lang w:val="en-GB"/>
        </w:rPr>
        <w:br/>
        <w:t>10.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Eppendorf, Falcon, Leica, etc.</w:t>
      </w:r>
      <w:r w:rsidR="00353E01">
        <w:rPr>
          <w:lang w:val="en-GB"/>
        </w:rPr>
        <w:t xml:space="preserve"> </w:t>
      </w:r>
    </w:p>
    <w:p w14:paraId="57073786" w14:textId="77777777" w:rsidR="00495976" w:rsidRPr="0095787D" w:rsidRDefault="00495976" w:rsidP="00495976">
      <w:pPr>
        <w:autoSpaceDE w:val="0"/>
        <w:autoSpaceDN w:val="0"/>
        <w:adjustRightInd w:val="0"/>
        <w:spacing w:after="0" w:line="240" w:lineRule="auto"/>
        <w:rPr>
          <w:rFonts w:ascii="Calibri" w:hAnsi="Calibri" w:cs="Calibri"/>
          <w:color w:val="2E74B5" w:themeColor="accent1" w:themeShade="BF"/>
          <w:lang w:val="en-GB"/>
        </w:rPr>
      </w:pPr>
      <w:r w:rsidRPr="0095787D">
        <w:rPr>
          <w:rFonts w:ascii="Calibri" w:hAnsi="Calibri" w:cs="Calibri"/>
          <w:color w:val="2E74B5" w:themeColor="accent1" w:themeShade="BF"/>
          <w:lang w:val="en-GB"/>
        </w:rPr>
        <w:t>As recommended, all the commercial languages have been removed and products are mentioned in</w:t>
      </w:r>
    </w:p>
    <w:p w14:paraId="4AE9E8EB" w14:textId="77777777" w:rsidR="00495976" w:rsidRPr="0095787D" w:rsidRDefault="00495976" w:rsidP="00495976">
      <w:pPr>
        <w:contextualSpacing/>
        <w:rPr>
          <w:rFonts w:ascii="Calibri" w:hAnsi="Calibri" w:cs="Calibri"/>
          <w:color w:val="2E74B5" w:themeColor="accent1" w:themeShade="BF"/>
          <w:lang w:val="en-GB"/>
        </w:rPr>
      </w:pPr>
      <w:r w:rsidRPr="0095787D">
        <w:rPr>
          <w:rFonts w:ascii="Calibri" w:hAnsi="Calibri" w:cs="Calibri"/>
          <w:color w:val="2E74B5" w:themeColor="accent1" w:themeShade="BF"/>
          <w:lang w:val="en-GB"/>
        </w:rPr>
        <w:t>a table referenced in the material and methods section.</w:t>
      </w:r>
    </w:p>
    <w:p w14:paraId="0A996607" w14:textId="77777777" w:rsidR="00495976" w:rsidRDefault="00ED1B03" w:rsidP="00495976">
      <w:pPr>
        <w:contextualSpacing/>
        <w:rPr>
          <w:highlight w:val="green"/>
          <w:lang w:val="en-GB"/>
        </w:rPr>
      </w:pPr>
      <w:r w:rsidRPr="00ED1B03">
        <w:rPr>
          <w:lang w:val="en-GB"/>
        </w:rPr>
        <w:lastRenderedPageBreak/>
        <w:br/>
        <w:t>11. Please include a single line space between successive protocol steps, and highlight up to 3 pages of the Protocol (including headings and spacing) that identify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655902">
        <w:rPr>
          <w:lang w:val="en-GB"/>
        </w:rPr>
        <w:t xml:space="preserve"> </w:t>
      </w:r>
    </w:p>
    <w:p w14:paraId="39EBC82D" w14:textId="77777777" w:rsidR="00495976" w:rsidRPr="0095787D" w:rsidRDefault="00495976" w:rsidP="00495976">
      <w:pPr>
        <w:contextualSpacing/>
        <w:rPr>
          <w:rFonts w:ascii="Calibri" w:hAnsi="Calibri" w:cs="Calibri"/>
          <w:color w:val="2E74B5" w:themeColor="accent1" w:themeShade="BF"/>
          <w:lang w:val="en-GB"/>
        </w:rPr>
      </w:pPr>
      <w:r w:rsidRPr="0095787D">
        <w:rPr>
          <w:rFonts w:ascii="Calibri" w:hAnsi="Calibri" w:cs="Calibri"/>
          <w:color w:val="2E74B5" w:themeColor="accent1" w:themeShade="BF"/>
          <w:lang w:val="en-GB"/>
        </w:rPr>
        <w:t>As requested by the editor, the sections concerned by the video have been highlighted in yellow.</w:t>
      </w:r>
    </w:p>
    <w:p w14:paraId="256B3194" w14:textId="77777777" w:rsidR="00495976" w:rsidRDefault="00ED1B03" w:rsidP="00495976">
      <w:pPr>
        <w:contextualSpacing/>
        <w:rPr>
          <w:lang w:val="en-GB"/>
        </w:rPr>
      </w:pPr>
      <w:r w:rsidRPr="00ED1B03">
        <w:rPr>
          <w:lang w:val="en-GB"/>
        </w:rPr>
        <w:br/>
        <w:t>12. Use decimal points instead of “,” . E.g. see table in Figure 2.</w:t>
      </w:r>
    </w:p>
    <w:p w14:paraId="1C59BC55" w14:textId="75EA6BA7" w:rsidR="00495976" w:rsidRPr="0095787D" w:rsidRDefault="00945315" w:rsidP="00495976">
      <w:pPr>
        <w:contextualSpacing/>
        <w:rPr>
          <w:rFonts w:ascii="Calibri" w:hAnsi="Calibri" w:cs="Calibri"/>
          <w:color w:val="2E74B5" w:themeColor="accent1" w:themeShade="BF"/>
          <w:lang w:val="en-GB"/>
        </w:rPr>
      </w:pPr>
      <w:r w:rsidRPr="0095787D">
        <w:rPr>
          <w:rFonts w:ascii="Calibri" w:hAnsi="Calibri" w:cs="Calibri"/>
          <w:color w:val="2E74B5" w:themeColor="accent1" w:themeShade="BF"/>
          <w:lang w:val="en-GB"/>
        </w:rPr>
        <w:t>T</w:t>
      </w:r>
      <w:r w:rsidR="00495976" w:rsidRPr="0095787D">
        <w:rPr>
          <w:rFonts w:ascii="Calibri" w:hAnsi="Calibri" w:cs="Calibri"/>
          <w:color w:val="2E74B5" w:themeColor="accent1" w:themeShade="BF"/>
          <w:lang w:val="en-GB"/>
        </w:rPr>
        <w:t xml:space="preserve">his has been modified in </w:t>
      </w:r>
      <w:r w:rsidRPr="0095787D">
        <w:rPr>
          <w:rFonts w:ascii="Calibri" w:hAnsi="Calibri" w:cs="Calibri"/>
          <w:color w:val="2E74B5" w:themeColor="accent1" w:themeShade="BF"/>
          <w:lang w:val="en-GB"/>
        </w:rPr>
        <w:t xml:space="preserve">the text and in </w:t>
      </w:r>
      <w:r w:rsidR="00495976" w:rsidRPr="0095787D">
        <w:rPr>
          <w:rFonts w:ascii="Calibri" w:hAnsi="Calibri" w:cs="Calibri"/>
          <w:color w:val="2E74B5" w:themeColor="accent1" w:themeShade="BF"/>
          <w:lang w:val="en-GB"/>
        </w:rPr>
        <w:t>Figure 2.</w:t>
      </w:r>
    </w:p>
    <w:p w14:paraId="399AB9E2" w14:textId="77777777" w:rsidR="00495976" w:rsidRDefault="00ED1B03" w:rsidP="00495976">
      <w:pPr>
        <w:contextualSpacing/>
        <w:rPr>
          <w:color w:val="FF0000"/>
          <w:lang w:val="en-GB"/>
        </w:rPr>
      </w:pPr>
      <w:r w:rsidRPr="00ED1B03">
        <w:rPr>
          <w:lang w:val="en-GB"/>
        </w:rPr>
        <w:br/>
        <w:t xml:space="preserve">13. </w:t>
      </w:r>
      <w:r w:rsidRPr="00BE7F48">
        <w:rPr>
          <w:lang w:val="en-GB"/>
        </w:rPr>
        <w:t>Please include a scale bar for all images taken with a microscope to provide context to the magnification used. Define the scale in the appropriate Figure Legend. E.g. Figure1 K (magnified region)</w:t>
      </w:r>
    </w:p>
    <w:p w14:paraId="7FD9E4FF" w14:textId="77777777" w:rsidR="00AC19BF" w:rsidRPr="0095787D" w:rsidRDefault="00AC19BF" w:rsidP="00BE7F48">
      <w:pPr>
        <w:contextualSpacing/>
        <w:rPr>
          <w:color w:val="2E74B5" w:themeColor="accent1" w:themeShade="BF"/>
          <w:lang w:val="en-GB"/>
        </w:rPr>
      </w:pPr>
      <w:r w:rsidRPr="0095787D">
        <w:rPr>
          <w:color w:val="2E74B5" w:themeColor="accent1" w:themeShade="BF"/>
          <w:lang w:val="en-GB"/>
        </w:rPr>
        <w:t>As requested, we have added a scale bar in all images, including the enlarged box. Please note that we also provide new</w:t>
      </w:r>
      <w:r w:rsidR="001E0D8D" w:rsidRPr="0095787D">
        <w:rPr>
          <w:color w:val="2E74B5" w:themeColor="accent1" w:themeShade="BF"/>
          <w:lang w:val="en-GB"/>
        </w:rPr>
        <w:t xml:space="preserve"> representative</w:t>
      </w:r>
      <w:r w:rsidRPr="0095787D">
        <w:rPr>
          <w:color w:val="2E74B5" w:themeColor="accent1" w:themeShade="BF"/>
          <w:lang w:val="en-GB"/>
        </w:rPr>
        <w:t xml:space="preserve"> images of the different</w:t>
      </w:r>
      <w:r w:rsidR="001E0D8D" w:rsidRPr="0095787D">
        <w:rPr>
          <w:color w:val="2E74B5" w:themeColor="accent1" w:themeShade="BF"/>
          <w:lang w:val="en-GB"/>
        </w:rPr>
        <w:t xml:space="preserve"> classes of megakaryocytes. These pictures</w:t>
      </w:r>
      <w:r w:rsidRPr="0095787D">
        <w:rPr>
          <w:color w:val="2E74B5" w:themeColor="accent1" w:themeShade="BF"/>
          <w:lang w:val="en-GB"/>
        </w:rPr>
        <w:t xml:space="preserve"> </w:t>
      </w:r>
      <w:r w:rsidR="001E0D8D" w:rsidRPr="0095787D">
        <w:rPr>
          <w:color w:val="2E74B5" w:themeColor="accent1" w:themeShade="BF"/>
          <w:lang w:val="en-GB"/>
        </w:rPr>
        <w:t>originate</w:t>
      </w:r>
      <w:r w:rsidRPr="0095787D">
        <w:rPr>
          <w:color w:val="2E74B5" w:themeColor="accent1" w:themeShade="BF"/>
          <w:lang w:val="en-GB"/>
        </w:rPr>
        <w:t xml:space="preserve"> from a recently acquired microscope that will be used for the </w:t>
      </w:r>
      <w:r w:rsidR="001E0D8D" w:rsidRPr="0095787D">
        <w:rPr>
          <w:color w:val="2E74B5" w:themeColor="accent1" w:themeShade="BF"/>
          <w:lang w:val="en-GB"/>
        </w:rPr>
        <w:t>filming</w:t>
      </w:r>
      <w:r w:rsidRPr="0095787D">
        <w:rPr>
          <w:color w:val="2E74B5" w:themeColor="accent1" w:themeShade="BF"/>
          <w:lang w:val="en-GB"/>
        </w:rPr>
        <w:t xml:space="preserve"> of the video.</w:t>
      </w:r>
    </w:p>
    <w:p w14:paraId="6532F8EE" w14:textId="77777777" w:rsidR="00495976" w:rsidRDefault="00ED1B03" w:rsidP="00BE7F48">
      <w:pPr>
        <w:contextualSpacing/>
        <w:rPr>
          <w:lang w:val="en-GB"/>
        </w:rPr>
      </w:pPr>
      <w:r w:rsidRPr="00BE7F48">
        <w:rPr>
          <w:lang w:val="en-GB"/>
        </w:rPr>
        <w:br/>
      </w:r>
      <w:r w:rsidRPr="00ED1B03">
        <w:rPr>
          <w:lang w:val="en-GB"/>
        </w:rPr>
        <w:t>14. Figure 2B. What do the error bars signify?</w:t>
      </w:r>
    </w:p>
    <w:p w14:paraId="6F84AAAF" w14:textId="77777777" w:rsidR="00495976" w:rsidRDefault="00945315" w:rsidP="00495976">
      <w:pPr>
        <w:contextualSpacing/>
        <w:rPr>
          <w:color w:val="0070C0"/>
          <w:lang w:val="en-GB"/>
        </w:rPr>
      </w:pPr>
      <w:r w:rsidRPr="0095787D">
        <w:rPr>
          <w:color w:val="2E74B5" w:themeColor="accent1" w:themeShade="BF"/>
          <w:lang w:val="en-GB"/>
        </w:rPr>
        <w:t>The</w:t>
      </w:r>
      <w:r w:rsidR="001E0D8D" w:rsidRPr="0095787D">
        <w:rPr>
          <w:color w:val="2E74B5" w:themeColor="accent1" w:themeShade="BF"/>
          <w:lang w:val="en-GB"/>
        </w:rPr>
        <w:t xml:space="preserve"> error</w:t>
      </w:r>
      <w:r w:rsidR="00495976" w:rsidRPr="0095787D">
        <w:rPr>
          <w:color w:val="2E74B5" w:themeColor="accent1" w:themeShade="BF"/>
          <w:lang w:val="en-GB"/>
        </w:rPr>
        <w:t xml:space="preserve"> bars </w:t>
      </w:r>
      <w:r w:rsidR="00AC19BF" w:rsidRPr="0095787D">
        <w:rPr>
          <w:color w:val="2E74B5" w:themeColor="accent1" w:themeShade="BF"/>
          <w:lang w:val="en-GB"/>
        </w:rPr>
        <w:t xml:space="preserve">represent </w:t>
      </w:r>
      <w:r w:rsidR="002D4E7F" w:rsidRPr="0095787D">
        <w:rPr>
          <w:color w:val="2E74B5" w:themeColor="accent1" w:themeShade="BF"/>
          <w:lang w:val="en-GB"/>
        </w:rPr>
        <w:t>standard error</w:t>
      </w:r>
      <w:r w:rsidR="00AC19BF" w:rsidRPr="0095787D">
        <w:rPr>
          <w:color w:val="2E74B5" w:themeColor="accent1" w:themeShade="BF"/>
          <w:lang w:val="en-GB"/>
        </w:rPr>
        <w:t>s</w:t>
      </w:r>
      <w:r w:rsidR="002D4E7F" w:rsidRPr="0095787D">
        <w:rPr>
          <w:color w:val="2E74B5" w:themeColor="accent1" w:themeShade="BF"/>
          <w:lang w:val="en-GB"/>
        </w:rPr>
        <w:t xml:space="preserve"> of the mean (SEM</w:t>
      </w:r>
      <w:r w:rsidRPr="0095787D">
        <w:rPr>
          <w:color w:val="2E74B5" w:themeColor="accent1" w:themeShade="BF"/>
          <w:lang w:val="en-GB"/>
        </w:rPr>
        <w:t xml:space="preserve">) and this </w:t>
      </w:r>
      <w:r w:rsidR="00495976" w:rsidRPr="0095787D">
        <w:rPr>
          <w:color w:val="2E74B5" w:themeColor="accent1" w:themeShade="BF"/>
          <w:lang w:val="en-GB"/>
        </w:rPr>
        <w:t>has been clarified in the legend in Figure 2</w:t>
      </w:r>
      <w:r w:rsidR="00495976">
        <w:rPr>
          <w:color w:val="0070C0"/>
          <w:lang w:val="en-GB"/>
        </w:rPr>
        <w:t>.</w:t>
      </w:r>
    </w:p>
    <w:p w14:paraId="4F94EED0" w14:textId="77777777" w:rsidR="00495976" w:rsidRDefault="00ED1B03" w:rsidP="00495976">
      <w:pPr>
        <w:contextualSpacing/>
        <w:rPr>
          <w:lang w:val="en-GB"/>
        </w:rPr>
      </w:pPr>
      <w:r w:rsidRPr="00ED1B03">
        <w:rPr>
          <w:lang w:val="en-GB"/>
        </w:rPr>
        <w:br/>
        <w:t>15. Please ensure that the references appear as the following: [Lastname, F.I., LastName, F.I., LastName, F.I. Article Title. Source. Volume (Issue), FirstPage – LastPage (YEAR).] For more than 6 authors, list only the first author then et al. Do not abbreviate journal names.Please include volume and issue numbers for all references.</w:t>
      </w:r>
    </w:p>
    <w:p w14:paraId="1F9A897E" w14:textId="77777777" w:rsidR="00495976" w:rsidRPr="0095787D" w:rsidRDefault="00AC19BF" w:rsidP="00495976">
      <w:pPr>
        <w:contextualSpacing/>
        <w:rPr>
          <w:color w:val="2E74B5" w:themeColor="accent1" w:themeShade="BF"/>
          <w:lang w:val="en-GB"/>
        </w:rPr>
      </w:pPr>
      <w:r w:rsidRPr="0095787D">
        <w:rPr>
          <w:color w:val="2E74B5" w:themeColor="accent1" w:themeShade="BF"/>
          <w:lang w:val="en-GB"/>
        </w:rPr>
        <w:t>This has been done.</w:t>
      </w:r>
    </w:p>
    <w:p w14:paraId="069957C8" w14:textId="77777777" w:rsidR="000D04B9" w:rsidRDefault="00ED1B03" w:rsidP="00495976">
      <w:pPr>
        <w:contextualSpacing/>
        <w:rPr>
          <w:lang w:val="en-GB"/>
        </w:rPr>
      </w:pPr>
      <w:r w:rsidRPr="00ED1B03">
        <w:rPr>
          <w:lang w:val="en-GB"/>
        </w:rPr>
        <w:br/>
        <w:t xml:space="preserve">16. </w:t>
      </w:r>
      <w:r w:rsidRPr="00771539">
        <w:rPr>
          <w:lang w:val="en-GB"/>
        </w:rPr>
        <w:t>Please revise the table of the essential supplies, reagents, and equipment. The table should include the name, company, and catalog number of all relevant materials in separate columns in an xls/xlsx file. E.g. Add details about the instruments used (microscopes etc).</w:t>
      </w:r>
      <w:r w:rsidRPr="00ED1B03">
        <w:rPr>
          <w:lang w:val="en-GB"/>
        </w:rPr>
        <w:br/>
      </w:r>
      <w:r w:rsidR="00771539" w:rsidRPr="0095787D">
        <w:rPr>
          <w:color w:val="2E74B5" w:themeColor="accent1" w:themeShade="BF"/>
          <w:lang w:val="en-GB"/>
        </w:rPr>
        <w:t>This has been added to the essential products table</w:t>
      </w:r>
      <w:r w:rsidR="00AC19BF" w:rsidRPr="0095787D">
        <w:rPr>
          <w:color w:val="2E74B5" w:themeColor="accent1" w:themeShade="BF"/>
          <w:lang w:val="en-GB"/>
        </w:rPr>
        <w:t>.</w:t>
      </w:r>
      <w:r w:rsidRPr="0095787D">
        <w:rPr>
          <w:color w:val="2E74B5" w:themeColor="accent1" w:themeShade="BF"/>
          <w:lang w:val="en-GB"/>
        </w:rPr>
        <w:br/>
      </w:r>
      <w:r w:rsidRPr="00ED1B03">
        <w:rPr>
          <w:lang w:val="en-GB"/>
        </w:rPr>
        <w:br/>
        <w:t>____________________________________</w:t>
      </w:r>
      <w:r w:rsidRPr="00ED1B03">
        <w:rPr>
          <w:lang w:val="en-GB"/>
        </w:rPr>
        <w:br/>
      </w:r>
      <w:r w:rsidRPr="00ED1B03">
        <w:rPr>
          <w:rStyle w:val="lev"/>
          <w:color w:val="0000FF"/>
          <w:u w:val="single"/>
          <w:lang w:val="en-GB"/>
        </w:rPr>
        <w:t>Reviewers' comments:</w:t>
      </w:r>
      <w:r w:rsidRPr="00ED1B03">
        <w:rPr>
          <w:lang w:val="en-GB"/>
        </w:rPr>
        <w:br/>
      </w:r>
      <w:r w:rsidRPr="00ED1B03">
        <w:rPr>
          <w:b/>
          <w:bCs/>
          <w:lang w:val="en-GB"/>
        </w:rPr>
        <w:t>Reviewer #1:</w:t>
      </w:r>
      <w:r w:rsidRPr="00ED1B03">
        <w:rPr>
          <w:lang w:val="en-GB"/>
        </w:rPr>
        <w:br/>
        <w:t>Comments:</w:t>
      </w:r>
      <w:r w:rsidRPr="00ED1B03">
        <w:rPr>
          <w:lang w:val="en-GB"/>
        </w:rPr>
        <w:br/>
      </w:r>
      <w:r w:rsidRPr="00ED1B03">
        <w:rPr>
          <w:lang w:val="en-GB"/>
        </w:rPr>
        <w:br/>
      </w:r>
      <w:r w:rsidRPr="000D04B9">
        <w:rPr>
          <w:lang w:val="en-GB"/>
        </w:rPr>
        <w:t>-Are the steps listed in the procedure clearly explained?</w:t>
      </w:r>
      <w:r w:rsidRPr="000D04B9">
        <w:rPr>
          <w:lang w:val="en-GB"/>
        </w:rPr>
        <w:br/>
        <w:t>* MAYBE THEY COULD EXPLAIN IN MORE DETAIL HOW TO CUT UNIFORM THICKNESS SECTIONS OF 0.5 MM FROM THE MARROW, SINCE THIS SEEMS TO BE A CRITICAL STEP.</w:t>
      </w:r>
    </w:p>
    <w:p w14:paraId="43C93F31" w14:textId="5F9DE8F2" w:rsidR="00362B4F" w:rsidRPr="0095787D" w:rsidRDefault="00362B4F" w:rsidP="00495976">
      <w:pPr>
        <w:contextualSpacing/>
        <w:rPr>
          <w:color w:val="2E74B5" w:themeColor="accent1" w:themeShade="BF"/>
          <w:lang w:val="en-GB"/>
        </w:rPr>
      </w:pPr>
      <w:r w:rsidRPr="0095787D">
        <w:rPr>
          <w:color w:val="2E74B5" w:themeColor="accent1" w:themeShade="BF"/>
          <w:lang w:val="en-GB"/>
        </w:rPr>
        <w:t xml:space="preserve">The sections are made with a sharp razor blade and under a magnifier to adjust their thickness to </w:t>
      </w:r>
      <w:r w:rsidR="001E0D8D" w:rsidRPr="0095787D">
        <w:rPr>
          <w:rFonts w:cstheme="minorHAnsi"/>
          <w:color w:val="2E74B5" w:themeColor="accent1" w:themeShade="BF"/>
          <w:lang w:val="en-GB"/>
        </w:rPr>
        <w:t>~</w:t>
      </w:r>
      <w:r w:rsidR="001E0D8D" w:rsidRPr="0095787D">
        <w:rPr>
          <w:color w:val="2E74B5" w:themeColor="accent1" w:themeShade="BF"/>
          <w:lang w:val="en-GB"/>
        </w:rPr>
        <w:t xml:space="preserve"> </w:t>
      </w:r>
      <w:r w:rsidRPr="0095787D">
        <w:rPr>
          <w:color w:val="2E74B5" w:themeColor="accent1" w:themeShade="BF"/>
          <w:lang w:val="en-GB"/>
        </w:rPr>
        <w:t>0.5 mm. Only the sections</w:t>
      </w:r>
      <w:r w:rsidR="001E0D8D" w:rsidRPr="0095787D">
        <w:rPr>
          <w:color w:val="2E74B5" w:themeColor="accent1" w:themeShade="BF"/>
          <w:lang w:val="en-GB"/>
        </w:rPr>
        <w:t xml:space="preserve"> of uniform thickness</w:t>
      </w:r>
      <w:r w:rsidRPr="0095787D">
        <w:rPr>
          <w:color w:val="2E74B5" w:themeColor="accent1" w:themeShade="BF"/>
          <w:lang w:val="en-GB"/>
        </w:rPr>
        <w:t xml:space="preserve"> are then selected under the magnifier. This procedure is not complicated but its standardization requires some experience. This has </w:t>
      </w:r>
      <w:r w:rsidR="001E0D8D" w:rsidRPr="0095787D">
        <w:rPr>
          <w:color w:val="2E74B5" w:themeColor="accent1" w:themeShade="BF"/>
          <w:lang w:val="en-GB"/>
        </w:rPr>
        <w:t xml:space="preserve">now been better </w:t>
      </w:r>
      <w:r w:rsidR="00E8053B" w:rsidRPr="00E8053B">
        <w:rPr>
          <w:color w:val="2E74B5" w:themeColor="accent1" w:themeShade="BF"/>
          <w:lang w:val="en-GB"/>
        </w:rPr>
        <w:t xml:space="preserve">explained lines </w:t>
      </w:r>
      <w:r w:rsidR="00E8053B">
        <w:rPr>
          <w:color w:val="2E74B5" w:themeColor="accent1" w:themeShade="BF"/>
          <w:lang w:val="en-GB"/>
        </w:rPr>
        <w:t>122-124.</w:t>
      </w:r>
    </w:p>
    <w:p w14:paraId="1A8A02BC" w14:textId="77777777" w:rsidR="000D04B9" w:rsidRDefault="00ED1B03" w:rsidP="00495976">
      <w:pPr>
        <w:contextualSpacing/>
        <w:rPr>
          <w:lang w:val="en-GB"/>
        </w:rPr>
      </w:pPr>
      <w:r w:rsidRPr="002D4E7F">
        <w:rPr>
          <w:lang w:val="en-GB"/>
        </w:rPr>
        <w:br/>
      </w:r>
      <w:r w:rsidRPr="000D04B9">
        <w:rPr>
          <w:lang w:val="en-GB"/>
        </w:rPr>
        <w:t>* PERHAPS FIGURE 1L CAN BE TAKEN SHOWING THE EDGE OF THE PLATE TO BETTER SEE THE INCLINATION.</w:t>
      </w:r>
    </w:p>
    <w:p w14:paraId="3B97A829" w14:textId="7AF5E384" w:rsidR="00F05984" w:rsidRPr="0095787D" w:rsidRDefault="00F05984" w:rsidP="00495976">
      <w:pPr>
        <w:contextualSpacing/>
        <w:rPr>
          <w:color w:val="2E74B5" w:themeColor="accent1" w:themeShade="BF"/>
          <w:lang w:val="en-GB"/>
        </w:rPr>
      </w:pPr>
      <w:r w:rsidRPr="0095787D">
        <w:rPr>
          <w:color w:val="2E74B5" w:themeColor="accent1" w:themeShade="BF"/>
          <w:lang w:val="en-GB"/>
        </w:rPr>
        <w:lastRenderedPageBreak/>
        <w:t xml:space="preserve">We agree with the reviewer's suggestion and tried to take this picture. However, the result was not </w:t>
      </w:r>
      <w:r w:rsidR="001E0D8D" w:rsidRPr="0095787D">
        <w:rPr>
          <w:color w:val="2E74B5" w:themeColor="accent1" w:themeShade="BF"/>
          <w:lang w:val="en-GB"/>
        </w:rPr>
        <w:t>good</w:t>
      </w:r>
      <w:r w:rsidRPr="0095787D">
        <w:rPr>
          <w:color w:val="2E74B5" w:themeColor="accent1" w:themeShade="BF"/>
          <w:lang w:val="en-GB"/>
        </w:rPr>
        <w:t xml:space="preserve"> enough to see the inclination of the transparent coverslip. As recommended by the reviewer, this </w:t>
      </w:r>
      <w:r w:rsidR="00A86F1A" w:rsidRPr="0095787D">
        <w:rPr>
          <w:color w:val="2E74B5" w:themeColor="accent1" w:themeShade="BF"/>
          <w:lang w:val="en-GB"/>
        </w:rPr>
        <w:t xml:space="preserve">part of the </w:t>
      </w:r>
      <w:r w:rsidR="001E0D8D" w:rsidRPr="0095787D">
        <w:rPr>
          <w:color w:val="2E74B5" w:themeColor="accent1" w:themeShade="BF"/>
          <w:lang w:val="en-GB"/>
        </w:rPr>
        <w:t>protocol</w:t>
      </w:r>
      <w:r w:rsidR="0095787D">
        <w:rPr>
          <w:color w:val="2E74B5" w:themeColor="accent1" w:themeShade="BF"/>
          <w:lang w:val="en-GB"/>
        </w:rPr>
        <w:t xml:space="preserve"> will carefully be </w:t>
      </w:r>
      <w:r w:rsidR="001E0D8D" w:rsidRPr="0095787D">
        <w:rPr>
          <w:color w:val="2E74B5" w:themeColor="accent1" w:themeShade="BF"/>
          <w:lang w:val="en-GB"/>
        </w:rPr>
        <w:t xml:space="preserve">explained </w:t>
      </w:r>
      <w:r w:rsidRPr="0095787D">
        <w:rPr>
          <w:color w:val="2E74B5" w:themeColor="accent1" w:themeShade="BF"/>
          <w:lang w:val="en-GB"/>
        </w:rPr>
        <w:t xml:space="preserve">during the </w:t>
      </w:r>
      <w:r w:rsidR="00A86F1A" w:rsidRPr="0095787D">
        <w:rPr>
          <w:color w:val="2E74B5" w:themeColor="accent1" w:themeShade="BF"/>
          <w:lang w:val="en-GB"/>
        </w:rPr>
        <w:t>filming</w:t>
      </w:r>
      <w:r w:rsidRPr="0095787D">
        <w:rPr>
          <w:color w:val="2E74B5" w:themeColor="accent1" w:themeShade="BF"/>
          <w:lang w:val="en-GB"/>
        </w:rPr>
        <w:t xml:space="preserve"> of the video (</w:t>
      </w:r>
      <w:r w:rsidR="001E0D8D" w:rsidRPr="0095787D">
        <w:rPr>
          <w:color w:val="2E74B5" w:themeColor="accent1" w:themeShade="BF"/>
          <w:lang w:val="en-GB"/>
        </w:rPr>
        <w:t xml:space="preserve">text </w:t>
      </w:r>
      <w:r w:rsidRPr="0095787D">
        <w:rPr>
          <w:color w:val="2E74B5" w:themeColor="accent1" w:themeShade="BF"/>
          <w:lang w:val="en-GB"/>
        </w:rPr>
        <w:t>highlighted in yellow).</w:t>
      </w:r>
    </w:p>
    <w:p w14:paraId="441AF9C5" w14:textId="77777777" w:rsidR="00401CD8" w:rsidRDefault="00ED1B03" w:rsidP="00495976">
      <w:pPr>
        <w:contextualSpacing/>
        <w:rPr>
          <w:lang w:val="en-GB"/>
        </w:rPr>
      </w:pPr>
      <w:r w:rsidRPr="002D4E7F">
        <w:rPr>
          <w:color w:val="5B9BD5" w:themeColor="accent1"/>
          <w:lang w:val="en-GB"/>
        </w:rPr>
        <w:br/>
      </w:r>
      <w:r w:rsidRPr="004E63BD">
        <w:rPr>
          <w:lang w:val="en-GB"/>
        </w:rPr>
        <w:t>* WHEN THE AUTHORS SUGGEST ANOTHER OBSERVATION MODE, E.G. FLUORESCENCE, PERHAPS THEY CAN EXPLAIN HOW TO VISUALIZED MEGAKARYOCYTES BY IMMUNOFLUORESCENCE (A METHOD THAT HELP TO IDENTIFY THEM). ONE SUGGESTION IS TO ADD A LABELED ANTIBODY AGAINST A MEGAKARYOCYTE MARKER (E.G. CD41, CD61) TO THE TYRODE´S BUFFER BEFORE PLACING THE EXPLANTS IN THE INCUBATION CHAMBER.</w:t>
      </w:r>
    </w:p>
    <w:p w14:paraId="59ECE257" w14:textId="070880A3" w:rsidR="00F84D6A" w:rsidRPr="0095787D" w:rsidRDefault="00F84D6A" w:rsidP="0095787D">
      <w:pPr>
        <w:spacing w:line="240" w:lineRule="auto"/>
        <w:contextualSpacing/>
        <w:rPr>
          <w:color w:val="2E74B5" w:themeColor="accent1" w:themeShade="BF"/>
          <w:lang w:val="en-GB"/>
        </w:rPr>
      </w:pPr>
      <w:r w:rsidRPr="0095787D">
        <w:rPr>
          <w:color w:val="2E74B5" w:themeColor="accent1" w:themeShade="BF"/>
          <w:lang w:val="en-GB"/>
        </w:rPr>
        <w:t>In the discussion section, we now explain how to obtain images of fluor</w:t>
      </w:r>
      <w:r w:rsidR="00E8053B">
        <w:rPr>
          <w:color w:val="2E74B5" w:themeColor="accent1" w:themeShade="BF"/>
          <w:lang w:val="en-GB"/>
        </w:rPr>
        <w:t>escent megakaryocytes (lines 239-244</w:t>
      </w:r>
      <w:r w:rsidRPr="0095787D">
        <w:rPr>
          <w:color w:val="2E74B5" w:themeColor="accent1" w:themeShade="BF"/>
          <w:lang w:val="en-GB"/>
        </w:rPr>
        <w:t xml:space="preserve">). As suggested by the reviewer, one possibility could be to add fluorescently </w:t>
      </w:r>
      <w:r w:rsidR="00397F80" w:rsidRPr="0095787D">
        <w:rPr>
          <w:color w:val="2E74B5" w:themeColor="accent1" w:themeShade="BF"/>
          <w:lang w:val="en-GB"/>
        </w:rPr>
        <w:t>labelled</w:t>
      </w:r>
      <w:r w:rsidRPr="0095787D">
        <w:rPr>
          <w:color w:val="2E74B5" w:themeColor="accent1" w:themeShade="BF"/>
          <w:lang w:val="en-GB"/>
        </w:rPr>
        <w:t xml:space="preserve"> antibodies against specific megakaryocyte markers in the culture chamber.</w:t>
      </w:r>
      <w:r w:rsidR="0095787D">
        <w:rPr>
          <w:color w:val="2E74B5" w:themeColor="accent1" w:themeShade="BF"/>
          <w:lang w:val="en-GB"/>
        </w:rPr>
        <w:t xml:space="preserve"> </w:t>
      </w:r>
      <w:r w:rsidRPr="0095787D">
        <w:rPr>
          <w:color w:val="2E74B5" w:themeColor="accent1" w:themeShade="BF"/>
          <w:lang w:val="en-GB"/>
        </w:rPr>
        <w:t xml:space="preserve">Another possibility could be the use of genetically engineered mouse models expressing a fluorescent protein, either specifically in the MK lineage such as the mice with CD41-labelled YFP already reported in the literature (Junt </w:t>
      </w:r>
      <w:r w:rsidRPr="0095787D">
        <w:rPr>
          <w:i/>
          <w:color w:val="2E74B5" w:themeColor="accent1" w:themeShade="BF"/>
          <w:lang w:val="en-GB"/>
        </w:rPr>
        <w:t>et al</w:t>
      </w:r>
      <w:r w:rsidRPr="0095787D">
        <w:rPr>
          <w:color w:val="2E74B5" w:themeColor="accent1" w:themeShade="BF"/>
          <w:lang w:val="en-GB"/>
        </w:rPr>
        <w:t xml:space="preserve">, 2007), or in all cells such as the mice with GFP labelled at the N-terminus of non-muscular myosinII-A (Zhang </w:t>
      </w:r>
      <w:r w:rsidRPr="0095787D">
        <w:rPr>
          <w:i/>
          <w:color w:val="2E74B5" w:themeColor="accent1" w:themeShade="BF"/>
          <w:lang w:val="en-GB"/>
        </w:rPr>
        <w:t>et al</w:t>
      </w:r>
      <w:r w:rsidRPr="0095787D">
        <w:rPr>
          <w:color w:val="2E74B5" w:themeColor="accent1" w:themeShade="BF"/>
          <w:lang w:val="en-GB"/>
        </w:rPr>
        <w:t xml:space="preserve">., 2012) </w:t>
      </w:r>
      <w:r w:rsidR="0095787D">
        <w:rPr>
          <w:color w:val="2E74B5" w:themeColor="accent1" w:themeShade="BF"/>
          <w:lang w:val="en-GB"/>
        </w:rPr>
        <w:t xml:space="preserve">allowing an excellent </w:t>
      </w:r>
      <w:r w:rsidR="0095787D" w:rsidRPr="0095787D">
        <w:rPr>
          <w:color w:val="2E74B5" w:themeColor="accent1" w:themeShade="BF"/>
          <w:lang w:val="en-GB"/>
        </w:rPr>
        <w:t>visualization of the fluorescent MKs</w:t>
      </w:r>
      <w:r w:rsidR="0095787D">
        <w:rPr>
          <w:color w:val="2E74B5" w:themeColor="accent1" w:themeShade="BF"/>
          <w:lang w:val="en-GB"/>
        </w:rPr>
        <w:t xml:space="preserve"> </w:t>
      </w:r>
      <w:r w:rsidRPr="0095787D">
        <w:rPr>
          <w:color w:val="2E74B5" w:themeColor="accent1" w:themeShade="BF"/>
          <w:lang w:val="en-GB"/>
        </w:rPr>
        <w:t xml:space="preserve">as now illustrated in the revised </w:t>
      </w:r>
      <w:r w:rsidRPr="00397F80">
        <w:rPr>
          <w:color w:val="2E74B5" w:themeColor="accent1" w:themeShade="BF"/>
          <w:lang w:val="en-GB"/>
        </w:rPr>
        <w:t xml:space="preserve">manuscript </w:t>
      </w:r>
      <w:r w:rsidR="008E5233" w:rsidRPr="00397F80">
        <w:rPr>
          <w:color w:val="2E74B5" w:themeColor="accent1" w:themeShade="BF"/>
          <w:lang w:val="en-GB"/>
        </w:rPr>
        <w:t>(new FIGURE 2C)</w:t>
      </w:r>
      <w:r w:rsidRPr="00397F80">
        <w:rPr>
          <w:color w:val="2E74B5" w:themeColor="accent1" w:themeShade="BF"/>
          <w:lang w:val="en-GB"/>
        </w:rPr>
        <w:t>.</w:t>
      </w:r>
    </w:p>
    <w:p w14:paraId="6FB41365" w14:textId="255F9DB6" w:rsidR="003A556F" w:rsidRDefault="00ED1B03" w:rsidP="00495976">
      <w:pPr>
        <w:contextualSpacing/>
        <w:rPr>
          <w:color w:val="5B9BD5" w:themeColor="accent1"/>
          <w:lang w:val="en-GB"/>
        </w:rPr>
      </w:pPr>
      <w:r w:rsidRPr="00ED1B03">
        <w:rPr>
          <w:lang w:val="en-GB"/>
        </w:rPr>
        <w:br/>
      </w:r>
      <w:r w:rsidRPr="000D04B9">
        <w:rPr>
          <w:lang w:val="en-GB"/>
        </w:rPr>
        <w:t xml:space="preserve">-Is there any additional information that would be useful to include? IT IS UNCLEAR WHAT THE </w:t>
      </w:r>
      <w:r w:rsidRPr="005374A4">
        <w:rPr>
          <w:lang w:val="en-GB"/>
        </w:rPr>
        <w:t>AUTHORS MEAN BY "DARK MEGAKARYOCYTES". AN IMAGE SHOWING AN EXAMPLE WOULD BE USEFUL.</w:t>
      </w:r>
      <w:r w:rsidRPr="00ED1B03">
        <w:rPr>
          <w:lang w:val="en-GB"/>
        </w:rPr>
        <w:br/>
      </w:r>
      <w:r w:rsidR="003A556F" w:rsidRPr="0095787D">
        <w:rPr>
          <w:color w:val="2E74B5" w:themeColor="accent1" w:themeShade="BF"/>
          <w:lang w:val="en-GB"/>
        </w:rPr>
        <w:t>As recommended, we have added an image of the dark megakaryocytes (</w:t>
      </w:r>
      <w:r w:rsidR="003A556F" w:rsidRPr="00397F80">
        <w:rPr>
          <w:color w:val="2E74B5" w:themeColor="accent1" w:themeShade="BF"/>
          <w:lang w:val="en-GB"/>
        </w:rPr>
        <w:t>FIGUR</w:t>
      </w:r>
      <w:r w:rsidR="008E5233" w:rsidRPr="00397F80">
        <w:rPr>
          <w:color w:val="2E74B5" w:themeColor="accent1" w:themeShade="BF"/>
          <w:lang w:val="en-GB"/>
        </w:rPr>
        <w:t>E 2D</w:t>
      </w:r>
      <w:r w:rsidR="003A556F" w:rsidRPr="00397F80">
        <w:rPr>
          <w:color w:val="2E74B5" w:themeColor="accent1" w:themeShade="BF"/>
          <w:lang w:val="en-GB"/>
        </w:rPr>
        <w:t>).</w:t>
      </w:r>
      <w:r w:rsidR="003A556F" w:rsidRPr="0095787D">
        <w:rPr>
          <w:color w:val="2E74B5" w:themeColor="accent1" w:themeShade="BF"/>
          <w:lang w:val="en-GB"/>
        </w:rPr>
        <w:t xml:space="preserve"> </w:t>
      </w:r>
    </w:p>
    <w:p w14:paraId="6A590A31" w14:textId="77777777" w:rsidR="0050056F" w:rsidRDefault="00ED1B03" w:rsidP="00495976">
      <w:pPr>
        <w:contextualSpacing/>
        <w:rPr>
          <w:lang w:val="en-GB"/>
        </w:rPr>
      </w:pPr>
      <w:r w:rsidRPr="00E26904">
        <w:rPr>
          <w:lang w:val="en-GB"/>
        </w:rPr>
        <w:br/>
      </w:r>
      <w:r w:rsidRPr="00D66B46">
        <w:rPr>
          <w:lang w:val="en-GB"/>
        </w:rPr>
        <w:t>-Are any important references missing and are the included references useful? PERHAPS AUTHORS COULD CITE THE WORK BY ORTIZ-RIVERO ET AL, 2018, WHERE THIS METHOD WAS USED SUCCESSFULLY (DOI: 10.1186/S12964-018-0311-5).</w:t>
      </w:r>
    </w:p>
    <w:p w14:paraId="74E8E76B" w14:textId="3D30EC17" w:rsidR="003C1257" w:rsidRPr="0095787D" w:rsidRDefault="00845FF8" w:rsidP="00E26904">
      <w:pPr>
        <w:rPr>
          <w:color w:val="2E74B5" w:themeColor="accent1" w:themeShade="BF"/>
          <w:lang w:val="en-GB"/>
        </w:rPr>
      </w:pPr>
      <w:r w:rsidRPr="0095787D">
        <w:rPr>
          <w:color w:val="2E74B5" w:themeColor="accent1" w:themeShade="BF"/>
          <w:lang w:val="en-GB"/>
        </w:rPr>
        <w:t>We added the study of ORTIZ-RIVERO et al</w:t>
      </w:r>
      <w:r w:rsidR="006D47CA">
        <w:rPr>
          <w:color w:val="2E74B5" w:themeColor="accent1" w:themeShade="BF"/>
          <w:lang w:val="en-GB"/>
        </w:rPr>
        <w:t>.</w:t>
      </w:r>
      <w:r w:rsidRPr="0095787D">
        <w:rPr>
          <w:color w:val="2E74B5" w:themeColor="accent1" w:themeShade="BF"/>
          <w:lang w:val="en-GB"/>
        </w:rPr>
        <w:t xml:space="preserve"> to illustrate one of the applications of the explant model in the investigation of genetic mutations.</w:t>
      </w:r>
      <w:r w:rsidR="00E8053B">
        <w:rPr>
          <w:color w:val="2E74B5" w:themeColor="accent1" w:themeShade="BF"/>
          <w:lang w:val="en-GB"/>
        </w:rPr>
        <w:t>(Discussion section Line 233-236</w:t>
      </w:r>
      <w:r w:rsidR="00D66B46" w:rsidRPr="0095787D">
        <w:rPr>
          <w:color w:val="2E74B5" w:themeColor="accent1" w:themeShade="BF"/>
          <w:lang w:val="en-GB"/>
        </w:rPr>
        <w:t>)</w:t>
      </w:r>
      <w:r w:rsidR="006D47CA">
        <w:rPr>
          <w:color w:val="2E74B5" w:themeColor="accent1" w:themeShade="BF"/>
          <w:lang w:val="en-GB"/>
        </w:rPr>
        <w:t>.</w:t>
      </w:r>
      <w:r w:rsidR="00ED1B03" w:rsidRPr="0095787D">
        <w:rPr>
          <w:color w:val="2E74B5" w:themeColor="accent1" w:themeShade="BF"/>
          <w:lang w:val="en-GB"/>
        </w:rPr>
        <w:br/>
      </w:r>
      <w:r w:rsidR="00ED1B03" w:rsidRPr="00D66B46">
        <w:rPr>
          <w:lang w:val="en-GB"/>
        </w:rPr>
        <w:br/>
      </w:r>
      <w:r w:rsidR="00ED1B03" w:rsidRPr="00ED1B03">
        <w:rPr>
          <w:lang w:val="en-GB"/>
        </w:rPr>
        <w:t>Minor Concerns:</w:t>
      </w:r>
      <w:r w:rsidR="00ED1B03" w:rsidRPr="00ED1B03">
        <w:rPr>
          <w:lang w:val="en-GB"/>
        </w:rPr>
        <w:br/>
        <w:t>Line 54 " protrude long extensions through the sinusoid walls into the blood circulation" is repeated</w:t>
      </w:r>
      <w:r w:rsidR="00536DCA">
        <w:rPr>
          <w:lang w:val="en-GB"/>
        </w:rPr>
        <w:t xml:space="preserve"> </w:t>
      </w:r>
      <w:r w:rsidRPr="0095787D">
        <w:rPr>
          <w:color w:val="2E74B5" w:themeColor="accent1" w:themeShade="BF"/>
          <w:lang w:val="en-GB"/>
        </w:rPr>
        <w:t>This has been corrected.</w:t>
      </w:r>
      <w:r w:rsidR="007C32D5" w:rsidRPr="0095787D">
        <w:rPr>
          <w:color w:val="2E74B5" w:themeColor="accent1" w:themeShade="BF"/>
          <w:lang w:val="en-GB"/>
        </w:rPr>
        <w:t xml:space="preserve"> </w:t>
      </w:r>
    </w:p>
    <w:p w14:paraId="2602EA1C" w14:textId="77777777" w:rsidR="003C1257" w:rsidRDefault="00ED1B03" w:rsidP="003C1257">
      <w:pPr>
        <w:spacing w:line="240" w:lineRule="auto"/>
        <w:rPr>
          <w:color w:val="0070C0"/>
          <w:lang w:val="en-GB"/>
        </w:rPr>
      </w:pPr>
      <w:r w:rsidRPr="00ED1B03">
        <w:rPr>
          <w:lang w:val="en-GB"/>
        </w:rPr>
        <w:br/>
        <w:t>Line 104: gauge instead gaude.</w:t>
      </w:r>
      <w:r w:rsidR="00536DCA">
        <w:rPr>
          <w:lang w:val="en-GB"/>
        </w:rPr>
        <w:t xml:space="preserve"> </w:t>
      </w:r>
      <w:r w:rsidR="003C1257">
        <w:rPr>
          <w:lang w:val="en-GB"/>
        </w:rPr>
        <w:t xml:space="preserve">As request </w:t>
      </w:r>
      <w:r w:rsidR="003C1257" w:rsidRPr="0095787D">
        <w:rPr>
          <w:color w:val="2E74B5" w:themeColor="accent1" w:themeShade="BF"/>
          <w:lang w:val="en-GB"/>
        </w:rPr>
        <w:t>This misspelling has been corrected.</w:t>
      </w:r>
    </w:p>
    <w:p w14:paraId="58DBFFEC" w14:textId="1829C0A2" w:rsidR="00ED1B03" w:rsidRDefault="00ED1B03" w:rsidP="003C1257">
      <w:pPr>
        <w:spacing w:line="240" w:lineRule="auto"/>
        <w:rPr>
          <w:lang w:val="en-GB"/>
        </w:rPr>
      </w:pPr>
      <w:r w:rsidRPr="00ED1B03">
        <w:rPr>
          <w:lang w:val="en-GB"/>
        </w:rPr>
        <w:br/>
        <w:t>Line 158: represent instead representing</w:t>
      </w:r>
      <w:r w:rsidR="00536DCA">
        <w:rPr>
          <w:lang w:val="en-GB"/>
        </w:rPr>
        <w:t xml:space="preserve"> </w:t>
      </w:r>
      <w:r w:rsidR="00E26904" w:rsidRPr="0095787D">
        <w:rPr>
          <w:color w:val="2E74B5" w:themeColor="accent1" w:themeShade="BF"/>
          <w:lang w:val="en-GB"/>
        </w:rPr>
        <w:t xml:space="preserve">This </w:t>
      </w:r>
      <w:r w:rsidR="003C1257" w:rsidRPr="0095787D">
        <w:rPr>
          <w:color w:val="2E74B5" w:themeColor="accent1" w:themeShade="BF"/>
          <w:lang w:val="en-GB"/>
        </w:rPr>
        <w:t>has been corrected.</w:t>
      </w:r>
      <w:r w:rsidRPr="0095787D">
        <w:rPr>
          <w:color w:val="2E74B5" w:themeColor="accent1" w:themeShade="BF"/>
          <w:lang w:val="en-GB"/>
        </w:rPr>
        <w:br/>
      </w:r>
      <w:r w:rsidRPr="00ED1B03">
        <w:rPr>
          <w:lang w:val="en-GB"/>
        </w:rPr>
        <w:br/>
      </w:r>
      <w:r w:rsidRPr="00ED1B03">
        <w:rPr>
          <w:lang w:val="en-GB"/>
        </w:rPr>
        <w:br/>
      </w:r>
      <w:r w:rsidRPr="00ED1B03">
        <w:rPr>
          <w:b/>
          <w:bCs/>
          <w:lang w:val="en-GB"/>
        </w:rPr>
        <w:t>Reviewer #2:</w:t>
      </w:r>
      <w:r w:rsidRPr="00ED1B03">
        <w:rPr>
          <w:lang w:val="en-GB"/>
        </w:rPr>
        <w:br/>
        <w:t>Manuscript Summary:</w:t>
      </w:r>
      <w:r w:rsidRPr="00ED1B03">
        <w:rPr>
          <w:lang w:val="en-GB"/>
        </w:rPr>
        <w:br/>
        <w:t xml:space="preserve">This manuscript describes the explant method for observation of proplatelet formation from mature megakaryocytes. This seems to be an identical method to that previously published (PMID: 22130708) by the same group. </w:t>
      </w:r>
      <w:bookmarkStart w:id="0" w:name="_GoBack"/>
      <w:bookmarkEnd w:id="0"/>
      <w:r w:rsidRPr="00ED1B03">
        <w:rPr>
          <w:lang w:val="en-GB"/>
        </w:rPr>
        <w:t>While this paper is included in the list of references (number 9), it is not actually referred to anywhere in the manuscript. It is unclear to this reviewer why the method needs to be published for a second time.</w:t>
      </w:r>
    </w:p>
    <w:p w14:paraId="0AF5F314" w14:textId="14CFC592" w:rsidR="008D6041" w:rsidRDefault="00845FF8" w:rsidP="0095787D">
      <w:pPr>
        <w:spacing w:after="0" w:line="240" w:lineRule="auto"/>
        <w:jc w:val="both"/>
        <w:rPr>
          <w:rFonts w:cstheme="minorHAnsi"/>
          <w:color w:val="2E74B5" w:themeColor="accent1" w:themeShade="BF"/>
          <w:sz w:val="24"/>
          <w:szCs w:val="24"/>
          <w:shd w:val="clear" w:color="auto" w:fill="FFFFFF"/>
          <w:lang w:val="en-US"/>
        </w:rPr>
      </w:pPr>
      <w:r w:rsidRPr="005B4AFB">
        <w:rPr>
          <w:rFonts w:cstheme="minorHAnsi"/>
          <w:color w:val="2E74B5" w:themeColor="accent1" w:themeShade="BF"/>
          <w:lang w:val="en-GB"/>
        </w:rPr>
        <w:t xml:space="preserve">The reviewer is correct. This method has been published </w:t>
      </w:r>
      <w:r w:rsidR="00A30C80" w:rsidRPr="005B4AFB">
        <w:rPr>
          <w:rFonts w:cstheme="minorHAnsi"/>
          <w:color w:val="2E74B5" w:themeColor="accent1" w:themeShade="BF"/>
          <w:lang w:val="en-GB"/>
        </w:rPr>
        <w:t xml:space="preserve">in 2012 </w:t>
      </w:r>
      <w:r w:rsidRPr="005B4AFB">
        <w:rPr>
          <w:rFonts w:cstheme="minorHAnsi"/>
          <w:color w:val="2E74B5" w:themeColor="accent1" w:themeShade="BF"/>
          <w:lang w:val="en-GB"/>
        </w:rPr>
        <w:t xml:space="preserve">as a </w:t>
      </w:r>
      <w:r w:rsidR="00E638F1" w:rsidRPr="00D4089F">
        <w:rPr>
          <w:rFonts w:cstheme="minorHAnsi"/>
          <w:color w:val="2E74B5" w:themeColor="accent1" w:themeShade="BF"/>
          <w:lang w:val="en-GB"/>
        </w:rPr>
        <w:t xml:space="preserve">traditional </w:t>
      </w:r>
      <w:r w:rsidR="00A30C80" w:rsidRPr="00D4089F">
        <w:rPr>
          <w:rFonts w:cstheme="minorHAnsi"/>
          <w:color w:val="2E74B5" w:themeColor="accent1" w:themeShade="BF"/>
          <w:lang w:val="en-GB"/>
        </w:rPr>
        <w:t xml:space="preserve">text-based </w:t>
      </w:r>
      <w:r w:rsidR="0095787D" w:rsidRPr="00D4089F">
        <w:rPr>
          <w:rFonts w:cstheme="minorHAnsi"/>
          <w:color w:val="2E74B5" w:themeColor="accent1" w:themeShade="BF"/>
          <w:lang w:val="en-GB"/>
        </w:rPr>
        <w:t>paper. As asked by the reviewer, it is</w:t>
      </w:r>
      <w:r w:rsidR="00F663EA" w:rsidRPr="00D4089F">
        <w:rPr>
          <w:rFonts w:cstheme="minorHAnsi"/>
          <w:color w:val="2E74B5" w:themeColor="accent1" w:themeShade="BF"/>
          <w:lang w:val="en-GB"/>
        </w:rPr>
        <w:t xml:space="preserve"> now</w:t>
      </w:r>
      <w:r w:rsidR="00DA4979" w:rsidRPr="00D4089F">
        <w:rPr>
          <w:rFonts w:cstheme="minorHAnsi"/>
          <w:color w:val="2E74B5" w:themeColor="accent1" w:themeShade="BF"/>
          <w:lang w:val="en-GB"/>
        </w:rPr>
        <w:t xml:space="preserve"> referred</w:t>
      </w:r>
      <w:r w:rsidR="00DA4979">
        <w:rPr>
          <w:rFonts w:cstheme="minorHAnsi"/>
          <w:color w:val="2E74B5" w:themeColor="accent1" w:themeShade="BF"/>
          <w:lang w:val="en-GB"/>
        </w:rPr>
        <w:t xml:space="preserve"> at the end of the i</w:t>
      </w:r>
      <w:r w:rsidR="00F663EA" w:rsidRPr="005B4AFB">
        <w:rPr>
          <w:rFonts w:cstheme="minorHAnsi"/>
          <w:color w:val="2E74B5" w:themeColor="accent1" w:themeShade="BF"/>
          <w:lang w:val="en-GB"/>
        </w:rPr>
        <w:t>ntroduction section</w:t>
      </w:r>
      <w:r w:rsidR="00F663EA" w:rsidRPr="005B4AFB">
        <w:rPr>
          <w:color w:val="2E74B5" w:themeColor="accent1" w:themeShade="BF"/>
          <w:lang w:val="en-GB"/>
        </w:rPr>
        <w:t xml:space="preserve"> (line 73-74). </w:t>
      </w:r>
      <w:r w:rsidR="005F6C83" w:rsidRPr="005B4AFB">
        <w:rPr>
          <w:color w:val="2E74B5" w:themeColor="accent1" w:themeShade="BF"/>
          <w:lang w:val="en-GB"/>
        </w:rPr>
        <w:t>We</w:t>
      </w:r>
      <w:r w:rsidR="00F663EA" w:rsidRPr="005B4AFB">
        <w:rPr>
          <w:color w:val="2E74B5" w:themeColor="accent1" w:themeShade="BF"/>
          <w:lang w:val="en-GB"/>
        </w:rPr>
        <w:t xml:space="preserve"> decided to</w:t>
      </w:r>
      <w:r w:rsidR="00B57BFE" w:rsidRPr="005B4AFB">
        <w:rPr>
          <w:color w:val="2E74B5" w:themeColor="accent1" w:themeShade="BF"/>
          <w:lang w:val="en-GB"/>
        </w:rPr>
        <w:t xml:space="preserve"> </w:t>
      </w:r>
      <w:r w:rsidR="00E638F1" w:rsidRPr="005B4AFB">
        <w:rPr>
          <w:color w:val="2E74B5" w:themeColor="accent1" w:themeShade="BF"/>
          <w:lang w:val="en-GB"/>
        </w:rPr>
        <w:t xml:space="preserve">publish </w:t>
      </w:r>
      <w:r w:rsidR="00F663EA" w:rsidRPr="005B4AFB">
        <w:rPr>
          <w:color w:val="2E74B5" w:themeColor="accent1" w:themeShade="BF"/>
          <w:lang w:val="en-GB"/>
        </w:rPr>
        <w:t>it</w:t>
      </w:r>
      <w:r w:rsidR="00E638F1" w:rsidRPr="005B4AFB">
        <w:rPr>
          <w:color w:val="2E74B5" w:themeColor="accent1" w:themeShade="BF"/>
          <w:lang w:val="en-GB"/>
        </w:rPr>
        <w:t xml:space="preserve"> </w:t>
      </w:r>
      <w:r w:rsidR="005F6C83" w:rsidRPr="005B4AFB">
        <w:rPr>
          <w:color w:val="2E74B5" w:themeColor="accent1" w:themeShade="BF"/>
          <w:lang w:val="en-GB"/>
        </w:rPr>
        <w:t xml:space="preserve">in a video format </w:t>
      </w:r>
      <w:r w:rsidR="00F663EA" w:rsidRPr="005B4AFB">
        <w:rPr>
          <w:color w:val="2E74B5" w:themeColor="accent1" w:themeShade="BF"/>
          <w:lang w:val="en-GB"/>
        </w:rPr>
        <w:t>because 1) it will show the most recent version of the method,</w:t>
      </w:r>
      <w:r w:rsidR="00F663EA">
        <w:rPr>
          <w:color w:val="2E74B5" w:themeColor="accent1" w:themeShade="BF"/>
          <w:lang w:val="en-GB"/>
        </w:rPr>
        <w:t xml:space="preserve"> especially the visualization of fluorescent megakaryocytes and their automatic quantification using a navigation software, 2) </w:t>
      </w:r>
      <w:r w:rsidR="005F6C83">
        <w:rPr>
          <w:rFonts w:cstheme="minorHAnsi"/>
          <w:color w:val="2E74B5" w:themeColor="accent1" w:themeShade="BF"/>
          <w:sz w:val="24"/>
          <w:szCs w:val="24"/>
          <w:lang w:val="en"/>
        </w:rPr>
        <w:t>s</w:t>
      </w:r>
      <w:r w:rsidR="008C5CEA" w:rsidRPr="008C5CEA">
        <w:rPr>
          <w:rFonts w:cstheme="minorHAnsi"/>
          <w:color w:val="2E74B5" w:themeColor="accent1" w:themeShade="BF"/>
          <w:sz w:val="24"/>
          <w:szCs w:val="24"/>
          <w:lang w:val="en"/>
        </w:rPr>
        <w:t>ome part</w:t>
      </w:r>
      <w:r w:rsidR="006D47CA">
        <w:rPr>
          <w:rFonts w:cstheme="minorHAnsi"/>
          <w:color w:val="2E74B5" w:themeColor="accent1" w:themeShade="BF"/>
          <w:sz w:val="24"/>
          <w:szCs w:val="24"/>
          <w:lang w:val="en"/>
        </w:rPr>
        <w:t>s</w:t>
      </w:r>
      <w:r w:rsidR="008C5CEA" w:rsidRPr="008C5CEA">
        <w:rPr>
          <w:rFonts w:cstheme="minorHAnsi"/>
          <w:color w:val="2E74B5" w:themeColor="accent1" w:themeShade="BF"/>
          <w:sz w:val="24"/>
          <w:szCs w:val="24"/>
          <w:lang w:val="en"/>
        </w:rPr>
        <w:t xml:space="preserve"> of </w:t>
      </w:r>
      <w:r w:rsidR="00F663EA">
        <w:rPr>
          <w:rFonts w:cstheme="minorHAnsi"/>
          <w:color w:val="2E74B5" w:themeColor="accent1" w:themeShade="BF"/>
          <w:sz w:val="24"/>
          <w:szCs w:val="24"/>
          <w:lang w:val="en"/>
        </w:rPr>
        <w:t xml:space="preserve">the </w:t>
      </w:r>
      <w:r w:rsidR="008C5CEA" w:rsidRPr="008C5CEA">
        <w:rPr>
          <w:rFonts w:cstheme="minorHAnsi"/>
          <w:color w:val="2E74B5" w:themeColor="accent1" w:themeShade="BF"/>
          <w:sz w:val="24"/>
          <w:szCs w:val="24"/>
          <w:lang w:val="en"/>
        </w:rPr>
        <w:t>protocols</w:t>
      </w:r>
      <w:r w:rsidR="005B4AFB">
        <w:rPr>
          <w:rFonts w:cstheme="minorHAnsi"/>
          <w:color w:val="2E74B5" w:themeColor="accent1" w:themeShade="BF"/>
          <w:sz w:val="24"/>
          <w:szCs w:val="24"/>
          <w:lang w:val="en"/>
        </w:rPr>
        <w:t xml:space="preserve">, especially the flushing of the bone marrows, </w:t>
      </w:r>
      <w:r w:rsidR="008C5CEA" w:rsidRPr="008C5CEA">
        <w:rPr>
          <w:rFonts w:cstheme="minorHAnsi"/>
          <w:color w:val="2E74B5" w:themeColor="accent1" w:themeShade="BF"/>
          <w:sz w:val="24"/>
          <w:szCs w:val="24"/>
          <w:lang w:val="en"/>
        </w:rPr>
        <w:t xml:space="preserve">are much easier to understand through video than </w:t>
      </w:r>
      <w:r w:rsidR="005F6C83">
        <w:rPr>
          <w:rFonts w:cstheme="minorHAnsi"/>
          <w:color w:val="2E74B5" w:themeColor="accent1" w:themeShade="BF"/>
          <w:sz w:val="24"/>
          <w:szCs w:val="24"/>
          <w:lang w:val="en"/>
        </w:rPr>
        <w:t>through written protocols</w:t>
      </w:r>
      <w:r w:rsidR="005B4AFB">
        <w:rPr>
          <w:rFonts w:cstheme="minorHAnsi"/>
          <w:color w:val="2E74B5" w:themeColor="accent1" w:themeShade="BF"/>
          <w:sz w:val="24"/>
          <w:szCs w:val="24"/>
          <w:lang w:val="en"/>
        </w:rPr>
        <w:t xml:space="preserve"> and 3)</w:t>
      </w:r>
      <w:r w:rsidR="00372C5D">
        <w:rPr>
          <w:rFonts w:cstheme="minorHAnsi"/>
          <w:color w:val="2E74B5" w:themeColor="accent1" w:themeShade="BF"/>
          <w:sz w:val="24"/>
          <w:szCs w:val="24"/>
          <w:lang w:val="en"/>
        </w:rPr>
        <w:t xml:space="preserve"> </w:t>
      </w:r>
      <w:r w:rsidR="00DA4979">
        <w:rPr>
          <w:rFonts w:cstheme="minorHAnsi"/>
          <w:color w:val="2E74B5" w:themeColor="accent1" w:themeShade="BF"/>
          <w:sz w:val="24"/>
          <w:szCs w:val="24"/>
          <w:lang w:val="en"/>
        </w:rPr>
        <w:t>it is a</w:t>
      </w:r>
      <w:r w:rsidR="00372C5D">
        <w:rPr>
          <w:rFonts w:cstheme="minorHAnsi"/>
          <w:color w:val="2E74B5" w:themeColor="accent1" w:themeShade="BF"/>
          <w:sz w:val="24"/>
          <w:szCs w:val="24"/>
          <w:lang w:val="en"/>
        </w:rPr>
        <w:t xml:space="preserve"> gold standard protocol </w:t>
      </w:r>
      <w:r w:rsidR="00372C5D" w:rsidRPr="00372C5D">
        <w:rPr>
          <w:rFonts w:cstheme="minorHAnsi"/>
          <w:color w:val="2E74B5" w:themeColor="accent1" w:themeShade="BF"/>
          <w:sz w:val="24"/>
          <w:szCs w:val="24"/>
          <w:lang w:val="en"/>
        </w:rPr>
        <w:t xml:space="preserve">perfectly adapted to the collection focused on </w:t>
      </w:r>
      <w:r w:rsidR="005B4AFB">
        <w:rPr>
          <w:rFonts w:cstheme="minorHAnsi"/>
          <w:color w:val="2E74B5" w:themeColor="accent1" w:themeShade="BF"/>
          <w:sz w:val="24"/>
          <w:szCs w:val="24"/>
          <w:lang w:val="en"/>
        </w:rPr>
        <w:t>“</w:t>
      </w:r>
      <w:r w:rsidR="005B4AFB" w:rsidRPr="005B4AFB">
        <w:rPr>
          <w:rFonts w:cstheme="minorHAnsi"/>
          <w:i/>
          <w:color w:val="2E74B5" w:themeColor="accent1" w:themeShade="BF"/>
          <w:sz w:val="24"/>
          <w:szCs w:val="24"/>
          <w:shd w:val="clear" w:color="auto" w:fill="FFFFFF"/>
          <w:lang w:val="en-US"/>
        </w:rPr>
        <w:t>in vitro</w:t>
      </w:r>
      <w:r w:rsidR="005B4AFB" w:rsidRPr="005B4AFB">
        <w:rPr>
          <w:rFonts w:cstheme="minorHAnsi"/>
          <w:color w:val="2E74B5" w:themeColor="accent1" w:themeShade="BF"/>
          <w:sz w:val="24"/>
          <w:szCs w:val="24"/>
          <w:shd w:val="clear" w:color="auto" w:fill="FFFFFF"/>
          <w:lang w:val="en-US"/>
        </w:rPr>
        <w:t xml:space="preserve"> and </w:t>
      </w:r>
      <w:r w:rsidR="005B4AFB" w:rsidRPr="005B4AFB">
        <w:rPr>
          <w:rFonts w:cstheme="minorHAnsi"/>
          <w:i/>
          <w:color w:val="2E74B5" w:themeColor="accent1" w:themeShade="BF"/>
          <w:sz w:val="24"/>
          <w:szCs w:val="24"/>
          <w:shd w:val="clear" w:color="auto" w:fill="FFFFFF"/>
          <w:lang w:val="en-US"/>
        </w:rPr>
        <w:t>in vivo</w:t>
      </w:r>
      <w:r w:rsidR="00372C5D">
        <w:rPr>
          <w:rFonts w:cstheme="minorHAnsi"/>
          <w:color w:val="2E74B5" w:themeColor="accent1" w:themeShade="BF"/>
          <w:sz w:val="24"/>
          <w:szCs w:val="24"/>
          <w:shd w:val="clear" w:color="auto" w:fill="FFFFFF"/>
          <w:lang w:val="en-US"/>
        </w:rPr>
        <w:t xml:space="preserve"> models for the study of m</w:t>
      </w:r>
      <w:r w:rsidR="005B4AFB" w:rsidRPr="005B4AFB">
        <w:rPr>
          <w:rFonts w:cstheme="minorHAnsi"/>
          <w:color w:val="2E74B5" w:themeColor="accent1" w:themeShade="BF"/>
          <w:sz w:val="24"/>
          <w:szCs w:val="24"/>
          <w:shd w:val="clear" w:color="auto" w:fill="FFFFFF"/>
          <w:lang w:val="en-US"/>
        </w:rPr>
        <w:t>egakaryocytes</w:t>
      </w:r>
      <w:r w:rsidR="005B4AFB">
        <w:rPr>
          <w:rFonts w:cstheme="minorHAnsi"/>
          <w:color w:val="2E74B5" w:themeColor="accent1" w:themeShade="BF"/>
          <w:sz w:val="24"/>
          <w:szCs w:val="24"/>
          <w:shd w:val="clear" w:color="auto" w:fill="FFFFFF"/>
          <w:lang w:val="en-US"/>
        </w:rPr>
        <w:t>”</w:t>
      </w:r>
      <w:r w:rsidR="00372C5D">
        <w:rPr>
          <w:rFonts w:cstheme="minorHAnsi"/>
          <w:color w:val="2E74B5" w:themeColor="accent1" w:themeShade="BF"/>
          <w:sz w:val="24"/>
          <w:szCs w:val="24"/>
          <w:shd w:val="clear" w:color="auto" w:fill="FFFFFF"/>
          <w:lang w:val="en-US"/>
        </w:rPr>
        <w:t xml:space="preserve">. </w:t>
      </w:r>
    </w:p>
    <w:p w14:paraId="5B602F71" w14:textId="77777777" w:rsidR="00DA4979" w:rsidRPr="008D6041" w:rsidRDefault="00DA4979" w:rsidP="0095787D">
      <w:pPr>
        <w:spacing w:after="0" w:line="240" w:lineRule="auto"/>
        <w:jc w:val="both"/>
        <w:rPr>
          <w:color w:val="0070C0"/>
          <w:lang w:val="en-GB"/>
        </w:rPr>
      </w:pPr>
    </w:p>
    <w:p w14:paraId="187B00CA" w14:textId="77777777" w:rsidR="006C6FFA" w:rsidRPr="00D66B46" w:rsidRDefault="00ED1B03" w:rsidP="006C6FFA">
      <w:pPr>
        <w:spacing w:after="0"/>
        <w:rPr>
          <w:highlight w:val="green"/>
          <w:lang w:val="en-GB"/>
        </w:rPr>
      </w:pPr>
      <w:r w:rsidRPr="0050056F">
        <w:rPr>
          <w:lang w:val="en-GB"/>
        </w:rPr>
        <w:t>Major Concerns:</w:t>
      </w:r>
      <w:r w:rsidRPr="0050056F">
        <w:rPr>
          <w:lang w:val="en-GB"/>
        </w:rPr>
        <w:br/>
        <w:t>None</w:t>
      </w:r>
      <w:r w:rsidRPr="0050056F">
        <w:rPr>
          <w:lang w:val="en-GB"/>
        </w:rPr>
        <w:br/>
      </w:r>
      <w:r w:rsidRPr="0050056F">
        <w:rPr>
          <w:lang w:val="en-GB"/>
        </w:rPr>
        <w:br/>
        <w:t>Minor Concerns:</w:t>
      </w:r>
      <w:r w:rsidRPr="0050056F">
        <w:rPr>
          <w:lang w:val="en-GB"/>
        </w:rPr>
        <w:br/>
      </w:r>
      <w:r w:rsidR="00D66B46" w:rsidRPr="00D66B46">
        <w:rPr>
          <w:lang w:val="en-GB"/>
        </w:rPr>
        <w:t>1. The title should make it clear that this is a method for mouse bone marrow.</w:t>
      </w:r>
    </w:p>
    <w:p w14:paraId="41D9F38A" w14:textId="55A2985F" w:rsidR="003C1257" w:rsidRDefault="0034043D" w:rsidP="006C6FFA">
      <w:pPr>
        <w:spacing w:after="0"/>
        <w:rPr>
          <w:color w:val="0070C0"/>
          <w:lang w:val="en-GB"/>
        </w:rPr>
      </w:pPr>
      <w:r>
        <w:rPr>
          <w:color w:val="0070C0"/>
          <w:lang w:val="en-GB"/>
        </w:rPr>
        <w:t>A</w:t>
      </w:r>
      <w:r w:rsidR="003C1257" w:rsidRPr="003C1257">
        <w:rPr>
          <w:color w:val="0070C0"/>
          <w:lang w:val="en-GB"/>
        </w:rPr>
        <w:t>s suggested</w:t>
      </w:r>
      <w:r>
        <w:rPr>
          <w:color w:val="0070C0"/>
          <w:lang w:val="en-GB"/>
        </w:rPr>
        <w:t>, the title clarifies now that the method is based on mouse bone marrow</w:t>
      </w:r>
      <w:r w:rsidR="00DA4979">
        <w:rPr>
          <w:color w:val="0070C0"/>
          <w:lang w:val="en-GB"/>
        </w:rPr>
        <w:t>.</w:t>
      </w:r>
    </w:p>
    <w:p w14:paraId="6160CAC6" w14:textId="77777777" w:rsidR="003C1257" w:rsidRPr="003C1257" w:rsidRDefault="003C1257" w:rsidP="006C6FFA">
      <w:pPr>
        <w:spacing w:after="0"/>
        <w:rPr>
          <w:color w:val="0070C0"/>
          <w:lang w:val="en-GB"/>
        </w:rPr>
      </w:pPr>
    </w:p>
    <w:p w14:paraId="594FFF5F" w14:textId="77777777" w:rsidR="003C1257" w:rsidRPr="00BE7F48" w:rsidRDefault="00ED1B03" w:rsidP="006C6FFA">
      <w:pPr>
        <w:spacing w:after="0"/>
        <w:rPr>
          <w:lang w:val="en-GB"/>
        </w:rPr>
      </w:pPr>
      <w:r w:rsidRPr="00BE7F48">
        <w:rPr>
          <w:lang w:val="en-GB"/>
        </w:rPr>
        <w:t>2. Provide catalogue numbers and suppliers for specialist reagents (e.g. serum albumin)</w:t>
      </w:r>
    </w:p>
    <w:p w14:paraId="6D04B980" w14:textId="59BC679A" w:rsidR="00BE7F48" w:rsidRPr="00BE7F48" w:rsidRDefault="00BE7F48" w:rsidP="006C6FFA">
      <w:pPr>
        <w:spacing w:after="0"/>
        <w:rPr>
          <w:color w:val="0070C0"/>
          <w:lang w:val="en-GB"/>
        </w:rPr>
      </w:pPr>
      <w:r w:rsidRPr="00BE7F48">
        <w:rPr>
          <w:color w:val="0070C0"/>
          <w:lang w:val="en-GB"/>
        </w:rPr>
        <w:t>This has been added to the essential products table</w:t>
      </w:r>
      <w:r w:rsidR="00DA4979">
        <w:rPr>
          <w:color w:val="0070C0"/>
          <w:lang w:val="en-GB"/>
        </w:rPr>
        <w:t>.</w:t>
      </w:r>
    </w:p>
    <w:p w14:paraId="694D431B" w14:textId="77777777" w:rsidR="003C1257" w:rsidRPr="00D66B46" w:rsidRDefault="00ED1B03" w:rsidP="006C6FFA">
      <w:pPr>
        <w:spacing w:after="0"/>
        <w:rPr>
          <w:lang w:val="en-GB"/>
        </w:rPr>
      </w:pPr>
      <w:r w:rsidRPr="00D66B46">
        <w:rPr>
          <w:lang w:val="en-GB"/>
        </w:rPr>
        <w:br/>
      </w:r>
      <w:r w:rsidR="00D66B46" w:rsidRPr="00D66B46">
        <w:rPr>
          <w:lang w:val="en-GB"/>
        </w:rPr>
        <w:t>3. in step 4.3 which buffer is used?</w:t>
      </w:r>
    </w:p>
    <w:p w14:paraId="54145A51" w14:textId="7CD5552F" w:rsidR="00006DAF" w:rsidRDefault="00006DAF" w:rsidP="006C6FFA">
      <w:pPr>
        <w:spacing w:after="0"/>
        <w:rPr>
          <w:color w:val="0070C0"/>
          <w:lang w:val="en-GB"/>
        </w:rPr>
      </w:pPr>
      <w:r>
        <w:rPr>
          <w:color w:val="0070C0"/>
          <w:lang w:val="en-GB"/>
        </w:rPr>
        <w:t>The buffer is Tyrode’s buffer and this is now specified in the text (li</w:t>
      </w:r>
      <w:r w:rsidR="00E8053B">
        <w:rPr>
          <w:color w:val="0070C0"/>
          <w:lang w:val="en-GB"/>
        </w:rPr>
        <w:t>ne 125</w:t>
      </w:r>
      <w:r>
        <w:rPr>
          <w:color w:val="0070C0"/>
          <w:lang w:val="en-GB"/>
        </w:rPr>
        <w:t xml:space="preserve">). </w:t>
      </w:r>
    </w:p>
    <w:p w14:paraId="2BD9CAC4" w14:textId="77777777" w:rsidR="003C1257" w:rsidRPr="00D66B46" w:rsidRDefault="00ED1B03" w:rsidP="006C6FFA">
      <w:pPr>
        <w:spacing w:after="0"/>
        <w:rPr>
          <w:lang w:val="en-GB"/>
        </w:rPr>
      </w:pPr>
      <w:r w:rsidRPr="00006DAF">
        <w:rPr>
          <w:color w:val="0070C0"/>
          <w:lang w:val="en-GB"/>
        </w:rPr>
        <w:br/>
      </w:r>
      <w:r w:rsidR="00D66B46" w:rsidRPr="00D66B46">
        <w:rPr>
          <w:lang w:val="en-GB"/>
        </w:rPr>
        <w:t>4. The citation style used for the references is sub-optimal - the references are numbered in the reference list but not numbered in the text, and they are not in alphabetical order. I realise this may be a journal-specific format but it is not helpful for the reader.</w:t>
      </w:r>
    </w:p>
    <w:p w14:paraId="5D4485E9" w14:textId="77777777" w:rsidR="002653F8" w:rsidRDefault="00D66B46" w:rsidP="002653F8">
      <w:pPr>
        <w:spacing w:after="0"/>
        <w:rPr>
          <w:lang w:val="en-GB"/>
        </w:rPr>
      </w:pPr>
      <w:r w:rsidRPr="00D66B46">
        <w:rPr>
          <w:rFonts w:ascii="Calibri" w:hAnsi="Calibri" w:cs="Calibri"/>
          <w:color w:val="2E74B6"/>
          <w:lang w:val="en-GB"/>
        </w:rPr>
        <w:t xml:space="preserve">We followed Jove's guidelines for the format of the references. </w:t>
      </w:r>
      <w:r w:rsidR="003C1257">
        <w:rPr>
          <w:rFonts w:ascii="Calibri" w:hAnsi="Calibri" w:cs="Calibri"/>
          <w:color w:val="2E74B6"/>
          <w:lang w:val="en-GB"/>
        </w:rPr>
        <w:t>T</w:t>
      </w:r>
      <w:r w:rsidR="003C1257" w:rsidRPr="00506F89">
        <w:rPr>
          <w:rFonts w:ascii="Calibri" w:hAnsi="Calibri" w:cs="Calibri"/>
          <w:color w:val="2E74B6"/>
          <w:lang w:val="en-GB"/>
        </w:rPr>
        <w:t>his has been modified throughout the manuscript</w:t>
      </w:r>
      <w:r w:rsidR="003C1257">
        <w:rPr>
          <w:rFonts w:ascii="Calibri" w:hAnsi="Calibri" w:cs="Calibri"/>
          <w:color w:val="2E74B6"/>
          <w:lang w:val="en-GB"/>
        </w:rPr>
        <w:t>.</w:t>
      </w:r>
      <w:r w:rsidR="00006DAF">
        <w:rPr>
          <w:rFonts w:ascii="Calibri" w:hAnsi="Calibri" w:cs="Calibri"/>
          <w:color w:val="2E74B6"/>
          <w:lang w:val="en-GB"/>
        </w:rPr>
        <w:t xml:space="preserve"> </w:t>
      </w:r>
      <w:r w:rsidR="00ED1B03" w:rsidRPr="00D4089F">
        <w:rPr>
          <w:lang w:val="en-GB"/>
        </w:rPr>
        <w:br/>
      </w:r>
      <w:r w:rsidR="00ED1B03" w:rsidRPr="00D4089F">
        <w:rPr>
          <w:lang w:val="en-GB"/>
        </w:rPr>
        <w:br/>
      </w:r>
      <w:r w:rsidR="00ED1B03" w:rsidRPr="00ED1B03">
        <w:rPr>
          <w:b/>
          <w:bCs/>
          <w:lang w:val="en-GB"/>
        </w:rPr>
        <w:t>Reviewer #3:</w:t>
      </w:r>
      <w:r w:rsidR="00ED1B03" w:rsidRPr="00ED1B03">
        <w:rPr>
          <w:lang w:val="en-GB"/>
        </w:rPr>
        <w:br/>
        <w:t>Manuscript Summary:</w:t>
      </w:r>
      <w:r w:rsidR="00ED1B03" w:rsidRPr="00ED1B03">
        <w:rPr>
          <w:lang w:val="en-GB"/>
        </w:rPr>
        <w:br/>
        <w:t>The authors described a protocol preparing mouse bone marrow explants to observe proplatelet formation. The proportions of small megakaryocytes (MKs), large MKs, MKs with thick processes and proplatelet forming MKs over time were counted. The model may be used to quantify proplatelet formation under genetic and/or pharmacological manipulations.</w:t>
      </w:r>
      <w:r w:rsidR="00ED1B03" w:rsidRPr="00ED1B03">
        <w:rPr>
          <w:lang w:val="en-GB"/>
        </w:rPr>
        <w:br/>
      </w:r>
      <w:r w:rsidR="00ED1B03" w:rsidRPr="00ED1B03">
        <w:rPr>
          <w:lang w:val="en-GB"/>
        </w:rPr>
        <w:br/>
        <w:t>Major Concerns:</w:t>
      </w:r>
      <w:r w:rsidR="00640772">
        <w:rPr>
          <w:lang w:val="en-GB"/>
        </w:rPr>
        <w:t xml:space="preserve"> </w:t>
      </w:r>
      <w:r w:rsidR="00ED1B03" w:rsidRPr="00ED1B03">
        <w:rPr>
          <w:lang w:val="en-GB"/>
        </w:rPr>
        <w:br/>
        <w:t>1. The 'small megakaryocyte' numbers appear to be stable over time. How did the authors confirm that they were really megakaryocytes, not other blood cells?</w:t>
      </w:r>
      <w:r w:rsidR="00ED1B03">
        <w:rPr>
          <w:lang w:val="en-GB"/>
        </w:rPr>
        <w:t xml:space="preserve"> </w:t>
      </w:r>
    </w:p>
    <w:p w14:paraId="28D22B24" w14:textId="01DB26CB" w:rsidR="00F46FFF" w:rsidRPr="002653F8" w:rsidRDefault="00952CFC" w:rsidP="002653F8">
      <w:pPr>
        <w:spacing w:after="0"/>
        <w:rPr>
          <w:highlight w:val="yellow"/>
          <w:lang w:val="en-GB"/>
        </w:rPr>
      </w:pPr>
      <w:r w:rsidRPr="002653F8">
        <w:rPr>
          <w:rFonts w:cstheme="minorHAnsi"/>
          <w:color w:val="2E74B5" w:themeColor="accent1" w:themeShade="BF"/>
          <w:lang w:val="en-US"/>
        </w:rPr>
        <w:t>The arguments that these cells represent small MKs are</w:t>
      </w:r>
      <w:r w:rsidR="002653F8">
        <w:rPr>
          <w:rFonts w:cstheme="minorHAnsi"/>
          <w:color w:val="2E74B5" w:themeColor="accent1" w:themeShade="BF"/>
          <w:lang w:val="en-US"/>
        </w:rPr>
        <w:t xml:space="preserve"> 1)</w:t>
      </w:r>
      <w:r w:rsidRPr="002653F8">
        <w:rPr>
          <w:rFonts w:cstheme="minorHAnsi"/>
          <w:color w:val="2E74B5" w:themeColor="accent1" w:themeShade="BF"/>
          <w:lang w:val="en-US"/>
        </w:rPr>
        <w:t xml:space="preserve"> their </w:t>
      </w:r>
      <w:r w:rsidR="00BC783A">
        <w:rPr>
          <w:rFonts w:cstheme="minorHAnsi"/>
          <w:color w:val="2E74B5" w:themeColor="accent1" w:themeShade="BF"/>
          <w:lang w:val="en-US"/>
        </w:rPr>
        <w:t>diameter</w:t>
      </w:r>
      <w:r w:rsidRPr="002653F8">
        <w:rPr>
          <w:rFonts w:cstheme="minorHAnsi"/>
          <w:color w:val="2E74B5" w:themeColor="accent1" w:themeShade="BF"/>
          <w:lang w:val="en-US"/>
        </w:rPr>
        <w:t xml:space="preserve"> between 20 and 30 µm, which is too </w:t>
      </w:r>
      <w:r w:rsidR="002653F8" w:rsidRPr="002653F8">
        <w:rPr>
          <w:rFonts w:cstheme="minorHAnsi"/>
          <w:color w:val="2E74B5" w:themeColor="accent1" w:themeShade="BF"/>
          <w:lang w:val="en-US"/>
        </w:rPr>
        <w:t xml:space="preserve">large </w:t>
      </w:r>
      <w:r w:rsidR="00912404">
        <w:rPr>
          <w:rFonts w:cstheme="minorHAnsi"/>
          <w:color w:val="2E74B5" w:themeColor="accent1" w:themeShade="BF"/>
          <w:lang w:val="en-US"/>
        </w:rPr>
        <w:t xml:space="preserve">to </w:t>
      </w:r>
      <w:r w:rsidR="00912404" w:rsidRPr="00912404">
        <w:rPr>
          <w:rFonts w:cstheme="minorHAnsi"/>
          <w:color w:val="2E74B5" w:themeColor="accent1" w:themeShade="BF"/>
          <w:lang w:val="en-US"/>
        </w:rPr>
        <w:t>correspond to</w:t>
      </w:r>
      <w:r w:rsidR="002653F8" w:rsidRPr="002653F8">
        <w:rPr>
          <w:rFonts w:cstheme="minorHAnsi"/>
          <w:color w:val="2E74B5" w:themeColor="accent1" w:themeShade="BF"/>
          <w:lang w:val="en-US"/>
        </w:rPr>
        <w:t xml:space="preserve"> other blood cells, </w:t>
      </w:r>
      <w:r w:rsidR="002653F8">
        <w:rPr>
          <w:rFonts w:cstheme="minorHAnsi"/>
          <w:color w:val="2E74B5" w:themeColor="accent1" w:themeShade="BF"/>
          <w:lang w:val="en-US"/>
        </w:rPr>
        <w:t xml:space="preserve">2) </w:t>
      </w:r>
      <w:r w:rsidRPr="00D4089F">
        <w:rPr>
          <w:rFonts w:cstheme="minorHAnsi"/>
          <w:color w:val="2E74B5" w:themeColor="accent1" w:themeShade="BF"/>
          <w:lang w:val="en-GB"/>
        </w:rPr>
        <w:t xml:space="preserve">the </w:t>
      </w:r>
      <w:r w:rsidRPr="002653F8">
        <w:rPr>
          <w:rFonts w:cstheme="minorHAnsi"/>
          <w:color w:val="2E74B5" w:themeColor="accent1" w:themeShade="BF"/>
          <w:lang w:val="en-US"/>
        </w:rPr>
        <w:t>multilob</w:t>
      </w:r>
      <w:r w:rsidR="00346B6B">
        <w:rPr>
          <w:rFonts w:cstheme="minorHAnsi"/>
          <w:color w:val="2E74B5" w:themeColor="accent1" w:themeShade="BF"/>
          <w:lang w:val="en-US"/>
        </w:rPr>
        <w:t>ulat</w:t>
      </w:r>
      <w:r w:rsidRPr="002653F8">
        <w:rPr>
          <w:rFonts w:cstheme="minorHAnsi"/>
          <w:color w:val="2E74B5" w:themeColor="accent1" w:themeShade="BF"/>
          <w:lang w:val="en-US"/>
        </w:rPr>
        <w:t>ed shape of their nuclei, which is a distinctive c</w:t>
      </w:r>
      <w:r w:rsidR="002653F8" w:rsidRPr="002653F8">
        <w:rPr>
          <w:rFonts w:cstheme="minorHAnsi"/>
          <w:color w:val="2E74B5" w:themeColor="accent1" w:themeShade="BF"/>
          <w:lang w:val="en-US"/>
        </w:rPr>
        <w:t xml:space="preserve">haracteristic of </w:t>
      </w:r>
      <w:r w:rsidR="00D3469A">
        <w:rPr>
          <w:rFonts w:cstheme="minorHAnsi"/>
          <w:color w:val="2E74B5" w:themeColor="accent1" w:themeShade="BF"/>
          <w:lang w:val="en-US"/>
        </w:rPr>
        <w:t>MKs</w:t>
      </w:r>
      <w:r w:rsidR="00D3469A" w:rsidRPr="002653F8">
        <w:rPr>
          <w:rFonts w:cstheme="minorHAnsi"/>
          <w:color w:val="2E74B5" w:themeColor="accent1" w:themeShade="BF"/>
          <w:lang w:val="en-US"/>
        </w:rPr>
        <w:t xml:space="preserve"> </w:t>
      </w:r>
      <w:r w:rsidR="002653F8" w:rsidRPr="002653F8">
        <w:rPr>
          <w:rFonts w:cstheme="minorHAnsi"/>
          <w:color w:val="2E74B5" w:themeColor="accent1" w:themeShade="BF"/>
          <w:lang w:val="en-US"/>
        </w:rPr>
        <w:t>an</w:t>
      </w:r>
      <w:r w:rsidR="002653F8">
        <w:rPr>
          <w:rFonts w:cstheme="minorHAnsi"/>
          <w:color w:val="2E74B5" w:themeColor="accent1" w:themeShade="BF"/>
          <w:lang w:val="en-US"/>
        </w:rPr>
        <w:t xml:space="preserve">d 3) </w:t>
      </w:r>
      <w:r w:rsidR="00912404" w:rsidRPr="00912404">
        <w:rPr>
          <w:rFonts w:cstheme="minorHAnsi"/>
          <w:color w:val="2E74B5" w:themeColor="accent1" w:themeShade="BF"/>
          <w:lang w:val="en-US"/>
        </w:rPr>
        <w:t>the fact that</w:t>
      </w:r>
      <w:r w:rsidR="00912404">
        <w:rPr>
          <w:rFonts w:cstheme="minorHAnsi"/>
          <w:color w:val="2E74B5" w:themeColor="accent1" w:themeShade="BF"/>
          <w:lang w:val="en-US"/>
        </w:rPr>
        <w:t xml:space="preserve"> </w:t>
      </w:r>
      <w:r w:rsidR="002653F8" w:rsidRPr="002653F8">
        <w:rPr>
          <w:rFonts w:cstheme="minorHAnsi"/>
          <w:color w:val="2E74B5" w:themeColor="accent1" w:themeShade="BF"/>
          <w:lang w:val="en-US"/>
        </w:rPr>
        <w:t>we observe only few cells with this size and aspect, which is consistent with the small proportion of immature MKs located in the bone marrow (and in contradiction with the large proportion of other blood cells).</w:t>
      </w:r>
      <w:r w:rsidR="00C540D2" w:rsidRPr="002653F8">
        <w:rPr>
          <w:rFonts w:cstheme="minorHAnsi"/>
          <w:color w:val="2E74B5" w:themeColor="accent1" w:themeShade="BF"/>
          <w:lang w:val="en-US"/>
        </w:rPr>
        <w:t xml:space="preserve"> </w:t>
      </w:r>
      <w:r w:rsidR="002653F8" w:rsidRPr="002653F8">
        <w:rPr>
          <w:rFonts w:cstheme="minorHAnsi"/>
          <w:color w:val="2E74B5" w:themeColor="accent1" w:themeShade="BF"/>
          <w:lang w:val="en-GB"/>
        </w:rPr>
        <w:t xml:space="preserve">These points are </w:t>
      </w:r>
      <w:r w:rsidR="00A5290A" w:rsidRPr="002653F8">
        <w:rPr>
          <w:rFonts w:cstheme="minorHAnsi"/>
          <w:color w:val="2E74B5" w:themeColor="accent1" w:themeShade="BF"/>
          <w:lang w:val="en-GB"/>
        </w:rPr>
        <w:t xml:space="preserve">now mentioned in representative results section, </w:t>
      </w:r>
      <w:r w:rsidR="00E8053B">
        <w:rPr>
          <w:rFonts w:cstheme="minorHAnsi"/>
          <w:color w:val="2E74B5" w:themeColor="accent1" w:themeShade="BF"/>
          <w:lang w:val="en-GB"/>
        </w:rPr>
        <w:t>lines 163-167, 170</w:t>
      </w:r>
      <w:r w:rsidR="007A7E16" w:rsidRPr="002653F8">
        <w:rPr>
          <w:rFonts w:cstheme="minorHAnsi"/>
          <w:color w:val="2E74B5" w:themeColor="accent1" w:themeShade="BF"/>
          <w:lang w:val="en-GB"/>
        </w:rPr>
        <w:t>.</w:t>
      </w:r>
    </w:p>
    <w:p w14:paraId="21CDC259" w14:textId="77777777" w:rsidR="00BA2D12" w:rsidRDefault="00ED1B03" w:rsidP="00BA2D12">
      <w:pPr>
        <w:spacing w:after="0"/>
        <w:rPr>
          <w:lang w:val="en-GB"/>
        </w:rPr>
      </w:pPr>
      <w:r w:rsidRPr="0050056F">
        <w:rPr>
          <w:highlight w:val="yellow"/>
          <w:lang w:val="en-GB"/>
        </w:rPr>
        <w:br/>
      </w:r>
      <w:r w:rsidRPr="0050056F">
        <w:rPr>
          <w:lang w:val="en-GB"/>
        </w:rPr>
        <w:t>2. Can the authors track the cells whether process-</w:t>
      </w:r>
      <w:r w:rsidRPr="00ED1B03">
        <w:rPr>
          <w:lang w:val="en-GB"/>
        </w:rPr>
        <w:t xml:space="preserve">bearing MKs were derived from large MKs? </w:t>
      </w:r>
      <w:r w:rsidR="00BA2D12" w:rsidRPr="00BA2D12">
        <w:rPr>
          <w:lang w:val="en-GB"/>
        </w:rPr>
        <w:t>Did the MKs with thick processes differentiate into MKs with thin proplatelet processes?</w:t>
      </w:r>
    </w:p>
    <w:p w14:paraId="6DA581A2" w14:textId="229FF38E" w:rsidR="001E58B3" w:rsidRPr="001E58B3" w:rsidRDefault="001E58B3" w:rsidP="00BA2D12">
      <w:pPr>
        <w:spacing w:after="0"/>
        <w:rPr>
          <w:color w:val="2E74B5" w:themeColor="accent1" w:themeShade="BF"/>
          <w:lang w:val="en-GB"/>
        </w:rPr>
      </w:pPr>
      <w:r w:rsidRPr="001E58B3">
        <w:rPr>
          <w:color w:val="2E74B5" w:themeColor="accent1" w:themeShade="BF"/>
          <w:lang w:val="en-GB"/>
        </w:rPr>
        <w:t>It is possible to follow over time the fate of large round MKs and thus visualize their ability to form proplatelets. Similarly, we tracked MKs with thick extensions over a period of 3 hours and noted that the thick extensions could either detach from the cell body and branch into pro</w:t>
      </w:r>
      <w:r w:rsidR="00D4089F">
        <w:rPr>
          <w:color w:val="2E74B5" w:themeColor="accent1" w:themeShade="BF"/>
          <w:lang w:val="en-GB"/>
        </w:rPr>
        <w:t>platelet</w:t>
      </w:r>
      <w:r w:rsidRPr="001E58B3">
        <w:rPr>
          <w:color w:val="2E74B5" w:themeColor="accent1" w:themeShade="BF"/>
          <w:lang w:val="en-GB"/>
        </w:rPr>
        <w:t>s, or retract to re-form large round MKs. This is now explain</w:t>
      </w:r>
      <w:r w:rsidR="00E8053B">
        <w:rPr>
          <w:color w:val="2E74B5" w:themeColor="accent1" w:themeShade="BF"/>
          <w:lang w:val="en-GB"/>
        </w:rPr>
        <w:t>ed lines 181-184</w:t>
      </w:r>
    </w:p>
    <w:p w14:paraId="016B11A0" w14:textId="77777777" w:rsidR="001A7D20" w:rsidRDefault="00ED1B03" w:rsidP="00BA2D12">
      <w:pPr>
        <w:spacing w:after="0"/>
        <w:rPr>
          <w:lang w:val="en-GB"/>
        </w:rPr>
      </w:pPr>
      <w:r w:rsidRPr="00A913C5">
        <w:rPr>
          <w:lang w:val="en-GB"/>
        </w:rPr>
        <w:br/>
      </w:r>
      <w:r w:rsidRPr="00A913C5">
        <w:rPr>
          <w:lang w:val="en-GB"/>
        </w:rPr>
        <w:br/>
      </w:r>
      <w:r w:rsidRPr="00640772">
        <w:rPr>
          <w:lang w:val="en-GB"/>
        </w:rPr>
        <w:t>Minor Concerns:</w:t>
      </w:r>
      <w:r w:rsidRPr="00640772">
        <w:rPr>
          <w:lang w:val="en-GB"/>
        </w:rPr>
        <w:br/>
        <w:t>How many MKs can typically be derived from a marrow cylinder?</w:t>
      </w:r>
    </w:p>
    <w:p w14:paraId="038FDEA7" w14:textId="067AA481" w:rsidR="00640772" w:rsidRPr="001E58B3" w:rsidRDefault="001E58B3" w:rsidP="001A7D20">
      <w:pPr>
        <w:spacing w:after="0"/>
        <w:jc w:val="both"/>
        <w:rPr>
          <w:color w:val="2E74B5" w:themeColor="accent1" w:themeShade="BF"/>
          <w:highlight w:val="yellow"/>
          <w:lang w:val="en-GB"/>
        </w:rPr>
      </w:pPr>
      <w:r w:rsidRPr="001E58B3">
        <w:rPr>
          <w:color w:val="2E74B5" w:themeColor="accent1" w:themeShade="BF"/>
          <w:lang w:val="en-GB"/>
        </w:rPr>
        <w:t>Typically,</w:t>
      </w:r>
      <w:r w:rsidR="001A7D20" w:rsidRPr="001E58B3">
        <w:rPr>
          <w:color w:val="2E74B5" w:themeColor="accent1" w:themeShade="BF"/>
          <w:lang w:val="en-GB"/>
        </w:rPr>
        <w:t xml:space="preserve"> after 3 hours, between 8,3 and 11,5 megakaryocytes </w:t>
      </w:r>
      <w:r w:rsidRPr="001E58B3">
        <w:rPr>
          <w:color w:val="2E74B5" w:themeColor="accent1" w:themeShade="BF"/>
          <w:lang w:val="en-GB"/>
        </w:rPr>
        <w:t xml:space="preserve">can be </w:t>
      </w:r>
      <w:r w:rsidR="001A7D20" w:rsidRPr="001E58B3">
        <w:rPr>
          <w:color w:val="2E74B5" w:themeColor="accent1" w:themeShade="BF"/>
          <w:lang w:val="en-GB"/>
        </w:rPr>
        <w:t>observed per section.</w:t>
      </w:r>
      <w:r w:rsidR="00A913C5" w:rsidRPr="001E58B3">
        <w:rPr>
          <w:color w:val="2E74B5" w:themeColor="accent1" w:themeShade="BF"/>
          <w:lang w:val="en-GB"/>
        </w:rPr>
        <w:t xml:space="preserve"> </w:t>
      </w:r>
      <w:r w:rsidR="00D342CB" w:rsidRPr="001E58B3">
        <w:rPr>
          <w:color w:val="2E74B5" w:themeColor="accent1" w:themeShade="BF"/>
          <w:lang w:val="en-GB"/>
        </w:rPr>
        <w:t xml:space="preserve">This </w:t>
      </w:r>
      <w:r w:rsidRPr="001E58B3">
        <w:rPr>
          <w:color w:val="2E74B5" w:themeColor="accent1" w:themeShade="BF"/>
          <w:lang w:val="en-GB"/>
        </w:rPr>
        <w:t xml:space="preserve">is </w:t>
      </w:r>
      <w:r w:rsidR="00D342CB" w:rsidRPr="001E58B3">
        <w:rPr>
          <w:color w:val="2E74B5" w:themeColor="accent1" w:themeShade="BF"/>
          <w:lang w:val="en-GB"/>
        </w:rPr>
        <w:t xml:space="preserve">now </w:t>
      </w:r>
      <w:r w:rsidR="00D4089F">
        <w:rPr>
          <w:color w:val="2E74B5" w:themeColor="accent1" w:themeShade="BF"/>
          <w:lang w:val="en-GB"/>
        </w:rPr>
        <w:t>mentio</w:t>
      </w:r>
      <w:r w:rsidRPr="001E58B3">
        <w:rPr>
          <w:color w:val="2E74B5" w:themeColor="accent1" w:themeShade="BF"/>
          <w:lang w:val="en-GB"/>
        </w:rPr>
        <w:t>ned</w:t>
      </w:r>
      <w:r w:rsidR="00D342CB" w:rsidRPr="001E58B3">
        <w:rPr>
          <w:color w:val="2E74B5" w:themeColor="accent1" w:themeShade="BF"/>
          <w:lang w:val="en-GB"/>
        </w:rPr>
        <w:t xml:space="preserve"> in Figure</w:t>
      </w:r>
      <w:r w:rsidR="009E4451">
        <w:rPr>
          <w:color w:val="2E74B5" w:themeColor="accent1" w:themeShade="BF"/>
          <w:lang w:val="en-GB"/>
        </w:rPr>
        <w:t xml:space="preserve"> 2</w:t>
      </w:r>
      <w:r w:rsidR="00D342CB" w:rsidRPr="001E58B3">
        <w:rPr>
          <w:color w:val="2E74B5" w:themeColor="accent1" w:themeShade="BF"/>
          <w:lang w:val="en-GB"/>
        </w:rPr>
        <w:t xml:space="preserve"> and </w:t>
      </w:r>
      <w:r w:rsidR="00A5290A" w:rsidRPr="001E58B3">
        <w:rPr>
          <w:color w:val="2E74B5" w:themeColor="accent1" w:themeShade="BF"/>
          <w:lang w:val="en-GB"/>
        </w:rPr>
        <w:t>table legends sections (line</w:t>
      </w:r>
      <w:r w:rsidR="007A7E16" w:rsidRPr="001E58B3">
        <w:rPr>
          <w:color w:val="2E74B5" w:themeColor="accent1" w:themeShade="BF"/>
          <w:lang w:val="en-GB"/>
        </w:rPr>
        <w:t>s</w:t>
      </w:r>
      <w:r w:rsidR="00A5290A" w:rsidRPr="001E58B3">
        <w:rPr>
          <w:color w:val="2E74B5" w:themeColor="accent1" w:themeShade="BF"/>
          <w:lang w:val="en-GB"/>
        </w:rPr>
        <w:t xml:space="preserve"> 209-211</w:t>
      </w:r>
      <w:r w:rsidR="00D342CB" w:rsidRPr="001E58B3">
        <w:rPr>
          <w:color w:val="2E74B5" w:themeColor="accent1" w:themeShade="BF"/>
          <w:lang w:val="en-GB"/>
        </w:rPr>
        <w:t>).</w:t>
      </w:r>
    </w:p>
    <w:sectPr w:rsidR="00640772" w:rsidRPr="001E5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ED1B03"/>
    <w:rsid w:val="00006DAF"/>
    <w:rsid w:val="000D04B9"/>
    <w:rsid w:val="001A7D20"/>
    <w:rsid w:val="001B796F"/>
    <w:rsid w:val="001E0D8D"/>
    <w:rsid w:val="001E58B3"/>
    <w:rsid w:val="00203FC9"/>
    <w:rsid w:val="002653F8"/>
    <w:rsid w:val="002D4E7F"/>
    <w:rsid w:val="0030224E"/>
    <w:rsid w:val="0034043D"/>
    <w:rsid w:val="00346B6B"/>
    <w:rsid w:val="00353E01"/>
    <w:rsid w:val="00362B4F"/>
    <w:rsid w:val="00364D6A"/>
    <w:rsid w:val="00372C5D"/>
    <w:rsid w:val="00397F80"/>
    <w:rsid w:val="003A556F"/>
    <w:rsid w:val="003B65E3"/>
    <w:rsid w:val="003C1257"/>
    <w:rsid w:val="00401CD8"/>
    <w:rsid w:val="00494628"/>
    <w:rsid w:val="00495976"/>
    <w:rsid w:val="004D0251"/>
    <w:rsid w:val="004E63BD"/>
    <w:rsid w:val="0050056F"/>
    <w:rsid w:val="00506F89"/>
    <w:rsid w:val="00511295"/>
    <w:rsid w:val="00536DCA"/>
    <w:rsid w:val="005374A4"/>
    <w:rsid w:val="005B4AFB"/>
    <w:rsid w:val="005D4EAA"/>
    <w:rsid w:val="005E2431"/>
    <w:rsid w:val="005F6C83"/>
    <w:rsid w:val="00640772"/>
    <w:rsid w:val="00655902"/>
    <w:rsid w:val="006C6FFA"/>
    <w:rsid w:val="006D03CF"/>
    <w:rsid w:val="006D47CA"/>
    <w:rsid w:val="006F2405"/>
    <w:rsid w:val="00767D28"/>
    <w:rsid w:val="00771539"/>
    <w:rsid w:val="007A7E16"/>
    <w:rsid w:val="007C32D5"/>
    <w:rsid w:val="00845FF8"/>
    <w:rsid w:val="00895C74"/>
    <w:rsid w:val="008A249B"/>
    <w:rsid w:val="008C5CEA"/>
    <w:rsid w:val="008D6041"/>
    <w:rsid w:val="008E5233"/>
    <w:rsid w:val="00912404"/>
    <w:rsid w:val="00945315"/>
    <w:rsid w:val="00952CFC"/>
    <w:rsid w:val="0095787D"/>
    <w:rsid w:val="009B05F0"/>
    <w:rsid w:val="009E4451"/>
    <w:rsid w:val="00A30C80"/>
    <w:rsid w:val="00A5290A"/>
    <w:rsid w:val="00A86F1A"/>
    <w:rsid w:val="00A913C5"/>
    <w:rsid w:val="00AA09DE"/>
    <w:rsid w:val="00AC19BF"/>
    <w:rsid w:val="00B12640"/>
    <w:rsid w:val="00B31EBE"/>
    <w:rsid w:val="00B57BFE"/>
    <w:rsid w:val="00B64306"/>
    <w:rsid w:val="00B93682"/>
    <w:rsid w:val="00BA2D12"/>
    <w:rsid w:val="00BC783A"/>
    <w:rsid w:val="00BD2DDB"/>
    <w:rsid w:val="00BE7F48"/>
    <w:rsid w:val="00C540D2"/>
    <w:rsid w:val="00C93906"/>
    <w:rsid w:val="00D02C0D"/>
    <w:rsid w:val="00D27320"/>
    <w:rsid w:val="00D342CB"/>
    <w:rsid w:val="00D3469A"/>
    <w:rsid w:val="00D4089F"/>
    <w:rsid w:val="00D54DEC"/>
    <w:rsid w:val="00D66B46"/>
    <w:rsid w:val="00DA4979"/>
    <w:rsid w:val="00DD6860"/>
    <w:rsid w:val="00DF6527"/>
    <w:rsid w:val="00E1192D"/>
    <w:rsid w:val="00E26904"/>
    <w:rsid w:val="00E62137"/>
    <w:rsid w:val="00E638F1"/>
    <w:rsid w:val="00E8053B"/>
    <w:rsid w:val="00ED1B03"/>
    <w:rsid w:val="00F05984"/>
    <w:rsid w:val="00F46FFF"/>
    <w:rsid w:val="00F663EA"/>
    <w:rsid w:val="00F84D6A"/>
    <w:rsid w:val="00FA250A"/>
    <w:rsid w:val="00FD78F8"/>
    <w:rsid w:val="00FE05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A5FB"/>
  <w15:chartTrackingRefBased/>
  <w15:docId w15:val="{FCC6EB43-1D67-4B8E-940B-5567E3D6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D1B03"/>
    <w:rPr>
      <w:b/>
      <w:bCs/>
    </w:rPr>
  </w:style>
  <w:style w:type="character" w:styleId="Marquedecommentaire">
    <w:name w:val="annotation reference"/>
    <w:basedOn w:val="Policepardfaut"/>
    <w:uiPriority w:val="99"/>
    <w:semiHidden/>
    <w:unhideWhenUsed/>
    <w:rsid w:val="00A30C80"/>
    <w:rPr>
      <w:sz w:val="16"/>
      <w:szCs w:val="16"/>
    </w:rPr>
  </w:style>
  <w:style w:type="paragraph" w:styleId="Commentaire">
    <w:name w:val="annotation text"/>
    <w:basedOn w:val="Normal"/>
    <w:link w:val="CommentaireCar"/>
    <w:uiPriority w:val="99"/>
    <w:semiHidden/>
    <w:unhideWhenUsed/>
    <w:rsid w:val="00A30C80"/>
    <w:pPr>
      <w:spacing w:line="240" w:lineRule="auto"/>
    </w:pPr>
    <w:rPr>
      <w:sz w:val="20"/>
      <w:szCs w:val="20"/>
    </w:rPr>
  </w:style>
  <w:style w:type="character" w:customStyle="1" w:styleId="CommentaireCar">
    <w:name w:val="Commentaire Car"/>
    <w:basedOn w:val="Policepardfaut"/>
    <w:link w:val="Commentaire"/>
    <w:uiPriority w:val="99"/>
    <w:semiHidden/>
    <w:rsid w:val="00A30C80"/>
    <w:rPr>
      <w:sz w:val="20"/>
      <w:szCs w:val="20"/>
    </w:rPr>
  </w:style>
  <w:style w:type="paragraph" w:styleId="Objetducommentaire">
    <w:name w:val="annotation subject"/>
    <w:basedOn w:val="Commentaire"/>
    <w:next w:val="Commentaire"/>
    <w:link w:val="ObjetducommentaireCar"/>
    <w:uiPriority w:val="99"/>
    <w:semiHidden/>
    <w:unhideWhenUsed/>
    <w:rsid w:val="00A30C80"/>
    <w:rPr>
      <w:b/>
      <w:bCs/>
    </w:rPr>
  </w:style>
  <w:style w:type="character" w:customStyle="1" w:styleId="ObjetducommentaireCar">
    <w:name w:val="Objet du commentaire Car"/>
    <w:basedOn w:val="CommentaireCar"/>
    <w:link w:val="Objetducommentaire"/>
    <w:uiPriority w:val="99"/>
    <w:semiHidden/>
    <w:rsid w:val="00A30C80"/>
    <w:rPr>
      <w:b/>
      <w:bCs/>
      <w:sz w:val="20"/>
      <w:szCs w:val="20"/>
    </w:rPr>
  </w:style>
  <w:style w:type="paragraph" w:styleId="Textedebulles">
    <w:name w:val="Balloon Text"/>
    <w:basedOn w:val="Normal"/>
    <w:link w:val="TextedebullesCar"/>
    <w:uiPriority w:val="99"/>
    <w:semiHidden/>
    <w:unhideWhenUsed/>
    <w:rsid w:val="00A30C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0C80"/>
    <w:rPr>
      <w:rFonts w:ascii="Segoe UI" w:hAnsi="Segoe UI" w:cs="Segoe UI"/>
      <w:sz w:val="18"/>
      <w:szCs w:val="18"/>
    </w:rPr>
  </w:style>
  <w:style w:type="paragraph" w:styleId="NormalWeb">
    <w:name w:val="Normal (Web)"/>
    <w:basedOn w:val="Normal"/>
    <w:uiPriority w:val="99"/>
    <w:unhideWhenUsed/>
    <w:rsid w:val="0034043D"/>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7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1741</Words>
  <Characters>9579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EFS GEST</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Guinard Ines</dc:creator>
  <cp:keywords/>
  <dc:description/>
  <cp:lastModifiedBy>Guinard Ines</cp:lastModifiedBy>
  <cp:revision>3</cp:revision>
  <dcterms:created xsi:type="dcterms:W3CDTF">2021-03-04T08:12:00Z</dcterms:created>
  <dcterms:modified xsi:type="dcterms:W3CDTF">2021-03-04T17:18:00Z</dcterms:modified>
</cp:coreProperties>
</file>