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Induction of Human Dental Pulp Stem Cells Toward Pancreatic Lineages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Suryo Kuncorojakti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Watchareewan Rodprasert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 Dang Quynh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Thanaphum Osathanon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Prasit Pavasant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Chenphop Sawangmake</w:t>
      </w:r>
      <w:r>
        <w:rPr>
          <w:rFonts w:ascii="Calibri" w:hAnsi="Calibri" w:cs="Calibri" w:eastAsia="Calibri"/>
          <w:color w:val="auto"/>
          <w:spacing w:val="0"/>
          <w:position w:val="0"/>
          <w:sz w:val="24"/>
          <w:shd w:fill="auto" w:val="clear"/>
          <w:vertAlign w:val="superscript"/>
        </w:rPr>
        <w:t xml:space="preserve">1,5,6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Veterinary Stem Cell and Bioengineering Innovation Center (VSCBIC), Veterinary Pharmacology and Stem Cell Research Laboratory, Faculty of Veterinary Science,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Veterinary Anatomy, Faculty of Veterinary Medicine, Universitas Airlangga, Surabaya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East Java, Indonesia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Anatomy, Faculty of Dentistry,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of Excellence in Regenerative Dentistry, Faculty of Dentistry,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Veterinary Stem Cell and Bioengineering Research Unit, Faculty of Veterinary Science,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Pharmacology, Faculty of Veterinary Science, Chulalongkorn University, Bangkok, Thailand</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Suryo Kuncorojakti</w:t>
        <w:tab/>
        <w:tab/>
        <w:t xml:space="preserve">(suryokuncorojakti@fkh.unair.ac.id)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Watchareewan Rodprasert</w:t>
        <w:tab/>
        <w:t xml:space="preserve">(watchareewan.r@gmail.com)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 Dang Quynh</w:t>
        <w:tab/>
        <w:tab/>
        <w:t xml:space="preserve">(ledangquynhbio@gmail.com)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Thanaphum Osathanon</w:t>
        <w:tab/>
        <w:t xml:space="preserve">(thanaphum.o@chula.ac.th)</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Prasit Pavasant</w:t>
        <w:tab/>
        <w:tab/>
        <w:t xml:space="preserve">(prasit215@gmail.com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Chenphop Sawangmake</w:t>
        <w:tab/>
        <w:t xml:space="preserve">(chenphop.s@chula.ac.th:chenphop@gmail.com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insulin-producing cells, IPCs, pancreatic lineages, human dental pulp stem cells, hDPSCs, diabetes mellitus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comparison between two different induction protocols for differentiating human dental pulp stem cells (hDPSCs) toward pancreatic lineages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integrative protocol and the non-integrative protocol. The integrative protocol generates more insulin producing cells (IPCs).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of 2000, the success of pancreatic islet transplantation using the Edmonton protocol to treat type I diabetes mellitus still faced some obstacles. These include the limited number of cadaveric pancreas donors and the long-term use of immunosuppressants. Mesenchymal stem cells (MSCs) have been considered to be a potential candidate as an alternative source of islet-like cell generation. Our previous reports have successfully illustrated the establishment of induction protocols for differentiating human dental pulp stem cells (hDPSCs) to insulin-producing cells (IPCs). However, the induction efficiency varied greatly. In this paper, we demonstrate the comparison of hDPSCs pancreatic induction efficiency via integrative (microenvironmental and genetic manipulation) and non-integrative (microenvironmental manipulation) induction protocols for delivering hDPSC-derived IPCs (hDPSC-IPCs). The results suggest distinct induction efficiency for both the induction approaches in terms of 3-dimensional colony structure, yield, pancreatic mRNA markers, and functional property upon multi-dosage glucose challenge. These findings will support the future establishment of a clinically applicable IPCs and pancreatic lineage production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Diabetes mellitus is an ongoing global concern. An International Diabetes Federation (IDF) report estimated that the global prevalence of diabetes would increase from 151 million in 2000 to 415 million in 2015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latest epidemiology-based study has predicted that the estimated worldwide diabetes prevalence will increase from 451 million in 2017 to 693 million in 2045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success of pancreatic islet transplantation using the Edmonton protocol was first demonstrated in 2000, when it was shown to maintain endogenous insulin production and stabilize the normoglycemic condition in type I diabetic patients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application of the Edmonton protocol still faces a bottleneck problem. The limited number of cadaveric pancreas donors is the main issue since each patient with type I diabetes requires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islet donors. Furthermore, the long-term use of immunosuppressive agents may cause life-threatening side effects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To address this, the development of a potential therapy for diabetes in the past decade has mainly focused on the generation of effective insulin-producing cells (IPCs) from various sources of stem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cells became an alternative treatment in many diseases, including diabetes type I, which is caused by the loss of beta-cells. Transplantation of IPCs is the new promising method for controlling blood glucose in these patients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Two approaches for generating IPCs, integrative and non-integrative induction protocols, are presented in this article. The induction protocol mimicked the natural pancreatic developmental process to get the matured and functional IPCs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hDPSCs were characterized by flow cytometry for MSC surface marker detection, multilineage differentiation potential, and RT-qPCR to determine the expression of stemness property and proliferative gene markers (data not shown)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hDPSCs were induced toward definitive endoderm, pancreatic endoderm, pancreatic endocrine, and pancreatic beta-cells or IPCs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induce the cells, a three-step induction approach was used as a backbone protocol. This protocol was called a non-integrative protocol. In the case of integrative protocol, the essential pancreatic transcription factor,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was overexpressed in hDPSCs followed by the induction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overexpressed </w:t>
      </w:r>
      <w:r>
        <w:rPr>
          <w:rFonts w:ascii="Calibri" w:hAnsi="Calibri" w:cs="Calibri" w:eastAsia="Calibri"/>
          <w:i/>
          <w:color w:val="auto"/>
          <w:spacing w:val="0"/>
          <w:position w:val="0"/>
          <w:sz w:val="24"/>
          <w:shd w:fill="auto" w:val="clear"/>
        </w:rPr>
        <w:t xml:space="preserve">PDX1 </w:t>
      </w:r>
      <w:r>
        <w:rPr>
          <w:rFonts w:ascii="Calibri" w:hAnsi="Calibri" w:cs="Calibri" w:eastAsia="Calibri"/>
          <w:color w:val="auto"/>
          <w:spacing w:val="0"/>
          <w:position w:val="0"/>
          <w:sz w:val="24"/>
          <w:shd w:fill="auto" w:val="clear"/>
        </w:rPr>
        <w:t xml:space="preserve">in hDPSCs using a three-step differentiation protocol. The difference between non-integrative and integrative protocol is the overexpression of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in integrative protocol and not in the non-integrative protocol. The pancreatic differentiation was compared between the integrative and non-integrative protocols in this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performed in accordance with the Declaration of Helsinki and approved by the Human Research Ethics Committee, Faculty of Dentistry, Chulalongkorn University. Human DPSCs (hDPSCs) were isolated from human dental pulp tissues extracted from both premolars and molars due to wisdom teeth issues. Informed consent was obtained from the patients under an approved protocol (HREC-DCU 2018/054).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Integrative induction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lentiviral vector carrying </w:t>
      </w:r>
      <w:r>
        <w:rPr>
          <w:rFonts w:ascii="Calibri" w:hAnsi="Calibri" w:cs="Calibri" w:eastAsia="Calibri"/>
          <w:i/>
          <w:color w:val="auto"/>
          <w:spacing w:val="0"/>
          <w:position w:val="0"/>
          <w:sz w:val="24"/>
          <w:shd w:fill="auto" w:val="clear"/>
        </w:rPr>
        <w:t xml:space="preserve">PDX1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human embryonic kidney (HEK) 293FT cells for viral packaging. Culture and maintain these cells in Dulbecco’s Modified Eagle Medium (DMEM) supplemented with 10% fetal bovine serum (FBS), 1% L-glutamine, and 1% Antibiotic-Antimycotic.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Generate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-lentivirus vectors by co-transfection of 10 &amp;#181;g each of the packaging and envelope plasmids and 20 &amp;#181;g of the targeted gene plasmid into HEK293FT cells using calcium phosphate transfection system, e.g., </w:t>
      </w:r>
      <w:r>
        <w:rPr>
          <w:rFonts w:ascii="Calibri" w:hAnsi="Calibri" w:cs="Calibri" w:eastAsia="Calibri"/>
          <w:i/>
          <w:color w:val="auto"/>
          <w:spacing w:val="0"/>
          <w:position w:val="0"/>
          <w:sz w:val="24"/>
          <w:shd w:fill="auto" w:val="clear"/>
        </w:rPr>
        <w:t xml:space="preserve">psPAX2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pMD2.</w:t>
      </w:r>
      <w:r>
        <w:rPr>
          <w:rFonts w:ascii="Calibri" w:hAnsi="Calibri" w:cs="Calibri" w:eastAsia="Calibri"/>
          <w:color w:val="auto"/>
          <w:spacing w:val="0"/>
          <w:position w:val="0"/>
          <w:sz w:val="24"/>
          <w:shd w:fill="auto" w:val="clear"/>
        </w:rPr>
        <w:t xml:space="preserve">G, and human </w:t>
      </w:r>
      <w:r>
        <w:rPr>
          <w:rFonts w:ascii="Calibri" w:hAnsi="Calibri" w:cs="Calibri" w:eastAsia="Calibri"/>
          <w:i/>
          <w:color w:val="auto"/>
          <w:spacing w:val="0"/>
          <w:position w:val="0"/>
          <w:sz w:val="24"/>
          <w:shd w:fill="auto" w:val="clear"/>
        </w:rPr>
        <w:t xml:space="preserve">pWPT-PDX1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Ensure that the cells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during the time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Collect the medium containing lentiviral particles at 48 and 72 h after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Filter the collected medium through a 0.45 &amp;#181;m filter; concentrate the viruses with a centrifugal filter at 100 kDa nominal molecular weight cut-off (NMWCO).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overexpression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Use passage 3-5 hDPSC that are 70-80% confluent. Trypsinize and count the cells using a cell counter. Seed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hDPSCs onto a 60 mm tissue culture-treated dish and incubate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24 h later, add fresh virus particles obtained from step 1.1.4 to transduce polybrene pre-treated cells (4 &amp;#181;g/mL polybrene, 30 min under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desired multiplicity of infection (MOI). For example, in this case, MOI used is 20. Maintain the cells in the cell culture incubator for 24 h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After the 24 h infection period, discard the medium containing viral particles. Add fresh culture media and continue growing the cells for 48 h. All cultures are maintained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Check the aggregated morphology of the transfected cells before proceeding to the induction step.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transduction is confirmed by gene expression analysis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cell morphology under a microscope before proceeding to the next steps.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Harvest and proceed to a three-step induction protocol (step 1.3) as a microenvironmental induction approach.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Three-step induction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three-step induction protocol resulted in the series of pancreatic differentiation of hDPSCs to definitive endoderm, pancreatic endoderm/endocrine, and pancreatic beta-cells/IPCs using serum-free medium (SFM)-A, SFM-B, and SFM-C,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Discard the culture medium, and then wash the transduced-hDPSCs with 1x phosphate-buffered solution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0.25% trypsin-EDTA solution to the cells and incubate for 1 min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Add the culture medium to stop the trypsin activity and gently flush the cells to get the single cell suspension. Count the cells and aliquot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each collecting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Centrifuge the cell suspension at 468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(Relative Centrifugal Force: RCF), 4 &amp;#176;C, for 5 min. Discard the supernatant and save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Resuspend the pellet in 3 mL of first pancreatic induction medium, i.e., serum-free medium (SFM)-A. Seed the cells on a low attachment culture plate (60 mm). Maintain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 days.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cells morphology under an inverted microscope before proceeding to the next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Remove SFM-A and add 3 mL of the second induction medium, i.e., SFM-B. Maintain the cells for the next 2 days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cells morphology under an inverted microscope before proceeding to the next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Remove SFM-B and add 3 mL of the third induction medium, i.e., SFM-C. Maintain the cells for the next 5 days in a cell culture incubator maintained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medium every 48 h. Observe their morphology after 5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induction medium is supplemented with different reagents as described; SFM-A: 1% bovine serum albumin (BSA), 1x insulin-transferrin-selenium (ITS), 4 nM of activin A, 1 nM of sodium butyrate, and 50 &amp;#181;M of beta-mercaptoethanol; SFM-B: 1% BSA, 1x ITS, and 0.3 mM taurine; and SFM C: 1.5% BSA, 1x ITS, 3 mM taurine, 100 nM of glucagon-like peptide (GLP)-1, 1 mM nicotinamide, and 1x non-essential amino acids (NEAAs).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Make sure to check the cell morphology under an inverted microscope after each step. The cells will become more aggregated and float as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Collect cell colonies for further analysis. Check for colony morphology and size. Perform pancreatic gene marker expression analysis and functional analysis (Glucose stimulated C-peptide secretion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Non-integrative induction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non-integrative protocol is the backbone protocol for delivering the IPCs with the three-step induction process as a microenvironmental induction approach</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passage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hDPSCs at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Discard the culture medium and wash hDPSCs with 1x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0.25% trypsin-EDTA solution onto the cells and incubate for 1 min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the culture medium to stop the trypsin activity and gently pipette the cells to obtain the single cell suspension. Count cells and aliquot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each collection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Centrifuge the cell suspension at 468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(RCF), 4 &amp;#176;C,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Resuspend the pellet in SFM-A and seed onto a low attachment culture plate (60 mm). Culture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 days. Check the cell morphology under an inverted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Remove SFM-A, add SFM-B (Day 3) and then maintain the cells for the next 2 days under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Remove SFM-B, add SFM-C (Day 5) and then maintain the cells for the next 5 days under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SFM-C is changed every 48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induction medium is supplemented with different reagents as described; SFM-A: 1% BSA, 1x ITS, 4 nM of activin A, 1 nM of sodium butyrate, and 50 &amp;#181;M of beta-mercaptoethanol; SFM-B: 1% BSA, 1x ITS, and 0.3 mM taurine; and SFM C: 1.5% BSA, 1x ITS, 3 mM taurine, 100 nM of GLP-1, 1 mM nicotinamide, and 1x NEAAs.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Make sure to check the cell morphology under the inverted microscope after each step and at Day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will become more aggregated and will float as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Collect cell colonies for further analysis. Check for colony morphology and size. Perform pancreatic gene marker expression analysis and functional analysis (Glucose stimulated C-peptide secretion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the outcomes of both the induction protocols were compared. The diagrams of both induction protocols are illustrated in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In both the protocols, the evaluation was performed under a light microscope, and images were analyzed with ImageJ. hDPSCs were able to form colony-like structures from the first day of induction in both induction protocols. The colony’s morphology was round and dense, and all colonies floated in the culture vessels throughout the induction period (</w:t>
      </w:r>
      <w:r>
        <w:rPr>
          <w:rFonts w:ascii="Calibri" w:hAnsi="Calibri" w:cs="Calibri" w:eastAsia="Calibri"/>
          <w:b/>
          <w:color w:val="auto"/>
          <w:spacing w:val="0"/>
          <w:position w:val="0"/>
          <w:sz w:val="24"/>
          <w:shd w:fill="auto" w:val="clear"/>
        </w:rPr>
        <w:t xml:space="preserve">Figures 2B,D</w:t>
      </w:r>
      <w:r>
        <w:rPr>
          <w:rFonts w:ascii="Calibri" w:hAnsi="Calibri" w:cs="Calibri" w:eastAsia="Calibri"/>
          <w:color w:val="auto"/>
          <w:spacing w:val="0"/>
          <w:position w:val="0"/>
          <w:sz w:val="24"/>
          <w:shd w:fill="auto" w:val="clear"/>
        </w:rPr>
        <w:t xml:space="preserve">). The total colony count of both protocols was also determined; the result showed that the total colony count in the case of integrative induction protocol was slightly higher compared to the non-integrative induction protocol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However, the difference was not statistically significant. Furthermore, the colony size distribution in both induction protocols was also evaluated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According to our results, small- to medium-size colonies were formed upon the integrative induction, which was important for reducing the necrotic core inside the colony.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gene marker analysis was conducted using RT-qPCR according to our recent publication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Information about the list of primers used in this study is included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mRNA value was presented as a relative mRNA expression by normalized to 18S ribosomal RNA and the control using the formula of 2</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The results of this study revealed that the integrative induction protocol yielded colonies with high expression of late pancreatic markers, including </w:t>
      </w:r>
      <w:r>
        <w:rPr>
          <w:rFonts w:ascii="Calibri" w:hAnsi="Calibri" w:cs="Calibri" w:eastAsia="Calibri"/>
          <w:i/>
          <w:color w:val="auto"/>
          <w:spacing w:val="0"/>
          <w:position w:val="0"/>
          <w:sz w:val="24"/>
          <w:shd w:fill="auto" w:val="clear"/>
        </w:rPr>
        <w:t xml:space="preserve">ISL-1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GLUT-2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INSULIN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GLP-1R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suggesting the differentiation of hDPSCs toward IPCs. The functional evaluation of hDPSC-IPCs was also described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this study. A glucose-stimulating C-peptide secretion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assay was employed using an ELISA kit. The results showed that the integrative and non-integrative induction protocols yielded colonies that were able to secrete C-peptide.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MSC differentiation toward IPCs.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total colony count, and colony size distribution of IPCs using two different protocols. </w:t>
      </w:r>
      <w:r>
        <w:rPr>
          <w:rFonts w:ascii="Calibri" w:hAnsi="Calibri" w:cs="Calibri" w:eastAsia="Calibri"/>
          <w:color w:val="auto"/>
          <w:spacing w:val="0"/>
          <w:position w:val="0"/>
          <w:sz w:val="24"/>
          <w:shd w:fill="auto" w:val="clear"/>
        </w:rPr>
        <w:t xml:space="preserve">Diagram of the integrative protocol by overexpression of essential transcription factor,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followed by three-steep induction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Morphology of transfected hDPSCs in each step of induction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non-integrative as a backbone protocol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Morphology of hDPSC-IPCs using the non-integrative protocol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Total colony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colony size distribution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of two different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Pancreatic gene expression analysis of hDPSC-IPCs obtained from two different protocols.</w:t>
      </w:r>
      <w:r>
        <w:rPr>
          <w:rFonts w:ascii="Calibri" w:hAnsi="Calibri" w:cs="Calibri" w:eastAsia="Calibri"/>
          <w:color w:val="auto"/>
          <w:spacing w:val="0"/>
          <w:position w:val="0"/>
          <w:sz w:val="24"/>
          <w:shd w:fill="auto" w:val="clear"/>
        </w:rPr>
        <w:t xml:space="preserve"> The mRNA expression of pancreatic endoderm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NGN-3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pancreatic islet markers (</w:t>
      </w:r>
      <w:r>
        <w:rPr>
          <w:rFonts w:ascii="Calibri" w:hAnsi="Calibri" w:cs="Calibri" w:eastAsia="Calibri"/>
          <w:i/>
          <w:color w:val="auto"/>
          <w:spacing w:val="0"/>
          <w:position w:val="0"/>
          <w:sz w:val="24"/>
          <w:shd w:fill="auto" w:val="clear"/>
        </w:rPr>
        <w:t xml:space="preserve">ISL-1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GLUT-2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INSULIN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pancreatic-related marker (</w:t>
      </w:r>
      <w:r>
        <w:rPr>
          <w:rFonts w:ascii="Calibri" w:hAnsi="Calibri" w:cs="Calibri" w:eastAsia="Calibri"/>
          <w:i/>
          <w:color w:val="auto"/>
          <w:spacing w:val="0"/>
          <w:position w:val="0"/>
          <w:sz w:val="24"/>
          <w:shd w:fill="auto" w:val="clear"/>
        </w:rPr>
        <w:t xml:space="preserve">GLP-1R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was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4: Functional analysis of hDPSC-IPCs obtained from two different protocols.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C-peptide secretion in each induction protocol, integrative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and non-integrative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protocols, were determined by a glucose-stimulated C-peptide secretion (GSCS) assay.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Supplemental Figure 1: </w:t>
      </w:r>
      <w:r>
        <w:rPr>
          <w:rFonts w:ascii="Calibri" w:hAnsi="Calibri" w:cs="Calibri" w:eastAsia="Calibri"/>
          <w:b/>
          <w:i/>
          <w:color w:val="auto"/>
          <w:spacing w:val="0"/>
          <w:position w:val="0"/>
          <w:sz w:val="24"/>
          <w:shd w:fill="FFFFFF" w:val="clear"/>
        </w:rPr>
        <w:t xml:space="preserve">PDX1</w:t>
      </w:r>
      <w:r>
        <w:rPr>
          <w:rFonts w:ascii="Calibri" w:hAnsi="Calibri" w:cs="Calibri" w:eastAsia="Calibri"/>
          <w:b/>
          <w:color w:val="auto"/>
          <w:spacing w:val="0"/>
          <w:position w:val="0"/>
          <w:sz w:val="24"/>
          <w:shd w:fill="FFFFFF" w:val="clear"/>
        </w:rPr>
        <w:t xml:space="preserve"> mRNA analysis after </w:t>
      </w:r>
      <w:r>
        <w:rPr>
          <w:rFonts w:ascii="Calibri" w:hAnsi="Calibri" w:cs="Calibri" w:eastAsia="Calibri"/>
          <w:b/>
          <w:i/>
          <w:color w:val="auto"/>
          <w:spacing w:val="0"/>
          <w:position w:val="0"/>
          <w:sz w:val="24"/>
          <w:shd w:fill="FFFFFF" w:val="clear"/>
        </w:rPr>
        <w:t xml:space="preserve">PDX1</w:t>
      </w:r>
      <w:r>
        <w:rPr>
          <w:rFonts w:ascii="Calibri" w:hAnsi="Calibri" w:cs="Calibri" w:eastAsia="Calibri"/>
          <w:b/>
          <w:color w:val="auto"/>
          <w:spacing w:val="0"/>
          <w:position w:val="0"/>
          <w:sz w:val="24"/>
          <w:shd w:fill="FFFFFF" w:val="clear"/>
        </w:rPr>
        <w:t xml:space="preserve"> transduction.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mRNA expression analysis after 48 h of </w:t>
      </w:r>
      <w:r>
        <w:rPr>
          <w:rFonts w:ascii="Calibri" w:hAnsi="Calibri" w:cs="Calibri" w:eastAsia="Calibri"/>
          <w:i/>
          <w:color w:val="auto"/>
          <w:spacing w:val="0"/>
          <w:position w:val="0"/>
          <w:sz w:val="24"/>
          <w:shd w:fill="FFFFFF" w:val="clear"/>
        </w:rPr>
        <w:t xml:space="preserve">PDX1</w:t>
      </w:r>
      <w:r>
        <w:rPr>
          <w:rFonts w:ascii="Calibri" w:hAnsi="Calibri" w:cs="Calibri" w:eastAsia="Calibri"/>
          <w:color w:val="auto"/>
          <w:spacing w:val="0"/>
          <w:position w:val="0"/>
          <w:sz w:val="24"/>
          <w:shd w:fill="FFFFFF" w:val="clear"/>
        </w:rPr>
        <w:t xml:space="preserve"> transduction at MOI 20 in hDPSCs</w:t>
      </w:r>
      <w:r>
        <w:rPr>
          <w:rFonts w:ascii="Calibri" w:hAnsi="Calibri" w:cs="Calibri" w:eastAsia="Calibri"/>
          <w:color w:val="auto"/>
          <w:spacing w:val="0"/>
          <w:position w:val="0"/>
          <w:sz w:val="24"/>
          <w:shd w:fill="auto" w:val="clear"/>
        </w:rPr>
        <w:t xml:space="preserve"> is shown.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Primer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Achieving higher IPCs production from MSCs plays an essential role in diabetes therapy. The critical steps of the integrative protocol rely on the quality of cells to be used for the transduction and the quality of transduced cells. Some cell requirements that should be checked for successful transduction are ensuring cell healthiness, cell banking management, and cells are in a mitotically active state. Further, monitoring the viability of transduced cells also plays an important role. Less successful transduction is caused by the poor viability of the stimulated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the non-integrative protocols, the morphological appearance and floating colonies should be achieved because they are related to the maturation of pancreatic differentiation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modification and troubleshooting of the technique for the integrative induction protocol, healthy and good quality cells can be obtained by using cells in passages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 while the quality of transduced cells should be monitored by routinely checking the quality of the stimulated cells before moving on to the next step. This finding is in correlation with a previous study that mentioned that several factors influencing the efficiency of the transduction rely on cell health, cell confluence, and the number of passages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study, the non-integrative protocol with a three-step induction process still faces limitations, mainly concerning the colony size and colony number formation. This result is consistent with our previous study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To overcome this problem, we suggest checking the quality of the cells as well as the quality of the low attachment culture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this technique is the complexity of the integrative induction protocol, which was due to the use of two different consecutive platforms. Furthermore, the higher MOI does not imply higher efficiency of transduction. In a similar study using lentivirus transduction, a higher MOI could not achieve better transduction efficiency. The authors suggest using an adjuvant such as protamine sulfate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limitations of using the non-integrative protocols are related to technical issues such as the handling techniques for the production and harvesting of the colony and varying sizes and morphological structures of the produced IPCs.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essential transcription factor,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was significant, thereby having a potential role in the commitment of MSC induction toward the mature IPCs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modification of the backbone protocol by using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-overexpressed hDPSCs followed by a three-step induction protocol was mainly aimed at the successful high-yield production of mature and functional IPCs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findings of this protocol reflected that the MSC induction toward mature IPCs required pre-endodermic expression of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morphological evaluation showed that the non-attached 3D structure of colonies could be obtained in both protocols by using low attachment vessels. This structure was important for achieving the maturation of pancreatic differentiation</w:t>
      </w:r>
      <w:r>
        <w:rPr>
          <w:rFonts w:ascii="Calibri" w:hAnsi="Calibri" w:cs="Calibri" w:eastAsia="Calibri"/>
          <w:color w:val="auto"/>
          <w:spacing w:val="0"/>
          <w:position w:val="0"/>
          <w:sz w:val="24"/>
          <w:shd w:fill="auto" w:val="clear"/>
          <w:vertAlign w:val="superscript"/>
        </w:rPr>
        <w:t xml:space="preserve">7,9,22,23</w:t>
      </w:r>
      <w:r>
        <w:rPr>
          <w:rFonts w:ascii="Calibri" w:hAnsi="Calibri" w:cs="Calibri" w:eastAsia="Calibri"/>
          <w:color w:val="auto"/>
          <w:spacing w:val="0"/>
          <w:position w:val="0"/>
          <w:sz w:val="24"/>
          <w:shd w:fill="auto" w:val="clear"/>
        </w:rPr>
        <w:t xml:space="preserve">. In addition, according to colony size evaluation, the integrative protocol resulted in a positive trend of total colony number and small- to medium-size colony production, which can prevent a necrotic core of the colony. Therefore, it will be beneficial for further transplantation</w:t>
      </w:r>
      <w:r>
        <w:rPr>
          <w:rFonts w:ascii="Calibri" w:hAnsi="Calibri" w:cs="Calibri" w:eastAsia="Calibri"/>
          <w:color w:val="auto"/>
          <w:spacing w:val="0"/>
          <w:position w:val="0"/>
          <w:sz w:val="24"/>
          <w:shd w:fill="auto" w:val="clear"/>
          <w:vertAlign w:val="superscript"/>
        </w:rPr>
        <w:t xml:space="preserve">7,19,21,24,25</w:t>
      </w:r>
      <w:r>
        <w:rPr>
          <w:rFonts w:ascii="Calibri" w:hAnsi="Calibri" w:cs="Calibri" w:eastAsia="Calibri"/>
          <w:color w:val="auto"/>
          <w:spacing w:val="0"/>
          <w:position w:val="0"/>
          <w:sz w:val="24"/>
          <w:shd w:fill="auto" w:val="clear"/>
        </w:rPr>
        <w:t xml:space="preserve">. The upregulation of late-stage pancreatic gene markers (</w:t>
      </w:r>
      <w:r>
        <w:rPr>
          <w:rFonts w:ascii="Calibri" w:hAnsi="Calibri" w:cs="Calibri" w:eastAsia="Calibri"/>
          <w:i/>
          <w:color w:val="auto"/>
          <w:spacing w:val="0"/>
          <w:position w:val="0"/>
          <w:sz w:val="24"/>
          <w:shd w:fill="auto" w:val="clear"/>
        </w:rPr>
        <w:t xml:space="preserve">ISL-1, MAF-A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GLUT-2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INSULIN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GLP-1R</w:t>
      </w:r>
      <w:r>
        <w:rPr>
          <w:rFonts w:ascii="Calibri" w:hAnsi="Calibri" w:cs="Calibri" w:eastAsia="Calibri"/>
          <w:color w:val="auto"/>
          <w:spacing w:val="0"/>
          <w:position w:val="0"/>
          <w:sz w:val="24"/>
          <w:shd w:fill="auto" w:val="clear"/>
        </w:rPr>
        <w:t xml:space="preserve">) was observed in this protocol. The late-stage pancreatic gene markers in the integrative induction protocol were higher compared to the backbone protocol. It was revealed that the overexpression of </w:t>
      </w:r>
      <w:r>
        <w:rPr>
          <w:rFonts w:ascii="Calibri" w:hAnsi="Calibri" w:cs="Calibri" w:eastAsia="Calibri"/>
          <w:i/>
          <w:color w:val="auto"/>
          <w:spacing w:val="0"/>
          <w:position w:val="0"/>
          <w:sz w:val="24"/>
          <w:shd w:fill="auto" w:val="clear"/>
        </w:rPr>
        <w:t xml:space="preserve">PDX1</w:t>
      </w:r>
      <w:r>
        <w:rPr>
          <w:rFonts w:ascii="Calibri" w:hAnsi="Calibri" w:cs="Calibri" w:eastAsia="Calibri"/>
          <w:color w:val="auto"/>
          <w:spacing w:val="0"/>
          <w:position w:val="0"/>
          <w:sz w:val="24"/>
          <w:shd w:fill="auto" w:val="clear"/>
        </w:rPr>
        <w:t xml:space="preserve"> increased the number of pancreatic progenitors, i.e., a better result in terms of the progression of mid- to late-stage pancreatic development could be achieved</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Furthermore, to clarify the function of IPCs, a GSCS assay was performed. hDPSC-IPCs produced from both protocols secreted C-peptide, suggesting the functionally active colonies.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the future applications of the technique used in this study, both pancreatic induction protocols were able to generate the IPCs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terms of the total colony count, small- to medium-size colony production, and pancreatic marker expression, the integrative protocol showed a beneficial trend for IPC formation, supporting further MSC application in stem cell-based diabetes treatments for human and veterinary practices</w:t>
      </w:r>
      <w:r>
        <w:rPr>
          <w:rFonts w:ascii="Calibri" w:hAnsi="Calibri" w:cs="Calibri" w:eastAsia="Calibri"/>
          <w:color w:val="auto"/>
          <w:spacing w:val="0"/>
          <w:position w:val="0"/>
          <w:sz w:val="24"/>
          <w:shd w:fill="auto" w:val="clear"/>
          <w:vertAlign w:val="superscript"/>
        </w:rPr>
        <w:t xml:space="preserve">7,29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 WR, and LDQ were supported by the Veterinary Stem Cell and Bioengineering Research Unit, Ratchadaphiseksomphot Endowment Fund, Chulalongkorn University. TO and PP were supported by Chulalongkorn Academic Advancement into Its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Century Project. CS was supported by a research supporting grant of the Faculty of Veterinary Science, Chulalongkorn Academic Advancement into Its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Century Project, Veterinary Stem Cell and Bioengineering Research Unit, Ratchadaphiseksomphot Endowment Fund, Chulalongkorn University, and Government Research Fund.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 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IDF diabetes atlas: Global estimates of diabetes prevalence for 2017 and projections for 2045. </w:t>
      </w:r>
      <w:r>
        <w:rPr>
          <w:rFonts w:ascii="Calibri" w:hAnsi="Calibri" w:cs="Calibri" w:eastAsia="Calibri"/>
          <w:i/>
          <w:color w:val="auto"/>
          <w:spacing w:val="0"/>
          <w:position w:val="0"/>
          <w:sz w:val="24"/>
          <w:shd w:fill="auto" w:val="clear"/>
        </w:rPr>
        <w:t xml:space="preserve">Diabetes Research and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Danaei,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National, regional, and global trends in fasting plasma glucose and diabetes prevalence since 1980: systematic analysis of health examination surveys and epidemiological studies with 370 country-years and 2.7 million participants.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(9785),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Minimizing hypoglycemia in diabetes.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1583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HealthQualityOntario. Islet transplantation: an evidence-based analysis. </w:t>
      </w:r>
      <w:r>
        <w:rPr>
          <w:rFonts w:ascii="Calibri" w:hAnsi="Calibri" w:cs="Calibri" w:eastAsia="Calibri"/>
          <w:i/>
          <w:color w:val="auto"/>
          <w:spacing w:val="0"/>
          <w:position w:val="0"/>
          <w:sz w:val="24"/>
          <w:shd w:fill="auto" w:val="clear"/>
        </w:rPr>
        <w:t xml:space="preserve">Ontario Health Technology Assessment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Brennan,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follow-up of the Edmonton protocol of islet transplantation in the United States.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Korsgren, O. Islet encapsulation: Physiological possibilities and limitations.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(7), 1748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Kuncorojakti, S., Srisuwatanasagul, S., Kradangnga, K., Sawangmake, C. Insulin-Producing Cell Transplantation Platform for Veterinary Practice. </w:t>
      </w:r>
      <w:r>
        <w:rPr>
          <w:rFonts w:ascii="Calibri" w:hAnsi="Calibri" w:cs="Calibri" w:eastAsia="Calibri"/>
          <w:i/>
          <w:color w:val="auto"/>
          <w:spacing w:val="0"/>
          <w:position w:val="0"/>
          <w:sz w:val="24"/>
          <w:shd w:fill="auto" w:val="clear"/>
        </w:rPr>
        <w:t xml:space="preserve">Frontiers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Sawangmake, C., Nowwarote, N., Pavasant, P., Chansiripornchai, P., Osathanon, T. A feasibility study of an in vitro differentiation potential toward insulin-producing cells by dental tissue-derived mesenchymal stem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(3),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Sawangmake, C., Rodprasert, W., Osathanon, T., Pavasant, P. Integrative protocols for an in vitro generation of pancreatic progenitors from human dental pulp stem cells.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(1),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Kuncorojakti,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Alginate/Pluronic F127-based encapsulation supports viability and functionality of human dental pulp stem cell-derived insulin-producing cells.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Ritz-Laser,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Ectopic expression of the beta-cell specific transcription factor Pdx1 inhibits glucagon gene transcription.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Pampusch, M. S., Skinner, P. J. Transduction and expansion of primary T cells in nine days with maintenance of central memory phenotype.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Fraga,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Factors influencing transfection efficiency of pIDUA/nanoemulsion complexes in a mucopolysaccharidosis type I murine model.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Balak, J.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Highly efficient ex vivo lentiviral transduction of primary human pancreatic exocrine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15870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Balaji, S., Zhou, Y., Opara, E. C., Soker, S. Combinations of Activin A or nicotinamide with the pancreatic transcription factor PDX1 support differentiation of human amnion epithelial cells toward a pancreatic lineage. </w:t>
      </w:r>
      <w:r>
        <w:rPr>
          <w:rFonts w:ascii="Calibri" w:hAnsi="Calibri" w:cs="Calibri" w:eastAsia="Calibri"/>
          <w:i/>
          <w:color w:val="auto"/>
          <w:spacing w:val="0"/>
          <w:position w:val="0"/>
          <w:sz w:val="24"/>
          <w:shd w:fill="auto" w:val="clear"/>
        </w:rPr>
        <w:t xml:space="preserve">Cellular Reprogramming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Spaeth,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Defining a novel role for the Pdx1 transcription factor in islet &amp;#946;-Cell maturation and proliferation during weaning.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(11), 2830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Bastidas-Ponce,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Foxa2 and Pdx1 cooperatively regulate postnatal maturation of pancreatic &amp;#946;-cells.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Zhu, Y., Liu, Q., Zhou, Z., Ikeda, Y. PDX1, Neurogenin-3, and MAFA: critical transcription regulators for beta cell development and regeneration.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240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Culturing and transcriptome profiling of progenitor-like colonies derived from adult mouse pancreas.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172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Tiedemann, H. B., Schneltzer, E., Beckers, J., Przemeck, G. K. H., Hrabe de Angelis, M. Modeling coexistence of oscillation and Delta/Notch-mediated lateral inhibition in pancreas development and neurogenesis.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culture promotes the differentiation of human dental pulp mesenchymal stem cells into insulin-producing cells for improving the diabetes therapy.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1576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Grimm,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Tissue engineering under microgravity conditions-use of stem cells and specialized cells.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Tran, R., Moraes, C., Hoesli, C. A. Controlled clustering enhances PDX1 and NKX6.1 expression in pancreatic endoderm cells derived from pluripotent stem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1190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Y., Zhai, W. J., Teng, C. B. Notch signaling in pancreatic development.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Motoyama,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Treatment with specific soluble factors promotes the functional maturation of transcription factor-mediated, pancreatic transdifferentiated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e0197175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Baldan, J., Houbracken, I., Rooman, I., Bouwens, L. Adult human pancreatic acinar cells dedifferentiate into an embryonic progenitor-like state in 3D suspension culture.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4040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Wedeken,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Adult murine pancreatic progenitors require epidermal growth factor and nicotinamide for self-renewal and differentiation in a serum- and conditioned medium-free culture.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Trott,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culture of self-renewing pancreatic progenitors derived from human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1675-1688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Kim, 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Construction of EMSC-islet co-localizing composites for xenogeneic porcine islet transplantation.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(2),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Gauthaman,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Extra-embryonic human Wharton’s jelly stem cells do not induce tumorigenesis, unlike human embryonic stem cells.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Schiesser, J. V., Wells, J. M. Generation of beta cells from human pluripotent stem cells: are we there yet?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1311</w:t>
      </w:r>
      <w:r>
        <w:rPr>
          <w:rFonts w:ascii="Calibri" w:hAnsi="Calibri" w:cs="Calibri" w:eastAsia="Calibri"/>
          <w:color w:val="auto"/>
          <w:spacing w:val="0"/>
          <w:position w:val="0"/>
          <w:sz w:val="24"/>
          <w:shd w:fill="auto" w:val="clear"/>
        </w:rPr>
        <w:t xml:space="preserve">,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Chmielowiec, J., Borowiak, M. In vitro differentiation and expansion of human pluripotent stem cell-derived pancreatic progenitors. </w:t>
      </w:r>
      <w:r>
        <w:rPr>
          <w:rFonts w:ascii="Calibri" w:hAnsi="Calibri" w:cs="Calibri" w:eastAsia="Calibri"/>
          <w:i/>
          <w:color w:val="auto"/>
          <w:spacing w:val="0"/>
          <w:position w:val="0"/>
          <w:sz w:val="24"/>
          <w:shd w:fill="auto" w:val="clear"/>
        </w:rPr>
        <w:t xml:space="preserve">The Review of Diabetic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