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9AB21" w14:textId="39EAA6D1" w:rsidR="00982815" w:rsidRDefault="00224549" w:rsidP="00224549">
      <w:pPr>
        <w:pStyle w:val="NormalWeb"/>
        <w:contextualSpacing/>
      </w:pPr>
      <w:r>
        <w:rPr>
          <w:rStyle w:val="Strong"/>
          <w:color w:val="FF0000"/>
          <w:u w:val="single"/>
        </w:rPr>
        <w:t>Editorial comments:</w:t>
      </w:r>
      <w:r>
        <w:br/>
        <w:t>Changes to be made by the Author(s):</w:t>
      </w:r>
      <w:r>
        <w:br/>
        <w:t>1. Please take this opportunity to thoroughly proofread the manuscript to ensure that there are no spelling or grammar issues.</w:t>
      </w:r>
      <w:r w:rsidR="009E4982">
        <w:t xml:space="preserve"> </w:t>
      </w:r>
      <w:r w:rsidR="009E4982" w:rsidRPr="009E4982">
        <w:rPr>
          <w:highlight w:val="green"/>
        </w:rPr>
        <w:t>Complete</w:t>
      </w:r>
      <w:r>
        <w:br/>
        <w:t>2. Please provide an email address for each author.</w:t>
      </w:r>
      <w:r w:rsidR="00AD1688">
        <w:t xml:space="preserve"> </w:t>
      </w:r>
      <w:r w:rsidR="005D70DA" w:rsidRPr="005D70DA">
        <w:rPr>
          <w:highlight w:val="green"/>
        </w:rPr>
        <w:t>Complete</w:t>
      </w:r>
      <w:r>
        <w:br/>
        <w:t xml:space="preserve">3.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r w:rsidR="00084FE7">
        <w:t xml:space="preserve"> </w:t>
      </w:r>
      <w:r w:rsidR="00084FE7" w:rsidRPr="00084FE7">
        <w:rPr>
          <w:highlight w:val="green"/>
        </w:rPr>
        <w:t>Complete</w:t>
      </w:r>
      <w:r w:rsidR="005D70DA">
        <w:rPr>
          <w:highlight w:val="green"/>
        </w:rPr>
        <w:t>.</w:t>
      </w:r>
      <w:r w:rsidR="00084FE7" w:rsidRPr="00084FE7">
        <w:rPr>
          <w:highlight w:val="green"/>
        </w:rPr>
        <w:t xml:space="preserve"> </w:t>
      </w:r>
      <w:r w:rsidR="005D70DA">
        <w:rPr>
          <w:highlight w:val="green"/>
        </w:rPr>
        <w:t>N</w:t>
      </w:r>
      <w:r w:rsidR="00084FE7" w:rsidRPr="00084FE7">
        <w:rPr>
          <w:highlight w:val="green"/>
        </w:rPr>
        <w:t>ote – subsections (highlighted in red) have been added to make the protocol easier to follow</w:t>
      </w:r>
      <w:r w:rsidR="005D70DA">
        <w:t>.</w:t>
      </w:r>
      <w:r>
        <w:br/>
        <w:t>4. Maintain a 0-inch left indent throughout the text and indicate new paragraphs using single-line spacing. Include a single line spacing between successive protocol steps.</w:t>
      </w:r>
      <w:r w:rsidR="00084FE7">
        <w:t xml:space="preserve"> </w:t>
      </w:r>
      <w:r w:rsidR="00084FE7" w:rsidRPr="009E4982">
        <w:rPr>
          <w:highlight w:val="green"/>
        </w:rPr>
        <w:t>Complete</w:t>
      </w:r>
      <w:r>
        <w:br/>
        <w:t>5. Use “µL” instead of “</w:t>
      </w:r>
      <w:proofErr w:type="spellStart"/>
      <w:r>
        <w:t>uL</w:t>
      </w:r>
      <w:proofErr w:type="spellEnd"/>
      <w:r>
        <w:t>/</w:t>
      </w:r>
      <w:proofErr w:type="spellStart"/>
      <w:r>
        <w:t>uL</w:t>
      </w:r>
      <w:proofErr w:type="spellEnd"/>
      <w:r>
        <w:t xml:space="preserve">”, </w:t>
      </w:r>
      <w:proofErr w:type="gramStart"/>
      <w:r>
        <w:t>“ x</w:t>
      </w:r>
      <w:proofErr w:type="gramEnd"/>
      <w:r>
        <w:t>107” instead of “ E7”. Add a single space between the quantity and its unit. “5 mm” instead of “5mm”.</w:t>
      </w:r>
      <w:r w:rsidR="00084FE7">
        <w:t xml:space="preserve"> </w:t>
      </w:r>
      <w:r w:rsidR="00084FE7" w:rsidRPr="009E4982">
        <w:rPr>
          <w:highlight w:val="green"/>
        </w:rPr>
        <w:t>Complete</w:t>
      </w:r>
      <w:r>
        <w:br/>
        <w:t>6. Line 146: Wavelengths used for visualization?</w:t>
      </w:r>
      <w:r w:rsidR="005D70DA">
        <w:t xml:space="preserve"> </w:t>
      </w:r>
      <w:r w:rsidR="005D70DA" w:rsidRPr="00332537">
        <w:rPr>
          <w:highlight w:val="green"/>
        </w:rPr>
        <w:t xml:space="preserve">Added (line </w:t>
      </w:r>
      <w:r w:rsidR="00332537">
        <w:rPr>
          <w:highlight w:val="green"/>
        </w:rPr>
        <w:t>292</w:t>
      </w:r>
      <w:r w:rsidR="005D70DA" w:rsidRPr="00332537">
        <w:rPr>
          <w:highlight w:val="green"/>
        </w:rPr>
        <w:t>) – FITC filter or alternative 488 nm</w:t>
      </w:r>
      <w: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line 169, etc.</w:t>
      </w:r>
      <w:r w:rsidR="00E70129">
        <w:t xml:space="preserve"> </w:t>
      </w:r>
      <w:r w:rsidR="00E70129" w:rsidRPr="009E4982">
        <w:rPr>
          <w:highlight w:val="green"/>
        </w:rPr>
        <w:t>Complete</w:t>
      </w:r>
      <w:r>
        <w:br/>
        <w:t xml:space="preserve">8.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Eppendorf, </w:t>
      </w:r>
      <w:proofErr w:type="spellStart"/>
      <w:r>
        <w:t>Cellomics</w:t>
      </w:r>
      <w:proofErr w:type="spellEnd"/>
      <w:r>
        <w:t xml:space="preserve">, Vi Cell XR, </w:t>
      </w:r>
      <w:proofErr w:type="spellStart"/>
      <w:r>
        <w:t>ArrayScan</w:t>
      </w:r>
      <w:proofErr w:type="spellEnd"/>
      <w:r>
        <w:t>, etc.</w:t>
      </w:r>
      <w:r w:rsidR="00E70129">
        <w:t xml:space="preserve"> </w:t>
      </w:r>
      <w:r w:rsidR="00E70129" w:rsidRPr="009E4982">
        <w:rPr>
          <w:highlight w:val="green"/>
        </w:rPr>
        <w:t>Complete</w:t>
      </w:r>
      <w:r>
        <w:br/>
        <w:t>9. As we are a methods journal, please ensure that the Discussion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r>
        <w:br/>
        <w:t>10. Please include a Disclosures section, providing information regarding the authors’ competing financial interests or other conflicts of interest. If authors have no competing financial interests, then a statement indicating no competing financial interests must be included.</w:t>
      </w:r>
      <w:r w:rsidR="00081A6D">
        <w:t xml:space="preserve"> </w:t>
      </w:r>
      <w:r w:rsidR="00081A6D" w:rsidRPr="009E4982">
        <w:rPr>
          <w:highlight w:val="green"/>
        </w:rPr>
        <w:t>Complete</w:t>
      </w:r>
      <w:r>
        <w:br/>
      </w:r>
      <w:r>
        <w:br/>
        <w:t>____________________________________</w:t>
      </w:r>
      <w:r>
        <w:br/>
      </w:r>
      <w:r>
        <w:rPr>
          <w:rStyle w:val="Strong"/>
          <w:color w:val="0000FF"/>
          <w:u w:val="single"/>
        </w:rPr>
        <w:t>Reviewers' comments:</w:t>
      </w:r>
      <w:r>
        <w:br/>
      </w:r>
      <w:r>
        <w:rPr>
          <w:b/>
          <w:bCs/>
        </w:rPr>
        <w:t>Reviewer #1:</w:t>
      </w:r>
      <w:r>
        <w:br/>
        <w:t>Manuscript Summary:</w:t>
      </w:r>
      <w:r>
        <w:br/>
        <w:t>The authors describe a method to measure neutralizing antibodies in sera sample of infected or possibly vaccinated individuals.</w:t>
      </w:r>
      <w:r>
        <w:br/>
      </w:r>
      <w:r>
        <w:br/>
        <w:t>Major Concerns:</w:t>
      </w:r>
      <w:r>
        <w:br/>
        <w:t xml:space="preserve">While the broadly neutralizing antibody can be tested against the parental </w:t>
      </w:r>
      <w:proofErr w:type="spellStart"/>
      <w:r>
        <w:t>pseudotyped</w:t>
      </w:r>
      <w:proofErr w:type="spellEnd"/>
      <w:r>
        <w:t xml:space="preserve"> virus, how would variants virus derived Spike would be incorporated in the protocols need a mention. </w:t>
      </w:r>
      <w:proofErr w:type="gramStart"/>
      <w:r>
        <w:t>Furthermore</w:t>
      </w:r>
      <w:proofErr w:type="gramEnd"/>
      <w:r>
        <w:t xml:space="preserve"> a note on the in vivo relevance would put things in perspective as in the filed still there is a debate whether or not processing of spike is critical factor in the SARS-CoV2 infectivity.</w:t>
      </w:r>
    </w:p>
    <w:p w14:paraId="79EB6FF4" w14:textId="1B76829A" w:rsidR="00224549" w:rsidRDefault="00982815" w:rsidP="00224549">
      <w:pPr>
        <w:pStyle w:val="NormalWeb"/>
        <w:contextualSpacing/>
      </w:pPr>
      <w:r w:rsidRPr="00943A96">
        <w:rPr>
          <w:highlight w:val="green"/>
        </w:rPr>
        <w:lastRenderedPageBreak/>
        <w:t xml:space="preserve">Variants are </w:t>
      </w:r>
      <w:r w:rsidR="00332537">
        <w:rPr>
          <w:highlight w:val="green"/>
        </w:rPr>
        <w:t>now mentioned</w:t>
      </w:r>
      <w:r w:rsidRPr="00943A96">
        <w:rPr>
          <w:highlight w:val="green"/>
        </w:rPr>
        <w:t xml:space="preserve"> in discussion section</w:t>
      </w:r>
      <w:r w:rsidR="00525E29">
        <w:rPr>
          <w:highlight w:val="green"/>
        </w:rPr>
        <w:t xml:space="preserve"> (</w:t>
      </w:r>
      <w:r w:rsidR="00332537">
        <w:rPr>
          <w:highlight w:val="green"/>
        </w:rPr>
        <w:t>l</w:t>
      </w:r>
      <w:r w:rsidR="00525E29">
        <w:rPr>
          <w:highlight w:val="green"/>
        </w:rPr>
        <w:t xml:space="preserve">ine </w:t>
      </w:r>
      <w:r w:rsidR="00332537">
        <w:rPr>
          <w:highlight w:val="green"/>
        </w:rPr>
        <w:t>376</w:t>
      </w:r>
      <w:r w:rsidR="00525E29">
        <w:rPr>
          <w:highlight w:val="green"/>
        </w:rPr>
        <w:t>)</w:t>
      </w:r>
      <w:r w:rsidRPr="00943A96">
        <w:rPr>
          <w:highlight w:val="green"/>
        </w:rPr>
        <w:t xml:space="preserve"> and </w:t>
      </w:r>
      <w:r w:rsidR="00943A96" w:rsidRPr="00943A96">
        <w:rPr>
          <w:highlight w:val="green"/>
        </w:rPr>
        <w:t>a source describing spike processing is present in the introduction</w:t>
      </w:r>
      <w:r w:rsidR="00525E29">
        <w:rPr>
          <w:highlight w:val="green"/>
        </w:rPr>
        <w:t xml:space="preserve"> (</w:t>
      </w:r>
      <w:r w:rsidR="00332537">
        <w:rPr>
          <w:highlight w:val="green"/>
        </w:rPr>
        <w:t>line 65</w:t>
      </w:r>
      <w:r w:rsidR="00525E29">
        <w:rPr>
          <w:highlight w:val="green"/>
        </w:rPr>
        <w:t>)</w:t>
      </w:r>
      <w:r w:rsidR="005D70DA" w:rsidRPr="00943A96">
        <w:rPr>
          <w:highlight w:val="green"/>
        </w:rPr>
        <w:t>.</w:t>
      </w:r>
      <w:r w:rsidR="00224549">
        <w:br/>
      </w:r>
      <w:r w:rsidR="00224549">
        <w:br/>
      </w:r>
      <w:r w:rsidR="00224549">
        <w:br/>
      </w:r>
      <w:r w:rsidR="00224549">
        <w:rPr>
          <w:b/>
          <w:bCs/>
        </w:rPr>
        <w:t>Reviewer #2:</w:t>
      </w:r>
      <w:r w:rsidR="00224549">
        <w:br/>
        <w:t>Manuscript Summary:</w:t>
      </w:r>
      <w:r w:rsidR="00224549">
        <w:br/>
        <w:t xml:space="preserve">The methods manuscript by Jamieson et al outlines describe a high-throughput protocol using VSV </w:t>
      </w:r>
      <w:proofErr w:type="spellStart"/>
      <w:r w:rsidR="00224549">
        <w:t>pseudotyped</w:t>
      </w:r>
      <w:proofErr w:type="spellEnd"/>
      <w:r w:rsidR="00224549">
        <w:t xml:space="preserve"> with the SARS-CoV-2 spike protein to measure the presence of neutralizing antibodies in convalescent serum from patients recently recovered from COVID-19. By using a replicating </w:t>
      </w:r>
      <w:proofErr w:type="spellStart"/>
      <w:r w:rsidR="00224549">
        <w:t>pseudotyped</w:t>
      </w:r>
      <w:proofErr w:type="spellEnd"/>
      <w:r w:rsidR="00224549">
        <w:t xml:space="preserve"> virus, the authors eliminate the necessity for a containment level 3 facility required for SARS-CoV-2 handling, making this protocol accessible to virtually any containment level 2 lab. The use of a 96-well format allows for many samples to be run at the same time with a short turnaround time of 24 hours.</w:t>
      </w:r>
      <w:r w:rsidR="00224549">
        <w:br/>
      </w:r>
      <w:r w:rsidR="00224549">
        <w:br/>
        <w:t>Major Concerns:</w:t>
      </w:r>
      <w:r w:rsidR="00224549">
        <w:br/>
        <w:t xml:space="preserve">1. The resolution of all the figures in the pdf document is poor. Not sure if this is the final resolution or the </w:t>
      </w:r>
      <w:proofErr w:type="gramStart"/>
      <w:r w:rsidR="00224549">
        <w:t>high resolution</w:t>
      </w:r>
      <w:proofErr w:type="gramEnd"/>
      <w:r w:rsidR="00224549">
        <w:t xml:space="preserve"> ones are with the journal. IF the latter, then there are no concerns.</w:t>
      </w:r>
      <w:r>
        <w:t xml:space="preserve"> </w:t>
      </w:r>
      <w:r w:rsidRPr="00982815">
        <w:rPr>
          <w:highlight w:val="green"/>
        </w:rPr>
        <w:t>Higher resolution images have been submitted. Please let us know if you would prefer illustrator files.</w:t>
      </w:r>
      <w:r>
        <w:t xml:space="preserve"> </w:t>
      </w:r>
      <w:r w:rsidR="00224549">
        <w:br/>
        <w:t xml:space="preserve">2. The authors can cite </w:t>
      </w:r>
      <w:proofErr w:type="spellStart"/>
      <w:r w:rsidR="00224549">
        <w:t>Capcha</w:t>
      </w:r>
      <w:proofErr w:type="spellEnd"/>
      <w:r w:rsidR="00224549">
        <w:t xml:space="preserve"> et (PMID: 33521067) where they also reported on a similar high throughput method for SARS-CoV2 </w:t>
      </w:r>
      <w:proofErr w:type="spellStart"/>
      <w:r w:rsidR="00224549">
        <w:t>pseudovirus</w:t>
      </w:r>
      <w:proofErr w:type="spellEnd"/>
      <w:r w:rsidR="00224549">
        <w:t xml:space="preserve"> assays.</w:t>
      </w:r>
      <w:r w:rsidR="00525E29">
        <w:t xml:space="preserve"> </w:t>
      </w:r>
      <w:r w:rsidR="00525E29" w:rsidRPr="00562C5E">
        <w:rPr>
          <w:highlight w:val="green"/>
        </w:rPr>
        <w:t xml:space="preserve">This method is similar, however a transient </w:t>
      </w:r>
      <w:proofErr w:type="spellStart"/>
      <w:r w:rsidR="00525E29" w:rsidRPr="00562C5E">
        <w:rPr>
          <w:highlight w:val="green"/>
        </w:rPr>
        <w:t>pseudotype</w:t>
      </w:r>
      <w:proofErr w:type="spellEnd"/>
      <w:r w:rsidR="00525E29" w:rsidRPr="00562C5E">
        <w:rPr>
          <w:highlight w:val="green"/>
        </w:rPr>
        <w:t xml:space="preserve"> is used</w:t>
      </w:r>
      <w:r w:rsidR="00562C5E">
        <w:rPr>
          <w:highlight w:val="green"/>
        </w:rPr>
        <w:t xml:space="preserve"> in the mentioned source</w:t>
      </w:r>
      <w:r w:rsidR="00525E29" w:rsidRPr="00562C5E">
        <w:rPr>
          <w:highlight w:val="green"/>
        </w:rPr>
        <w:t>. There are many</w:t>
      </w:r>
      <w:r w:rsidR="00562C5E" w:rsidRPr="00562C5E">
        <w:rPr>
          <w:highlight w:val="green"/>
        </w:rPr>
        <w:t xml:space="preserve"> similar protocols to ours, we would rather not choose one specific publication</w:t>
      </w:r>
      <w:r w:rsidR="00562C5E">
        <w:rPr>
          <w:highlight w:val="green"/>
        </w:rPr>
        <w:t xml:space="preserve"> for comparison</w:t>
      </w:r>
      <w:r w:rsidR="00562C5E" w:rsidRPr="00562C5E">
        <w:rPr>
          <w:highlight w:val="green"/>
        </w:rPr>
        <w:t>.</w:t>
      </w:r>
      <w:r w:rsidR="00562C5E">
        <w:t xml:space="preserve"> </w:t>
      </w:r>
      <w:r w:rsidR="00525E29">
        <w:t xml:space="preserve">  </w:t>
      </w:r>
      <w:r w:rsidR="00224549">
        <w:br/>
      </w:r>
      <w:r w:rsidR="00224549">
        <w:br/>
        <w:t>Minor Concerns:</w:t>
      </w:r>
      <w:r w:rsidR="00224549">
        <w:br/>
        <w:t>1. Please include Ethical and safety considerations</w:t>
      </w:r>
      <w:r w:rsidR="00525E29">
        <w:t xml:space="preserve"> </w:t>
      </w:r>
      <w:r w:rsidR="00525E29" w:rsidRPr="00BC08E9">
        <w:rPr>
          <w:highlight w:val="green"/>
        </w:rPr>
        <w:t>Complete</w:t>
      </w:r>
      <w:r w:rsidR="0022723C">
        <w:rPr>
          <w:highlight w:val="green"/>
        </w:rPr>
        <w:t xml:space="preserve"> (line 240 and acknowledgments)</w:t>
      </w:r>
      <w:r w:rsidR="00525E29" w:rsidRPr="00BC08E9">
        <w:rPr>
          <w:highlight w:val="green"/>
        </w:rPr>
        <w:t>.</w:t>
      </w:r>
      <w:r w:rsidR="00224549">
        <w:br/>
        <w:t>2. Line 58 and 317. Indicate "human" ACE2.</w:t>
      </w:r>
      <w:r w:rsidR="00BC08E9">
        <w:t xml:space="preserve"> </w:t>
      </w:r>
      <w:r w:rsidR="00BC08E9" w:rsidRPr="00BC08E9">
        <w:rPr>
          <w:highlight w:val="green"/>
        </w:rPr>
        <w:t>Complete.</w:t>
      </w:r>
      <w:r w:rsidR="00224549">
        <w:br/>
        <w:t>3. Line 119-121. Please specify the time for GFP expression and supernatant collection.</w:t>
      </w:r>
      <w:r w:rsidR="007C0B9E">
        <w:t xml:space="preserve"> </w:t>
      </w:r>
      <w:r w:rsidR="007C0B9E" w:rsidRPr="007C0B9E">
        <w:rPr>
          <w:highlight w:val="green"/>
        </w:rPr>
        <w:t>Complete</w:t>
      </w:r>
      <w:r w:rsidR="0022723C">
        <w:t>.</w:t>
      </w:r>
      <w:r w:rsidR="007C0B9E">
        <w:t xml:space="preserve"> </w:t>
      </w:r>
      <w:r w:rsidR="00224549">
        <w:br/>
        <w:t>4. Line 141-142. This part is not easy to follow. Therefore, if we have a mixture 1:1, the final concentration of CMC is 3%?</w:t>
      </w:r>
      <w:r w:rsidR="006F5E93">
        <w:t xml:space="preserve"> </w:t>
      </w:r>
      <w:r w:rsidR="006F5E93" w:rsidRPr="006F5E93">
        <w:rPr>
          <w:highlight w:val="green"/>
        </w:rPr>
        <w:t>Final concentration of 3% CMC has been noted.</w:t>
      </w:r>
      <w:r w:rsidR="006F5E93">
        <w:t xml:space="preserve"> </w:t>
      </w:r>
      <w:r w:rsidR="00224549">
        <w:br/>
        <w:t>5. Line 222-223. Is this solution the same used in lines 141-142?</w:t>
      </w:r>
      <w:r w:rsidR="006F5E93">
        <w:t xml:space="preserve"> </w:t>
      </w:r>
      <w:r w:rsidR="006F5E93" w:rsidRPr="006F5E93">
        <w:rPr>
          <w:highlight w:val="green"/>
        </w:rPr>
        <w:t>Yes, again final concentration of 3% therefore additional CMC should be added to account for the 60uL already in the well.</w:t>
      </w:r>
      <w:r w:rsidR="006F5E93">
        <w:t xml:space="preserve"> </w:t>
      </w:r>
      <w:r w:rsidR="00224549">
        <w:br/>
        <w:t>6. Figures 2a and 3a. I suggest transforming the dilution factor to a logarithmic scale. Also, indicate IC50 for each case.</w:t>
      </w:r>
      <w:r w:rsidR="00CB64B0">
        <w:t xml:space="preserve"> </w:t>
      </w:r>
      <w:r w:rsidR="00CB64B0" w:rsidRPr="00CB64B0">
        <w:rPr>
          <w:highlight w:val="green"/>
        </w:rPr>
        <w:t>Dilution factor is shown as log2 scale as a 2-fold dilution series was performed. IC50 may be calculated using this method, we did not include it here as individual users may report results differently depending on the application.</w:t>
      </w:r>
      <w:r w:rsidR="00CB64B0">
        <w:t xml:space="preserve"> </w:t>
      </w:r>
      <w:r w:rsidR="00224549">
        <w:br/>
        <w:t>7. In Table of materials, please include the source of the VSV-S. Is this purchased or donated. If the latter, acknowledgement is missing.</w:t>
      </w:r>
      <w:r w:rsidR="00CB64B0">
        <w:t xml:space="preserve"> </w:t>
      </w:r>
      <w:r w:rsidR="00CB64B0" w:rsidRPr="00CB64B0">
        <w:rPr>
          <w:highlight w:val="green"/>
        </w:rPr>
        <w:t>The Whelan lab is mentioned in the acknowledgments, we have added the acknowledgment to the introduction to ensure it is not missed</w:t>
      </w:r>
      <w:r w:rsidR="0022723C">
        <w:rPr>
          <w:highlight w:val="green"/>
        </w:rPr>
        <w:t xml:space="preserve"> (line 77)</w:t>
      </w:r>
      <w:r w:rsidR="00CB64B0" w:rsidRPr="00CB64B0">
        <w:rPr>
          <w:highlight w:val="green"/>
        </w:rPr>
        <w:t>.</w:t>
      </w:r>
      <w:r w:rsidR="00CB64B0">
        <w:t xml:space="preserve"> </w:t>
      </w:r>
      <w:r w:rsidR="00224549">
        <w:br/>
      </w:r>
      <w:r w:rsidR="00224549">
        <w:br/>
      </w:r>
      <w:r w:rsidR="00224549">
        <w:br/>
      </w:r>
      <w:r w:rsidR="00224549">
        <w:rPr>
          <w:b/>
          <w:bCs/>
        </w:rPr>
        <w:t>Reviewer #3:</w:t>
      </w:r>
      <w:r w:rsidR="00224549">
        <w:br/>
        <w:t xml:space="preserve">Authors demonstrated a safe, easy, and inexpensive method for measuring neutralizing antibody capacity against SARS-CoV-2 using Spike bearing </w:t>
      </w:r>
      <w:proofErr w:type="spellStart"/>
      <w:r w:rsidR="00224549">
        <w:t>pseudoviruses</w:t>
      </w:r>
      <w:proofErr w:type="spellEnd"/>
      <w:r w:rsidR="00224549">
        <w:t>. After a minor revision, this protocol would be ready to publish.</w:t>
      </w:r>
      <w:r w:rsidR="00224549">
        <w:br/>
      </w:r>
      <w:r w:rsidR="00224549">
        <w:br/>
        <w:t>Line 86 (and later) - Would it be a problem if Pen/Strep is used in the media?</w:t>
      </w:r>
      <w:r w:rsidR="007C0B9E">
        <w:t xml:space="preserve"> </w:t>
      </w:r>
      <w:r w:rsidR="007C0B9E" w:rsidRPr="007C0B9E">
        <w:rPr>
          <w:highlight w:val="green"/>
        </w:rPr>
        <w:t xml:space="preserve">Pen/strep should be used </w:t>
      </w:r>
      <w:r w:rsidR="007C0B9E" w:rsidRPr="0022723C">
        <w:rPr>
          <w:highlight w:val="green"/>
        </w:rPr>
        <w:t>especially when testing human/animal serum, we have not encountered an</w:t>
      </w:r>
      <w:r w:rsidR="002616E0" w:rsidRPr="0022723C">
        <w:rPr>
          <w:highlight w:val="green"/>
        </w:rPr>
        <w:t>y</w:t>
      </w:r>
      <w:r w:rsidR="007C0B9E" w:rsidRPr="0022723C">
        <w:rPr>
          <w:highlight w:val="green"/>
        </w:rPr>
        <w:t xml:space="preserve"> issues with infection by adding pen/strep</w:t>
      </w:r>
      <w:r w:rsidR="0022723C" w:rsidRPr="0022723C">
        <w:rPr>
          <w:highlight w:val="green"/>
        </w:rPr>
        <w:t xml:space="preserve">. It may also be used for cell plating and virus production (listed as optional for these </w:t>
      </w:r>
      <w:r w:rsidR="0022723C" w:rsidRPr="0022723C">
        <w:rPr>
          <w:highlight w:val="green"/>
        </w:rPr>
        <w:lastRenderedPageBreak/>
        <w:t>steps) (line 96).</w:t>
      </w:r>
      <w:r w:rsidR="00224549">
        <w:br/>
        <w:t xml:space="preserve">Line 114 - From a methods article, it is expected to explain how </w:t>
      </w:r>
      <w:proofErr w:type="spellStart"/>
      <w:r w:rsidR="00224549">
        <w:t>pseudovirus</w:t>
      </w:r>
      <w:proofErr w:type="spellEnd"/>
      <w:r w:rsidR="00224549">
        <w:t xml:space="preserve"> is prepared as well. However, one should have stock </w:t>
      </w:r>
      <w:proofErr w:type="spellStart"/>
      <w:r w:rsidR="00224549">
        <w:t>pseudovirus</w:t>
      </w:r>
      <w:proofErr w:type="spellEnd"/>
      <w:r w:rsidR="00224549">
        <w:t xml:space="preserve"> to perform this protocol. This needs to be mentioned earlier and sources to find VSV-S stock virus need to be defined. Is it commercially available or need to be prepared based on a reference article?</w:t>
      </w:r>
      <w:r w:rsidR="007C0B9E">
        <w:t xml:space="preserve"> </w:t>
      </w:r>
      <w:r w:rsidR="007C0B9E" w:rsidRPr="007C0B9E">
        <w:rPr>
          <w:highlight w:val="green"/>
        </w:rPr>
        <w:t xml:space="preserve">The source of VSV-S has already been noted in the acknowledgments and cited in the </w:t>
      </w:r>
      <w:proofErr w:type="gramStart"/>
      <w:r w:rsidR="007C0B9E" w:rsidRPr="007C0B9E">
        <w:rPr>
          <w:highlight w:val="green"/>
        </w:rPr>
        <w:t>introduction,</w:t>
      </w:r>
      <w:proofErr w:type="gramEnd"/>
      <w:r w:rsidR="007C0B9E" w:rsidRPr="007C0B9E">
        <w:rPr>
          <w:highlight w:val="green"/>
        </w:rPr>
        <w:t xml:space="preserve"> an explicit mention of the donor lab has been added</w:t>
      </w:r>
      <w:r w:rsidR="0022723C">
        <w:t xml:space="preserve"> </w:t>
      </w:r>
      <w:r w:rsidR="0022723C" w:rsidRPr="0022723C">
        <w:rPr>
          <w:highlight w:val="green"/>
        </w:rPr>
        <w:t>(line 77).</w:t>
      </w:r>
      <w:r w:rsidR="007C0B9E">
        <w:t xml:space="preserve"> </w:t>
      </w:r>
      <w:r w:rsidR="00224549">
        <w:br/>
        <w:t xml:space="preserve">Line 118 - Does the temperature have to be 34 </w:t>
      </w:r>
      <w:proofErr w:type="spellStart"/>
      <w:r w:rsidR="00224549">
        <w:t>oC</w:t>
      </w:r>
      <w:proofErr w:type="spellEnd"/>
      <w:r w:rsidR="00224549">
        <w:t xml:space="preserve">? If it only increases efficiency, and not an absolute requirement, this needs to be mentioned as many labs do not typically use an incubator set to 34 </w:t>
      </w:r>
      <w:proofErr w:type="spellStart"/>
      <w:r w:rsidR="00224549">
        <w:t>oC.</w:t>
      </w:r>
      <w:proofErr w:type="spellEnd"/>
      <w:r w:rsidR="007C0B9E">
        <w:t xml:space="preserve"> </w:t>
      </w:r>
      <w:r w:rsidR="007C0B9E" w:rsidRPr="007C0B9E">
        <w:rPr>
          <w:highlight w:val="green"/>
        </w:rPr>
        <w:t xml:space="preserve">Yes, </w:t>
      </w:r>
      <w:proofErr w:type="gramStart"/>
      <w:r w:rsidR="007C0B9E" w:rsidRPr="007C0B9E">
        <w:rPr>
          <w:highlight w:val="green"/>
        </w:rPr>
        <w:t>34 degree</w:t>
      </w:r>
      <w:proofErr w:type="gramEnd"/>
      <w:r w:rsidR="007C0B9E" w:rsidRPr="007C0B9E">
        <w:rPr>
          <w:highlight w:val="green"/>
        </w:rPr>
        <w:t xml:space="preserve"> incubation is necessary. This has been highlighted for clarity</w:t>
      </w:r>
      <w:r w:rsidR="007C0B9E" w:rsidRPr="003C7028">
        <w:rPr>
          <w:highlight w:val="green"/>
        </w:rPr>
        <w:t>. Any standard incubator can be changed from 37 to 34 degrees.</w:t>
      </w:r>
      <w:r w:rsidR="007C0B9E">
        <w:t xml:space="preserve"> </w:t>
      </w:r>
      <w:r w:rsidR="00224549">
        <w:br/>
        <w:t>Line 159-161 - An example calculation or formula will be more explanatory.</w:t>
      </w:r>
      <w:r w:rsidR="007C0B9E">
        <w:t xml:space="preserve"> </w:t>
      </w:r>
      <w:r w:rsidR="007C0B9E" w:rsidRPr="007C0B9E">
        <w:rPr>
          <w:highlight w:val="green"/>
        </w:rPr>
        <w:t>Formula has been added</w:t>
      </w:r>
      <w:r w:rsidR="0022723C">
        <w:rPr>
          <w:highlight w:val="green"/>
        </w:rPr>
        <w:t xml:space="preserve"> (line 202)</w:t>
      </w:r>
      <w:r w:rsidR="007C0B9E" w:rsidRPr="007C0B9E">
        <w:rPr>
          <w:highlight w:val="green"/>
        </w:rPr>
        <w:t>.</w:t>
      </w:r>
      <w:r w:rsidR="007C0B9E">
        <w:t xml:space="preserve"> </w:t>
      </w:r>
      <w:r w:rsidR="00224549">
        <w:br/>
        <w:t>Line 210 - 30 ul of this 60 ul aliquot will be virus, so calculation needs to be done accordingly.</w:t>
      </w:r>
      <w:r w:rsidR="007C0B9E">
        <w:t xml:space="preserve"> </w:t>
      </w:r>
      <w:r w:rsidR="007C0B9E" w:rsidRPr="007C0B9E">
        <w:rPr>
          <w:highlight w:val="green"/>
        </w:rPr>
        <w:t>A note has been added</w:t>
      </w:r>
      <w:r w:rsidR="0022723C">
        <w:rPr>
          <w:highlight w:val="green"/>
        </w:rPr>
        <w:t xml:space="preserve"> (line 266)</w:t>
      </w:r>
      <w:r w:rsidR="007C0B9E" w:rsidRPr="007C0B9E">
        <w:rPr>
          <w:highlight w:val="green"/>
        </w:rPr>
        <w:t>.</w:t>
      </w:r>
      <w:r w:rsidR="007C0B9E">
        <w:t xml:space="preserve"> </w:t>
      </w:r>
      <w:r w:rsidR="00224549">
        <w:br/>
        <w:t>Line 229-233 - Mention about duplicate/triplicate wells, negative/positive control conditions and relative infection calculations/normalizations.</w:t>
      </w:r>
      <w:r w:rsidR="007C0B9E">
        <w:t xml:space="preserve"> </w:t>
      </w:r>
      <w:r w:rsidR="007C0B9E" w:rsidRPr="007C0B9E">
        <w:rPr>
          <w:highlight w:val="green"/>
        </w:rPr>
        <w:t>Positive, negative and replicates have been highlighted.</w:t>
      </w:r>
      <w:r w:rsidR="007C0B9E">
        <w:t xml:space="preserve"> </w:t>
      </w:r>
      <w:r w:rsidR="00224549">
        <w:br/>
      </w:r>
      <w:r w:rsidR="00224549">
        <w:br/>
        <w:t xml:space="preserve">Discussion: This method can be used for not only patient serum neutralization, but also neutralization by other drug candidates (targeting Spike-Ace2 interaction). </w:t>
      </w:r>
      <w:proofErr w:type="gramStart"/>
      <w:r w:rsidR="00224549">
        <w:t>Therefore</w:t>
      </w:r>
      <w:proofErr w:type="gramEnd"/>
      <w:r w:rsidR="00224549">
        <w:t xml:space="preserve"> comments on this protocol's other potential applications will strengthen the manuscript.</w:t>
      </w:r>
      <w:r w:rsidR="007C0B9E">
        <w:t xml:space="preserve"> </w:t>
      </w:r>
      <w:r w:rsidR="007C0B9E" w:rsidRPr="007C0B9E">
        <w:rPr>
          <w:highlight w:val="green"/>
        </w:rPr>
        <w:t>An additional statement has been added to the discussion</w:t>
      </w:r>
      <w:r w:rsidR="0022723C">
        <w:rPr>
          <w:highlight w:val="green"/>
        </w:rPr>
        <w:t xml:space="preserve"> (line 372)</w:t>
      </w:r>
      <w:r w:rsidR="007C0B9E" w:rsidRPr="007C0B9E">
        <w:rPr>
          <w:highlight w:val="green"/>
        </w:rPr>
        <w:t>.</w:t>
      </w:r>
      <w:r w:rsidR="007C0B9E">
        <w:t xml:space="preserve"> </w:t>
      </w:r>
    </w:p>
    <w:p w14:paraId="5783DFE4" w14:textId="77777777" w:rsidR="00033FDD" w:rsidRDefault="00033FDD"/>
    <w:sectPr w:rsidR="00033F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49"/>
    <w:rsid w:val="00033FDD"/>
    <w:rsid w:val="00081A6D"/>
    <w:rsid w:val="00084FE7"/>
    <w:rsid w:val="00141177"/>
    <w:rsid w:val="00224549"/>
    <w:rsid w:val="0022723C"/>
    <w:rsid w:val="002616E0"/>
    <w:rsid w:val="002C6CFC"/>
    <w:rsid w:val="00332537"/>
    <w:rsid w:val="003901AF"/>
    <w:rsid w:val="003C7028"/>
    <w:rsid w:val="004A01DF"/>
    <w:rsid w:val="00525E29"/>
    <w:rsid w:val="00562C5E"/>
    <w:rsid w:val="005D70DA"/>
    <w:rsid w:val="006F5E93"/>
    <w:rsid w:val="00703A12"/>
    <w:rsid w:val="007C0B9E"/>
    <w:rsid w:val="00943A96"/>
    <w:rsid w:val="00982815"/>
    <w:rsid w:val="009E4982"/>
    <w:rsid w:val="00AD1688"/>
    <w:rsid w:val="00BA402B"/>
    <w:rsid w:val="00BC08E9"/>
    <w:rsid w:val="00C666FB"/>
    <w:rsid w:val="00CB64B0"/>
    <w:rsid w:val="00E51E23"/>
    <w:rsid w:val="00E70129"/>
    <w:rsid w:val="00F4062E"/>
    <w:rsid w:val="00FD4D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0F78"/>
  <w15:chartTrackingRefBased/>
  <w15:docId w15:val="{9C2F0955-0620-458F-B085-93E93E3F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549"/>
    <w:pPr>
      <w:spacing w:before="100" w:beforeAutospacing="1" w:after="100" w:afterAutospacing="1" w:line="240" w:lineRule="auto"/>
    </w:pPr>
    <w:rPr>
      <w:rFonts w:ascii="Calibri" w:eastAsiaTheme="minorEastAsia" w:hAnsi="Calibri" w:cs="Calibri"/>
      <w:lang w:eastAsia="en-CA"/>
    </w:rPr>
  </w:style>
  <w:style w:type="character" w:styleId="Strong">
    <w:name w:val="Strong"/>
    <w:basedOn w:val="DefaultParagraphFont"/>
    <w:uiPriority w:val="22"/>
    <w:qFormat/>
    <w:rsid w:val="00224549"/>
    <w:rPr>
      <w:b/>
      <w:bCs/>
    </w:rPr>
  </w:style>
  <w:style w:type="paragraph" w:styleId="BalloonText">
    <w:name w:val="Balloon Text"/>
    <w:basedOn w:val="Normal"/>
    <w:link w:val="BalloonTextChar"/>
    <w:uiPriority w:val="99"/>
    <w:semiHidden/>
    <w:unhideWhenUsed/>
    <w:rsid w:val="00BA4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2B"/>
    <w:rPr>
      <w:rFonts w:ascii="Segoe UI" w:hAnsi="Segoe UI" w:cs="Segoe UI"/>
      <w:sz w:val="18"/>
      <w:szCs w:val="18"/>
    </w:rPr>
  </w:style>
  <w:style w:type="character" w:styleId="Hyperlink">
    <w:name w:val="Hyperlink"/>
    <w:basedOn w:val="DefaultParagraphFont"/>
    <w:uiPriority w:val="99"/>
    <w:unhideWhenUsed/>
    <w:rsid w:val="00BA402B"/>
    <w:rPr>
      <w:color w:val="0563C1" w:themeColor="hyperlink"/>
      <w:u w:val="single"/>
    </w:rPr>
  </w:style>
  <w:style w:type="character" w:styleId="UnresolvedMention">
    <w:name w:val="Unresolved Mention"/>
    <w:basedOn w:val="DefaultParagraphFont"/>
    <w:uiPriority w:val="99"/>
    <w:semiHidden/>
    <w:unhideWhenUsed/>
    <w:rsid w:val="00BA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Rae Jamieson</dc:creator>
  <cp:keywords/>
  <dc:description/>
  <cp:lastModifiedBy>Taylor Rae Jamieson</cp:lastModifiedBy>
  <cp:revision>26</cp:revision>
  <dcterms:created xsi:type="dcterms:W3CDTF">2021-02-27T19:03:00Z</dcterms:created>
  <dcterms:modified xsi:type="dcterms:W3CDTF">2021-03-07T00:41:00Z</dcterms:modified>
</cp:coreProperties>
</file>