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21CD3" w14:textId="77777777" w:rsidR="00FF3BC1" w:rsidRPr="00B7067D" w:rsidRDefault="00FF3BC1" w:rsidP="00FF3BC1">
      <w:pPr>
        <w:rPr>
          <w:i/>
          <w:iCs/>
        </w:rPr>
      </w:pPr>
      <w:r w:rsidRPr="00B7067D">
        <w:rPr>
          <w:i/>
          <w:iCs/>
        </w:rPr>
        <w:t>Reviewer #4:</w:t>
      </w:r>
    </w:p>
    <w:p w14:paraId="20689A4E" w14:textId="77777777" w:rsidR="00FF3BC1" w:rsidRPr="00B7067D" w:rsidRDefault="00FF3BC1" w:rsidP="00FF3BC1">
      <w:pPr>
        <w:rPr>
          <w:i/>
          <w:iCs/>
        </w:rPr>
      </w:pPr>
      <w:r w:rsidRPr="00B7067D">
        <w:rPr>
          <w:i/>
          <w:iCs/>
        </w:rPr>
        <w:t>Manuscript Summary:</w:t>
      </w:r>
    </w:p>
    <w:p w14:paraId="67F45908" w14:textId="77777777" w:rsidR="00FF3BC1" w:rsidRPr="00B7067D" w:rsidRDefault="00FF3BC1" w:rsidP="00FF3BC1">
      <w:pPr>
        <w:rPr>
          <w:i/>
          <w:iCs/>
        </w:rPr>
      </w:pPr>
      <w:r w:rsidRPr="00B7067D">
        <w:rPr>
          <w:i/>
          <w:iCs/>
        </w:rPr>
        <w:t xml:space="preserve">In this manuscript, the authors provide protocols for the iPSC differentiation into microglia-like cells, cortical neurons as well as the procedures of co-culture of the two cell types. Especially the new iPSC to microglia differentiation technique is highly interesting for microglia research. Although a ladder of different microglia differentiation protocols has emerged in the past 5 years </w:t>
      </w:r>
      <w:proofErr w:type="gramStart"/>
      <w:r w:rsidRPr="00B7067D">
        <w:rPr>
          <w:i/>
          <w:iCs/>
        </w:rPr>
        <w:t>it is clear that several</w:t>
      </w:r>
      <w:proofErr w:type="gramEnd"/>
      <w:r w:rsidRPr="00B7067D">
        <w:rPr>
          <w:i/>
          <w:iCs/>
        </w:rPr>
        <w:t xml:space="preserve"> improvements may improve the yield, robustness and functionality of the cells. The benefit of the presented protocol is the simplification of the </w:t>
      </w:r>
      <w:proofErr w:type="spellStart"/>
      <w:r w:rsidRPr="00B7067D">
        <w:rPr>
          <w:i/>
          <w:iCs/>
        </w:rPr>
        <w:t>Douvaras</w:t>
      </w:r>
      <w:proofErr w:type="spellEnd"/>
      <w:r w:rsidRPr="00B7067D">
        <w:rPr>
          <w:i/>
          <w:iCs/>
        </w:rPr>
        <w:t xml:space="preserve"> protocol what might be interesting for scientists to save resources. In addition, a robust protocol for microglia-like cell &amp; iPSC-derived neuron co-culture will help scientists to unravel mechanisms of cellular interactions between both cell types.</w:t>
      </w:r>
    </w:p>
    <w:p w14:paraId="240878AD" w14:textId="77777777" w:rsidR="00FF3BC1" w:rsidRPr="00B7067D" w:rsidRDefault="00FF3BC1" w:rsidP="00FF3BC1">
      <w:pPr>
        <w:rPr>
          <w:i/>
          <w:iCs/>
        </w:rPr>
      </w:pPr>
      <w:proofErr w:type="gramStart"/>
      <w:r w:rsidRPr="00B7067D">
        <w:rPr>
          <w:i/>
          <w:iCs/>
        </w:rPr>
        <w:t>However</w:t>
      </w:r>
      <w:proofErr w:type="gramEnd"/>
      <w:r w:rsidRPr="00B7067D">
        <w:rPr>
          <w:i/>
          <w:iCs/>
        </w:rPr>
        <w:t xml:space="preserve"> some points should be addressed:</w:t>
      </w:r>
    </w:p>
    <w:p w14:paraId="740A467B" w14:textId="77777777" w:rsidR="00FF3BC1" w:rsidRPr="00B7067D" w:rsidRDefault="00FF3BC1" w:rsidP="00FF3BC1">
      <w:pPr>
        <w:rPr>
          <w:i/>
          <w:iCs/>
        </w:rPr>
      </w:pPr>
    </w:p>
    <w:p w14:paraId="493EE162" w14:textId="77777777" w:rsidR="00FF3BC1" w:rsidRPr="00B7067D" w:rsidRDefault="00FF3BC1" w:rsidP="00FF3BC1">
      <w:pPr>
        <w:rPr>
          <w:i/>
          <w:iCs/>
        </w:rPr>
      </w:pPr>
      <w:r w:rsidRPr="00B7067D">
        <w:rPr>
          <w:i/>
          <w:iCs/>
        </w:rPr>
        <w:t>Minor Concerns:</w:t>
      </w:r>
    </w:p>
    <w:p w14:paraId="0C593A75" w14:textId="77777777" w:rsidR="00FF3BC1" w:rsidRPr="00B7067D" w:rsidRDefault="00FF3BC1" w:rsidP="00FF3BC1">
      <w:pPr>
        <w:rPr>
          <w:i/>
          <w:iCs/>
        </w:rPr>
      </w:pPr>
      <w:r w:rsidRPr="00B7067D">
        <w:rPr>
          <w:i/>
          <w:iCs/>
        </w:rPr>
        <w:t>1. Protocol:</w:t>
      </w:r>
    </w:p>
    <w:p w14:paraId="5624436A" w14:textId="77777777" w:rsidR="00FF3BC1" w:rsidRPr="00B7067D" w:rsidRDefault="00FF3BC1" w:rsidP="00FF3BC1">
      <w:pPr>
        <w:rPr>
          <w:i/>
          <w:iCs/>
        </w:rPr>
      </w:pPr>
      <w:r w:rsidRPr="00B7067D">
        <w:rPr>
          <w:i/>
          <w:iCs/>
        </w:rPr>
        <w:t>3.3 &amp; 3.4.: The enzymatic dissociation reagent should be specified.</w:t>
      </w:r>
    </w:p>
    <w:p w14:paraId="483B1A17" w14:textId="77777777" w:rsidR="00FF3BC1" w:rsidRPr="00B7067D" w:rsidRDefault="00FF3BC1" w:rsidP="00FF3BC1">
      <w:pPr>
        <w:rPr>
          <w:i/>
          <w:iCs/>
        </w:rPr>
      </w:pPr>
      <w:r w:rsidRPr="00B7067D">
        <w:rPr>
          <w:i/>
          <w:iCs/>
        </w:rPr>
        <w:t>3.4.: Do you use the 15ml falcon with 5ml medium addressed in 3.3 in this step?</w:t>
      </w:r>
    </w:p>
    <w:p w14:paraId="1E64C35E" w14:textId="77777777" w:rsidR="00FF3BC1" w:rsidRPr="00B7067D" w:rsidRDefault="00FF3BC1" w:rsidP="00FF3BC1">
      <w:pPr>
        <w:rPr>
          <w:i/>
          <w:iCs/>
        </w:rPr>
      </w:pPr>
      <w:r w:rsidRPr="00B7067D">
        <w:rPr>
          <w:i/>
          <w:iCs/>
        </w:rPr>
        <w:t>3.5.-3.10.: Reference 3.2 is not about passaging.</w:t>
      </w:r>
    </w:p>
    <w:p w14:paraId="1AA7ACEA" w14:textId="722744B6" w:rsidR="00FF3BC1" w:rsidRPr="00B7067D" w:rsidRDefault="00FF3BC1" w:rsidP="00FF3BC1">
      <w:pPr>
        <w:rPr>
          <w:i/>
          <w:iCs/>
        </w:rPr>
      </w:pPr>
      <w:r w:rsidRPr="00B7067D">
        <w:rPr>
          <w:i/>
          <w:iCs/>
        </w:rPr>
        <w:t>3.10.: The ingredients of the neuronal medium (NM) should be named.</w:t>
      </w:r>
    </w:p>
    <w:p w14:paraId="6783FA3E" w14:textId="4D15D940" w:rsidR="00FF3BC1" w:rsidRPr="00B7067D" w:rsidRDefault="00B7067D" w:rsidP="00FF3BC1">
      <w:pPr>
        <w:rPr>
          <w:b/>
          <w:bCs/>
          <w:color w:val="000000" w:themeColor="text1"/>
        </w:rPr>
      </w:pPr>
      <w:r w:rsidRPr="00B7067D">
        <w:rPr>
          <w:b/>
          <w:bCs/>
          <w:color w:val="000000" w:themeColor="text1"/>
        </w:rPr>
        <w:sym w:font="Wingdings" w:char="F0E0"/>
      </w:r>
      <w:r w:rsidRPr="00B7067D">
        <w:rPr>
          <w:b/>
          <w:bCs/>
          <w:color w:val="000000" w:themeColor="text1"/>
        </w:rPr>
        <w:t xml:space="preserve"> </w:t>
      </w:r>
      <w:r w:rsidR="00D8523A">
        <w:rPr>
          <w:b/>
          <w:bCs/>
          <w:color w:val="000000" w:themeColor="text1"/>
        </w:rPr>
        <w:t xml:space="preserve">We have made changes in the manuscript to </w:t>
      </w:r>
      <w:r>
        <w:rPr>
          <w:b/>
          <w:bCs/>
          <w:color w:val="000000" w:themeColor="text1"/>
        </w:rPr>
        <w:t>addres</w:t>
      </w:r>
      <w:r w:rsidR="00D8523A">
        <w:rPr>
          <w:b/>
          <w:bCs/>
          <w:color w:val="000000" w:themeColor="text1"/>
        </w:rPr>
        <w:t>s all these comments</w:t>
      </w:r>
      <w:r w:rsidR="00FF3BC1" w:rsidRPr="00B7067D">
        <w:rPr>
          <w:b/>
          <w:bCs/>
          <w:color w:val="000000" w:themeColor="text1"/>
        </w:rPr>
        <w:t>.</w:t>
      </w:r>
    </w:p>
    <w:p w14:paraId="7B2FF71B" w14:textId="77777777" w:rsidR="00FF3BC1" w:rsidRDefault="00FF3BC1" w:rsidP="00FF3BC1"/>
    <w:p w14:paraId="2DA15697" w14:textId="77777777" w:rsidR="00FF3BC1" w:rsidRPr="00B7067D" w:rsidRDefault="00FF3BC1" w:rsidP="00FF3BC1">
      <w:pPr>
        <w:rPr>
          <w:i/>
          <w:iCs/>
        </w:rPr>
      </w:pPr>
      <w:r w:rsidRPr="00B7067D">
        <w:rPr>
          <w:i/>
          <w:iCs/>
        </w:rPr>
        <w:t>2. Figures</w:t>
      </w:r>
    </w:p>
    <w:p w14:paraId="2183A092" w14:textId="77777777" w:rsidR="00FF3BC1" w:rsidRPr="00B7067D" w:rsidRDefault="00FF3BC1" w:rsidP="00FF3BC1">
      <w:pPr>
        <w:rPr>
          <w:i/>
          <w:iCs/>
        </w:rPr>
      </w:pPr>
      <w:r w:rsidRPr="00B7067D">
        <w:rPr>
          <w:i/>
          <w:iCs/>
        </w:rPr>
        <w:t>Figure 1 is missing in the most recent submission file and should be included again.</w:t>
      </w:r>
    </w:p>
    <w:p w14:paraId="51B3BFFA" w14:textId="77777777" w:rsidR="00FF3BC1" w:rsidRPr="00B7067D" w:rsidRDefault="00FF3BC1" w:rsidP="00FF3BC1">
      <w:pPr>
        <w:rPr>
          <w:i/>
          <w:iCs/>
        </w:rPr>
      </w:pPr>
      <w:r w:rsidRPr="00B7067D">
        <w:rPr>
          <w:i/>
          <w:iCs/>
        </w:rPr>
        <w:t>For better reproducibility, it would be extremely useful to see additional light microscopy images depicting all critical (morphological) transformation steps from iPSC to the mature microglia-like cells in Fig. 1A-C (</w:t>
      </w:r>
      <w:proofErr w:type="gramStart"/>
      <w:r w:rsidRPr="00B7067D">
        <w:rPr>
          <w:i/>
          <w:iCs/>
        </w:rPr>
        <w:t>i.e.</w:t>
      </w:r>
      <w:proofErr w:type="gramEnd"/>
      <w:r w:rsidRPr="00B7067D">
        <w:rPr>
          <w:i/>
          <w:iCs/>
        </w:rPr>
        <w:t xml:space="preserve"> d0, d4, d6, d14, d0 adherent, d14 adherent, d60). Analogous this would be useful for neuronal differentiation (Fig. 1G-H).</w:t>
      </w:r>
    </w:p>
    <w:p w14:paraId="77D8C9D6" w14:textId="77777777" w:rsidR="00FF3BC1" w:rsidRPr="00B7067D" w:rsidRDefault="00FF3BC1" w:rsidP="00FF3BC1">
      <w:pPr>
        <w:rPr>
          <w:i/>
          <w:iCs/>
        </w:rPr>
      </w:pPr>
      <w:r w:rsidRPr="00B7067D">
        <w:rPr>
          <w:i/>
          <w:iCs/>
        </w:rPr>
        <w:t>Fig. 2A is the only picture showing the co-culture of the iPSC-derived neurons and microglia. Unfortunately, the staining quality is very low and provides poor insight into the morphology and interactions of both cell types. This should be revised or other proof of concepts of the functionality of the co-culture of microglia-like cells and iPSC-derived neurons should be included into the manuscript.</w:t>
      </w:r>
    </w:p>
    <w:p w14:paraId="52C405C9" w14:textId="73BB4F8B" w:rsidR="00FF3BC1" w:rsidRPr="00B7067D" w:rsidRDefault="00FF3BC1" w:rsidP="00FF3BC1">
      <w:pPr>
        <w:rPr>
          <w:i/>
          <w:iCs/>
        </w:rPr>
      </w:pPr>
      <w:r w:rsidRPr="00B7067D">
        <w:rPr>
          <w:i/>
          <w:iCs/>
        </w:rPr>
        <w:t>The unit of length in Fig. 2D should be changed from "um" to "µm".</w:t>
      </w:r>
    </w:p>
    <w:p w14:paraId="7B7F2FC9" w14:textId="00C560A6" w:rsidR="00D8523A" w:rsidRDefault="00B7067D" w:rsidP="00FF3BC1">
      <w:pPr>
        <w:rPr>
          <w:b/>
          <w:bCs/>
          <w:color w:val="000000" w:themeColor="text1"/>
        </w:rPr>
      </w:pPr>
      <w:r w:rsidRPr="00B7067D">
        <w:rPr>
          <w:b/>
          <w:bCs/>
          <w:color w:val="000000" w:themeColor="text1"/>
        </w:rPr>
        <w:sym w:font="Wingdings" w:char="F0E0"/>
      </w:r>
      <w:r w:rsidRPr="00B7067D">
        <w:rPr>
          <w:b/>
          <w:bCs/>
          <w:color w:val="000000" w:themeColor="text1"/>
        </w:rPr>
        <w:t xml:space="preserve"> </w:t>
      </w:r>
      <w:r w:rsidR="00D8523A">
        <w:rPr>
          <w:b/>
          <w:bCs/>
          <w:color w:val="000000" w:themeColor="text1"/>
        </w:rPr>
        <w:t xml:space="preserve">In figure 1, we </w:t>
      </w:r>
      <w:r w:rsidR="00FF3BC1" w:rsidRPr="00B7067D">
        <w:rPr>
          <w:b/>
          <w:bCs/>
          <w:color w:val="000000" w:themeColor="text1"/>
        </w:rPr>
        <w:t xml:space="preserve">have </w:t>
      </w:r>
      <w:r w:rsidR="00560EF7">
        <w:rPr>
          <w:b/>
          <w:bCs/>
          <w:color w:val="000000" w:themeColor="text1"/>
        </w:rPr>
        <w:t>added</w:t>
      </w:r>
      <w:r w:rsidR="00FF3BC1" w:rsidRPr="00B7067D">
        <w:rPr>
          <w:b/>
          <w:bCs/>
          <w:color w:val="000000" w:themeColor="text1"/>
        </w:rPr>
        <w:t xml:space="preserve"> </w:t>
      </w:r>
      <w:r w:rsidR="00D8523A">
        <w:rPr>
          <w:b/>
          <w:bCs/>
          <w:color w:val="000000" w:themeColor="text1"/>
        </w:rPr>
        <w:t>light microscopy</w:t>
      </w:r>
      <w:r w:rsidR="00FF3BC1" w:rsidRPr="00B7067D">
        <w:rPr>
          <w:b/>
          <w:bCs/>
          <w:color w:val="000000" w:themeColor="text1"/>
        </w:rPr>
        <w:t xml:space="preserve"> </w:t>
      </w:r>
      <w:r w:rsidR="00D8523A">
        <w:rPr>
          <w:b/>
          <w:bCs/>
          <w:color w:val="000000" w:themeColor="text1"/>
        </w:rPr>
        <w:t>images of</w:t>
      </w:r>
      <w:r w:rsidR="00FF3BC1" w:rsidRPr="00B7067D">
        <w:rPr>
          <w:b/>
          <w:bCs/>
          <w:color w:val="000000" w:themeColor="text1"/>
        </w:rPr>
        <w:t xml:space="preserve"> </w:t>
      </w:r>
      <w:r w:rsidR="00D8523A">
        <w:rPr>
          <w:b/>
          <w:bCs/>
          <w:color w:val="000000" w:themeColor="text1"/>
        </w:rPr>
        <w:t>the neural progenitor cells and the differentiated neurons</w:t>
      </w:r>
      <w:r w:rsidR="00FF3BC1" w:rsidRPr="00B7067D">
        <w:rPr>
          <w:b/>
          <w:bCs/>
          <w:color w:val="000000" w:themeColor="text1"/>
        </w:rPr>
        <w:t>.</w:t>
      </w:r>
      <w:r w:rsidR="00560EF7">
        <w:rPr>
          <w:b/>
          <w:bCs/>
          <w:color w:val="000000" w:themeColor="text1"/>
        </w:rPr>
        <w:t xml:space="preserve"> We had taken light microscopy images of the </w:t>
      </w:r>
      <w:r w:rsidR="004E0099">
        <w:rPr>
          <w:b/>
          <w:bCs/>
          <w:color w:val="000000" w:themeColor="text1"/>
        </w:rPr>
        <w:t>microglia-like cells at only specific stages and unfortunately do not have the serial images from different days.</w:t>
      </w:r>
      <w:r w:rsidR="00FF3BC1" w:rsidRPr="00B7067D">
        <w:rPr>
          <w:b/>
          <w:bCs/>
          <w:color w:val="000000" w:themeColor="text1"/>
        </w:rPr>
        <w:t xml:space="preserve"> </w:t>
      </w:r>
      <w:r w:rsidR="003552BC" w:rsidRPr="00B7067D">
        <w:rPr>
          <w:b/>
          <w:bCs/>
          <w:color w:val="000000" w:themeColor="text1"/>
        </w:rPr>
        <w:t xml:space="preserve"> </w:t>
      </w:r>
    </w:p>
    <w:p w14:paraId="73E77A82" w14:textId="33B27646" w:rsidR="00FF3BC1" w:rsidRPr="00B7067D" w:rsidRDefault="00D8523A" w:rsidP="00FF3BC1">
      <w:pPr>
        <w:rPr>
          <w:b/>
          <w:bCs/>
          <w:color w:val="000000" w:themeColor="text1"/>
        </w:rPr>
      </w:pPr>
      <w:r w:rsidRPr="00D8523A">
        <w:rPr>
          <w:b/>
          <w:bCs/>
          <w:color w:val="000000" w:themeColor="text1"/>
        </w:rPr>
        <w:sym w:font="Wingdings" w:char="F0E0"/>
      </w:r>
      <w:r>
        <w:rPr>
          <w:b/>
          <w:bCs/>
          <w:color w:val="000000" w:themeColor="text1"/>
        </w:rPr>
        <w:t xml:space="preserve"> In figure 2, w</w:t>
      </w:r>
      <w:r w:rsidR="003552BC" w:rsidRPr="00B7067D">
        <w:rPr>
          <w:b/>
          <w:bCs/>
          <w:color w:val="000000" w:themeColor="text1"/>
        </w:rPr>
        <w:t xml:space="preserve">e </w:t>
      </w:r>
      <w:r>
        <w:rPr>
          <w:b/>
          <w:bCs/>
          <w:color w:val="000000" w:themeColor="text1"/>
        </w:rPr>
        <w:t>have</w:t>
      </w:r>
      <w:r w:rsidR="001C1E0A">
        <w:rPr>
          <w:b/>
          <w:bCs/>
          <w:color w:val="000000" w:themeColor="text1"/>
        </w:rPr>
        <w:t xml:space="preserve"> included</w:t>
      </w:r>
      <w:r>
        <w:rPr>
          <w:b/>
          <w:bCs/>
          <w:color w:val="000000" w:themeColor="text1"/>
        </w:rPr>
        <w:t xml:space="preserve"> </w:t>
      </w:r>
      <w:r w:rsidR="001C1E0A">
        <w:rPr>
          <w:b/>
          <w:bCs/>
          <w:color w:val="000000" w:themeColor="text1"/>
        </w:rPr>
        <w:t>two sets of</w:t>
      </w:r>
      <w:r w:rsidR="003552BC" w:rsidRPr="00B7067D">
        <w:rPr>
          <w:b/>
          <w:bCs/>
          <w:color w:val="000000" w:themeColor="text1"/>
        </w:rPr>
        <w:t xml:space="preserve"> </w:t>
      </w:r>
      <w:r>
        <w:rPr>
          <w:b/>
          <w:bCs/>
          <w:color w:val="000000" w:themeColor="text1"/>
        </w:rPr>
        <w:t>images</w:t>
      </w:r>
      <w:r w:rsidR="003552BC" w:rsidRPr="00B7067D">
        <w:rPr>
          <w:b/>
          <w:bCs/>
          <w:color w:val="000000" w:themeColor="text1"/>
        </w:rPr>
        <w:t xml:space="preserve"> </w:t>
      </w:r>
      <w:r>
        <w:rPr>
          <w:b/>
          <w:bCs/>
          <w:color w:val="000000" w:themeColor="text1"/>
        </w:rPr>
        <w:t>that give a clearer representation of the</w:t>
      </w:r>
      <w:r w:rsidR="001C1E0A">
        <w:rPr>
          <w:b/>
          <w:bCs/>
          <w:color w:val="000000" w:themeColor="text1"/>
        </w:rPr>
        <w:t xml:space="preserve"> co-culture</w:t>
      </w:r>
      <w:r w:rsidR="003552BC" w:rsidRPr="00B7067D">
        <w:rPr>
          <w:b/>
          <w:bCs/>
          <w:color w:val="000000" w:themeColor="text1"/>
        </w:rPr>
        <w:t xml:space="preserve"> </w:t>
      </w:r>
      <w:r w:rsidR="001C1E0A">
        <w:rPr>
          <w:b/>
          <w:bCs/>
          <w:color w:val="000000" w:themeColor="text1"/>
        </w:rPr>
        <w:t xml:space="preserve">of </w:t>
      </w:r>
      <w:r w:rsidR="003552BC" w:rsidRPr="00B7067D">
        <w:rPr>
          <w:b/>
          <w:bCs/>
          <w:color w:val="000000" w:themeColor="text1"/>
        </w:rPr>
        <w:t xml:space="preserve">microglia-like cells </w:t>
      </w:r>
      <w:r>
        <w:rPr>
          <w:b/>
          <w:bCs/>
          <w:color w:val="000000" w:themeColor="text1"/>
        </w:rPr>
        <w:t>and the</w:t>
      </w:r>
      <w:r w:rsidR="003552BC" w:rsidRPr="00B7067D">
        <w:rPr>
          <w:b/>
          <w:bCs/>
          <w:color w:val="000000" w:themeColor="text1"/>
        </w:rPr>
        <w:t xml:space="preserve"> iPSC derived neurons.</w:t>
      </w:r>
      <w:r w:rsidR="001C1E0A">
        <w:rPr>
          <w:b/>
          <w:bCs/>
          <w:color w:val="000000" w:themeColor="text1"/>
        </w:rPr>
        <w:t xml:space="preserve"> We have included images with both the neuronal and microglial </w:t>
      </w:r>
      <w:proofErr w:type="spellStart"/>
      <w:r w:rsidR="001C1E0A">
        <w:rPr>
          <w:b/>
          <w:bCs/>
          <w:color w:val="000000" w:themeColor="text1"/>
        </w:rPr>
        <w:t>stainings</w:t>
      </w:r>
      <w:proofErr w:type="spellEnd"/>
      <w:r w:rsidR="001C1E0A">
        <w:rPr>
          <w:b/>
          <w:bCs/>
          <w:color w:val="000000" w:themeColor="text1"/>
        </w:rPr>
        <w:t xml:space="preserve"> present, along with side-by-side images showing just the neuronal or the microglial </w:t>
      </w:r>
      <w:proofErr w:type="spellStart"/>
      <w:r w:rsidR="001C1E0A">
        <w:rPr>
          <w:b/>
          <w:bCs/>
          <w:color w:val="000000" w:themeColor="text1"/>
        </w:rPr>
        <w:t>stainings</w:t>
      </w:r>
      <w:proofErr w:type="spellEnd"/>
      <w:r w:rsidR="001C1E0A">
        <w:rPr>
          <w:b/>
          <w:bCs/>
          <w:color w:val="000000" w:themeColor="text1"/>
        </w:rPr>
        <w:t>.</w:t>
      </w:r>
    </w:p>
    <w:p w14:paraId="451ED15A" w14:textId="77777777" w:rsidR="00FF3BC1" w:rsidRPr="003552BC" w:rsidRDefault="00FF3BC1" w:rsidP="00FF3BC1">
      <w:pPr>
        <w:rPr>
          <w:color w:val="FF0000"/>
        </w:rPr>
      </w:pPr>
    </w:p>
    <w:p w14:paraId="50ADD3AC" w14:textId="77777777" w:rsidR="00FF3BC1" w:rsidRPr="00D8523A" w:rsidRDefault="00FF3BC1" w:rsidP="00FF3BC1">
      <w:pPr>
        <w:rPr>
          <w:i/>
          <w:iCs/>
        </w:rPr>
      </w:pPr>
      <w:r w:rsidRPr="00D8523A">
        <w:rPr>
          <w:i/>
          <w:iCs/>
        </w:rPr>
        <w:t>Reviewer #5:</w:t>
      </w:r>
    </w:p>
    <w:p w14:paraId="379E612D" w14:textId="77777777" w:rsidR="00FF3BC1" w:rsidRPr="00D8523A" w:rsidRDefault="00FF3BC1" w:rsidP="00FF3BC1">
      <w:pPr>
        <w:rPr>
          <w:i/>
          <w:iCs/>
        </w:rPr>
      </w:pPr>
      <w:r w:rsidRPr="00D8523A">
        <w:rPr>
          <w:i/>
          <w:iCs/>
        </w:rPr>
        <w:t>Manuscript Summary:</w:t>
      </w:r>
    </w:p>
    <w:p w14:paraId="5202C035" w14:textId="77777777" w:rsidR="00FF3BC1" w:rsidRPr="00D8523A" w:rsidRDefault="00FF3BC1" w:rsidP="00FF3BC1">
      <w:pPr>
        <w:rPr>
          <w:i/>
          <w:iCs/>
        </w:rPr>
      </w:pPr>
      <w:r w:rsidRPr="00D8523A">
        <w:rPr>
          <w:i/>
          <w:iCs/>
        </w:rPr>
        <w:lastRenderedPageBreak/>
        <w:t>This manuscript describes a protocol for co-culturing human iPSC-derived microglia and cortical neurons, which will provide a useful experimental system to understand the effects of microglia on cortical neurons.</w:t>
      </w:r>
    </w:p>
    <w:p w14:paraId="4E948852" w14:textId="77777777" w:rsidR="00FF3BC1" w:rsidRPr="00D8523A" w:rsidRDefault="00FF3BC1" w:rsidP="00FF3BC1">
      <w:pPr>
        <w:rPr>
          <w:i/>
          <w:iCs/>
        </w:rPr>
      </w:pPr>
    </w:p>
    <w:p w14:paraId="333E8E2D" w14:textId="77777777" w:rsidR="00FF3BC1" w:rsidRPr="00D8523A" w:rsidRDefault="00FF3BC1" w:rsidP="00FF3BC1">
      <w:pPr>
        <w:rPr>
          <w:i/>
          <w:iCs/>
        </w:rPr>
      </w:pPr>
      <w:r w:rsidRPr="00D8523A">
        <w:rPr>
          <w:i/>
          <w:iCs/>
        </w:rPr>
        <w:t>Major Concerns:</w:t>
      </w:r>
    </w:p>
    <w:p w14:paraId="01E12CC4" w14:textId="77777777" w:rsidR="00FF3BC1" w:rsidRPr="00D8523A" w:rsidRDefault="00FF3BC1" w:rsidP="00FF3BC1">
      <w:pPr>
        <w:rPr>
          <w:i/>
          <w:iCs/>
        </w:rPr>
      </w:pPr>
      <w:r w:rsidRPr="00D8523A">
        <w:rPr>
          <w:i/>
          <w:iCs/>
        </w:rPr>
        <w:t>None.</w:t>
      </w:r>
    </w:p>
    <w:p w14:paraId="367F1B91" w14:textId="77777777" w:rsidR="00FF3BC1" w:rsidRPr="00D8523A" w:rsidRDefault="00FF3BC1" w:rsidP="00FF3BC1">
      <w:pPr>
        <w:rPr>
          <w:i/>
          <w:iCs/>
        </w:rPr>
      </w:pPr>
    </w:p>
    <w:p w14:paraId="455164A4" w14:textId="77777777" w:rsidR="00FF3BC1" w:rsidRPr="00D8523A" w:rsidRDefault="00FF3BC1" w:rsidP="00FF3BC1">
      <w:pPr>
        <w:rPr>
          <w:i/>
          <w:iCs/>
        </w:rPr>
      </w:pPr>
      <w:r w:rsidRPr="00D8523A">
        <w:rPr>
          <w:i/>
          <w:iCs/>
        </w:rPr>
        <w:t>Minor Concerns:</w:t>
      </w:r>
    </w:p>
    <w:p w14:paraId="5E8EC5B0" w14:textId="3B2E06D6" w:rsidR="00FF3BC1" w:rsidRPr="00D8523A" w:rsidRDefault="00FF3BC1" w:rsidP="00FF3BC1">
      <w:pPr>
        <w:rPr>
          <w:i/>
          <w:iCs/>
        </w:rPr>
      </w:pPr>
      <w:r w:rsidRPr="00D8523A">
        <w:rPr>
          <w:i/>
          <w:iCs/>
        </w:rPr>
        <w:t xml:space="preserve">With regards to, instead of </w:t>
      </w:r>
      <w:proofErr w:type="gramStart"/>
      <w:r w:rsidRPr="00D8523A">
        <w:rPr>
          <w:i/>
          <w:iCs/>
        </w:rPr>
        <w:t>with regard to</w:t>
      </w:r>
      <w:proofErr w:type="gramEnd"/>
      <w:r w:rsidRPr="00D8523A">
        <w:rPr>
          <w:i/>
          <w:iCs/>
        </w:rPr>
        <w:t xml:space="preserve"> has been frequently used, which needs to be corrected.</w:t>
      </w:r>
    </w:p>
    <w:p w14:paraId="6FC903ED" w14:textId="3B0D7924" w:rsidR="00D8523A" w:rsidRPr="00D8523A" w:rsidRDefault="00D8523A" w:rsidP="00FF3BC1">
      <w:pPr>
        <w:rPr>
          <w:b/>
          <w:bCs/>
        </w:rPr>
      </w:pPr>
      <w:r w:rsidRPr="00D8523A">
        <w:rPr>
          <w:b/>
          <w:bCs/>
        </w:rPr>
        <w:sym w:font="Wingdings" w:char="F0E0"/>
      </w:r>
      <w:r w:rsidRPr="00D8523A">
        <w:rPr>
          <w:b/>
          <w:bCs/>
        </w:rPr>
        <w:t xml:space="preserve"> We have not used “with regards to” in the current version. </w:t>
      </w:r>
    </w:p>
    <w:p w14:paraId="2642D02C" w14:textId="77777777" w:rsidR="00FF3BC1" w:rsidRDefault="00FF3BC1" w:rsidP="00FF3BC1"/>
    <w:p w14:paraId="6141763F" w14:textId="77777777" w:rsidR="00FF3BC1" w:rsidRPr="00D8523A" w:rsidRDefault="00FF3BC1" w:rsidP="00FF3BC1">
      <w:pPr>
        <w:rPr>
          <w:i/>
          <w:iCs/>
        </w:rPr>
      </w:pPr>
      <w:r w:rsidRPr="00D8523A">
        <w:rPr>
          <w:i/>
          <w:iCs/>
        </w:rPr>
        <w:t>Reviewer #6:</w:t>
      </w:r>
    </w:p>
    <w:p w14:paraId="2762382A" w14:textId="77777777" w:rsidR="00FF3BC1" w:rsidRPr="00D8523A" w:rsidRDefault="00FF3BC1" w:rsidP="00FF3BC1">
      <w:pPr>
        <w:rPr>
          <w:i/>
          <w:iCs/>
        </w:rPr>
      </w:pPr>
      <w:r w:rsidRPr="00D8523A">
        <w:rPr>
          <w:i/>
          <w:iCs/>
        </w:rPr>
        <w:t>Manuscript Summary:</w:t>
      </w:r>
    </w:p>
    <w:p w14:paraId="7E115E99" w14:textId="77777777" w:rsidR="00FF3BC1" w:rsidRPr="00D8523A" w:rsidRDefault="00FF3BC1" w:rsidP="00FF3BC1">
      <w:pPr>
        <w:rPr>
          <w:i/>
          <w:iCs/>
        </w:rPr>
      </w:pPr>
      <w:r w:rsidRPr="00D8523A">
        <w:rPr>
          <w:i/>
          <w:iCs/>
        </w:rPr>
        <w:t xml:space="preserve">This is a very </w:t>
      </w:r>
      <w:proofErr w:type="gramStart"/>
      <w:r w:rsidRPr="00D8523A">
        <w:rPr>
          <w:i/>
          <w:iCs/>
        </w:rPr>
        <w:t>well presented</w:t>
      </w:r>
      <w:proofErr w:type="gramEnd"/>
      <w:r w:rsidRPr="00D8523A">
        <w:rPr>
          <w:i/>
          <w:iCs/>
        </w:rPr>
        <w:t xml:space="preserve"> study, which describes an important protocol for the generation of iPSC-derived microglia and a neuron-microglia co-culture system. I am satisfied with the interpretation of the protocol and the representative results. However, there are a few minor points related to immunohistochemistry and figure preparation, which should be addressed before publication.</w:t>
      </w:r>
    </w:p>
    <w:p w14:paraId="7B670E63" w14:textId="77777777" w:rsidR="00FF3BC1" w:rsidRPr="00D8523A" w:rsidRDefault="00FF3BC1" w:rsidP="00FF3BC1">
      <w:pPr>
        <w:rPr>
          <w:i/>
          <w:iCs/>
        </w:rPr>
      </w:pPr>
    </w:p>
    <w:p w14:paraId="3B9FE114" w14:textId="77777777" w:rsidR="00FF3BC1" w:rsidRPr="00D8523A" w:rsidRDefault="00FF3BC1" w:rsidP="00FF3BC1">
      <w:pPr>
        <w:rPr>
          <w:i/>
          <w:iCs/>
        </w:rPr>
      </w:pPr>
      <w:r w:rsidRPr="00D8523A">
        <w:rPr>
          <w:i/>
          <w:iCs/>
        </w:rPr>
        <w:t>Minor Concerns:</w:t>
      </w:r>
    </w:p>
    <w:p w14:paraId="7F8A9281" w14:textId="0233A509" w:rsidR="00FF3BC1" w:rsidRPr="00D8523A" w:rsidRDefault="00FF3BC1" w:rsidP="003552BC">
      <w:pPr>
        <w:pStyle w:val="ListParagraph"/>
        <w:numPr>
          <w:ilvl w:val="0"/>
          <w:numId w:val="1"/>
        </w:numPr>
        <w:rPr>
          <w:i/>
          <w:iCs/>
        </w:rPr>
      </w:pPr>
      <w:r w:rsidRPr="00D8523A">
        <w:rPr>
          <w:i/>
          <w:iCs/>
        </w:rPr>
        <w:t>What was the dilution of the primary antibodies used during immunohistochemistry? Please add to Table of Materials.</w:t>
      </w:r>
      <w:r w:rsidR="003552BC" w:rsidRPr="00D8523A">
        <w:rPr>
          <w:i/>
          <w:iCs/>
        </w:rPr>
        <w:t xml:space="preserve"> </w:t>
      </w:r>
    </w:p>
    <w:p w14:paraId="1D849422" w14:textId="0E56E4FC" w:rsidR="003552BC" w:rsidRPr="00D8523A" w:rsidRDefault="00D8523A" w:rsidP="003552BC">
      <w:pPr>
        <w:rPr>
          <w:b/>
          <w:bCs/>
          <w:color w:val="000000" w:themeColor="text1"/>
        </w:rPr>
      </w:pPr>
      <w:r w:rsidRPr="00D8523A">
        <w:rPr>
          <w:b/>
          <w:bCs/>
          <w:color w:val="000000" w:themeColor="text1"/>
        </w:rPr>
        <w:sym w:font="Wingdings" w:char="F0E0"/>
      </w:r>
      <w:r w:rsidRPr="00D8523A">
        <w:rPr>
          <w:b/>
          <w:bCs/>
          <w:color w:val="000000" w:themeColor="text1"/>
        </w:rPr>
        <w:t xml:space="preserve"> </w:t>
      </w:r>
      <w:r>
        <w:rPr>
          <w:b/>
          <w:bCs/>
          <w:color w:val="000000" w:themeColor="text1"/>
        </w:rPr>
        <w:t>We have</w:t>
      </w:r>
      <w:r w:rsidR="003552BC" w:rsidRPr="00D8523A">
        <w:rPr>
          <w:b/>
          <w:bCs/>
          <w:color w:val="000000" w:themeColor="text1"/>
        </w:rPr>
        <w:t xml:space="preserve"> added </w:t>
      </w:r>
      <w:r>
        <w:rPr>
          <w:b/>
          <w:bCs/>
          <w:color w:val="000000" w:themeColor="text1"/>
        </w:rPr>
        <w:t>this information in</w:t>
      </w:r>
      <w:r w:rsidR="003552BC" w:rsidRPr="00D8523A">
        <w:rPr>
          <w:b/>
          <w:bCs/>
          <w:color w:val="000000" w:themeColor="text1"/>
        </w:rPr>
        <w:t xml:space="preserve"> the Table of Materials.</w:t>
      </w:r>
    </w:p>
    <w:p w14:paraId="022361B1" w14:textId="2EB1C477" w:rsidR="00FF3BC1" w:rsidRPr="00D8523A" w:rsidRDefault="00FF3BC1" w:rsidP="003552BC">
      <w:pPr>
        <w:pStyle w:val="ListParagraph"/>
        <w:numPr>
          <w:ilvl w:val="0"/>
          <w:numId w:val="1"/>
        </w:numPr>
        <w:rPr>
          <w:i/>
          <w:iCs/>
        </w:rPr>
      </w:pPr>
      <w:r w:rsidRPr="00D8523A">
        <w:rPr>
          <w:i/>
          <w:iCs/>
        </w:rPr>
        <w:t>Please add information about the secondary antibodies (manufacturer, catalog number, dilution) to Table of Materials.</w:t>
      </w:r>
    </w:p>
    <w:p w14:paraId="32FC888A" w14:textId="25058909" w:rsidR="00D8523A" w:rsidRPr="00D8523A" w:rsidRDefault="00D8523A" w:rsidP="00D8523A">
      <w:pPr>
        <w:rPr>
          <w:b/>
          <w:bCs/>
          <w:color w:val="000000" w:themeColor="text1"/>
        </w:rPr>
      </w:pPr>
      <w:r w:rsidRPr="00D8523A">
        <w:rPr>
          <w:b/>
          <w:bCs/>
          <w:color w:val="000000" w:themeColor="text1"/>
        </w:rPr>
        <w:sym w:font="Wingdings" w:char="F0E0"/>
      </w:r>
      <w:r w:rsidRPr="00D8523A">
        <w:rPr>
          <w:b/>
          <w:bCs/>
          <w:color w:val="000000" w:themeColor="text1"/>
        </w:rPr>
        <w:t xml:space="preserve"> </w:t>
      </w:r>
      <w:r>
        <w:rPr>
          <w:b/>
          <w:bCs/>
          <w:color w:val="000000" w:themeColor="text1"/>
        </w:rPr>
        <w:t>We have</w:t>
      </w:r>
      <w:r w:rsidRPr="00D8523A">
        <w:rPr>
          <w:b/>
          <w:bCs/>
          <w:color w:val="000000" w:themeColor="text1"/>
        </w:rPr>
        <w:t xml:space="preserve"> added </w:t>
      </w:r>
      <w:r>
        <w:rPr>
          <w:b/>
          <w:bCs/>
          <w:color w:val="000000" w:themeColor="text1"/>
        </w:rPr>
        <w:t>this information in</w:t>
      </w:r>
      <w:r w:rsidRPr="00D8523A">
        <w:rPr>
          <w:b/>
          <w:bCs/>
          <w:color w:val="000000" w:themeColor="text1"/>
        </w:rPr>
        <w:t xml:space="preserve"> the Table of Materials.</w:t>
      </w:r>
    </w:p>
    <w:p w14:paraId="22677C79" w14:textId="1144F3A0" w:rsidR="00FF3BC1" w:rsidRPr="00D8523A" w:rsidRDefault="00FF3BC1" w:rsidP="003552BC">
      <w:pPr>
        <w:pStyle w:val="ListParagraph"/>
        <w:numPr>
          <w:ilvl w:val="0"/>
          <w:numId w:val="1"/>
        </w:numPr>
        <w:rPr>
          <w:i/>
          <w:iCs/>
        </w:rPr>
      </w:pPr>
      <w:r w:rsidRPr="00D8523A">
        <w:rPr>
          <w:i/>
          <w:iCs/>
        </w:rPr>
        <w:t xml:space="preserve">Please do not indicate scale bars in every </w:t>
      </w:r>
      <w:proofErr w:type="gramStart"/>
      <w:r w:rsidRPr="00D8523A">
        <w:rPr>
          <w:i/>
          <w:iCs/>
        </w:rPr>
        <w:t>pictures</w:t>
      </w:r>
      <w:proofErr w:type="gramEnd"/>
      <w:r w:rsidRPr="00D8523A">
        <w:rPr>
          <w:i/>
          <w:iCs/>
        </w:rPr>
        <w:t xml:space="preserve"> if the magnification is the same (Fig. 1B, H, Fig. 2D).</w:t>
      </w:r>
    </w:p>
    <w:p w14:paraId="639D7D27" w14:textId="549C1B59" w:rsidR="00D8523A" w:rsidRPr="00D8523A" w:rsidRDefault="00D8523A" w:rsidP="00D8523A">
      <w:pPr>
        <w:rPr>
          <w:b/>
          <w:bCs/>
          <w:color w:val="000000" w:themeColor="text1"/>
        </w:rPr>
      </w:pPr>
      <w:r w:rsidRPr="00D8523A">
        <w:rPr>
          <w:b/>
          <w:bCs/>
          <w:color w:val="000000" w:themeColor="text1"/>
        </w:rPr>
        <w:sym w:font="Wingdings" w:char="F0E0"/>
      </w:r>
      <w:r w:rsidRPr="00D8523A">
        <w:rPr>
          <w:b/>
          <w:bCs/>
          <w:color w:val="000000" w:themeColor="text1"/>
        </w:rPr>
        <w:t xml:space="preserve"> </w:t>
      </w:r>
      <w:r>
        <w:rPr>
          <w:b/>
          <w:bCs/>
          <w:color w:val="000000" w:themeColor="text1"/>
        </w:rPr>
        <w:t>We have</w:t>
      </w:r>
      <w:r w:rsidRPr="00D8523A">
        <w:rPr>
          <w:b/>
          <w:bCs/>
          <w:color w:val="000000" w:themeColor="text1"/>
        </w:rPr>
        <w:t xml:space="preserve"> </w:t>
      </w:r>
      <w:r>
        <w:rPr>
          <w:b/>
          <w:bCs/>
          <w:color w:val="000000" w:themeColor="text1"/>
        </w:rPr>
        <w:t>corrected this</w:t>
      </w:r>
      <w:r w:rsidRPr="00D8523A">
        <w:rPr>
          <w:b/>
          <w:bCs/>
          <w:color w:val="000000" w:themeColor="text1"/>
        </w:rPr>
        <w:t>.</w:t>
      </w:r>
    </w:p>
    <w:p w14:paraId="771EF823" w14:textId="59E47017" w:rsidR="00FF3BC1" w:rsidRPr="00D8523A" w:rsidRDefault="00FF3BC1" w:rsidP="003552BC">
      <w:pPr>
        <w:pStyle w:val="ListParagraph"/>
        <w:numPr>
          <w:ilvl w:val="0"/>
          <w:numId w:val="1"/>
        </w:numPr>
        <w:rPr>
          <w:i/>
          <w:iCs/>
        </w:rPr>
      </w:pPr>
      <w:r w:rsidRPr="00D8523A">
        <w:rPr>
          <w:i/>
          <w:iCs/>
        </w:rPr>
        <w:t>What was the reason of using different magnification in Fig. 1D?</w:t>
      </w:r>
    </w:p>
    <w:p w14:paraId="0D5311AA" w14:textId="38D14708" w:rsidR="00D8523A" w:rsidRPr="00D8523A" w:rsidRDefault="00D8523A" w:rsidP="00D8523A">
      <w:pPr>
        <w:rPr>
          <w:b/>
          <w:bCs/>
          <w:color w:val="000000" w:themeColor="text1"/>
        </w:rPr>
      </w:pPr>
      <w:r w:rsidRPr="00D8523A">
        <w:rPr>
          <w:b/>
          <w:bCs/>
          <w:color w:val="000000" w:themeColor="text1"/>
        </w:rPr>
        <w:sym w:font="Wingdings" w:char="F0E0"/>
      </w:r>
      <w:r w:rsidRPr="00D8523A">
        <w:rPr>
          <w:b/>
          <w:bCs/>
          <w:color w:val="000000" w:themeColor="text1"/>
        </w:rPr>
        <w:t xml:space="preserve"> </w:t>
      </w:r>
      <w:r>
        <w:rPr>
          <w:b/>
          <w:bCs/>
          <w:color w:val="000000" w:themeColor="text1"/>
        </w:rPr>
        <w:t>These images were taken in a different microscope</w:t>
      </w:r>
      <w:r w:rsidRPr="00D8523A">
        <w:rPr>
          <w:b/>
          <w:bCs/>
          <w:color w:val="000000" w:themeColor="text1"/>
        </w:rPr>
        <w:t>.</w:t>
      </w:r>
    </w:p>
    <w:p w14:paraId="7A2240CF" w14:textId="2A7F3A76" w:rsidR="00FF3BC1" w:rsidRPr="00D8523A" w:rsidRDefault="00FF3BC1" w:rsidP="003552BC">
      <w:pPr>
        <w:pStyle w:val="ListParagraph"/>
        <w:numPr>
          <w:ilvl w:val="0"/>
          <w:numId w:val="1"/>
        </w:numPr>
        <w:rPr>
          <w:i/>
          <w:iCs/>
        </w:rPr>
      </w:pPr>
      <w:r w:rsidRPr="00D8523A">
        <w:rPr>
          <w:i/>
          <w:iCs/>
        </w:rPr>
        <w:t>The scale bar is rarely visible in Fig. D. at IBA1/DAPI staining.</w:t>
      </w:r>
    </w:p>
    <w:p w14:paraId="1BB08D19" w14:textId="7BA06215" w:rsidR="00D8523A" w:rsidRPr="00D8523A" w:rsidRDefault="00D8523A" w:rsidP="00D8523A">
      <w:pPr>
        <w:rPr>
          <w:b/>
          <w:bCs/>
          <w:color w:val="000000" w:themeColor="text1"/>
        </w:rPr>
      </w:pPr>
      <w:r w:rsidRPr="00D8523A">
        <w:rPr>
          <w:b/>
          <w:bCs/>
          <w:color w:val="000000" w:themeColor="text1"/>
        </w:rPr>
        <w:sym w:font="Wingdings" w:char="F0E0"/>
      </w:r>
      <w:r w:rsidRPr="00D8523A">
        <w:rPr>
          <w:b/>
          <w:bCs/>
          <w:color w:val="000000" w:themeColor="text1"/>
        </w:rPr>
        <w:t xml:space="preserve"> </w:t>
      </w:r>
      <w:r>
        <w:rPr>
          <w:b/>
          <w:bCs/>
          <w:color w:val="000000" w:themeColor="text1"/>
        </w:rPr>
        <w:t>We have</w:t>
      </w:r>
      <w:r w:rsidRPr="00D8523A">
        <w:rPr>
          <w:b/>
          <w:bCs/>
          <w:color w:val="000000" w:themeColor="text1"/>
        </w:rPr>
        <w:t xml:space="preserve"> </w:t>
      </w:r>
      <w:r>
        <w:rPr>
          <w:b/>
          <w:bCs/>
          <w:color w:val="000000" w:themeColor="text1"/>
        </w:rPr>
        <w:t>adjusted the image so that the scale bar is clear</w:t>
      </w:r>
      <w:r w:rsidRPr="00D8523A">
        <w:rPr>
          <w:b/>
          <w:bCs/>
          <w:color w:val="000000" w:themeColor="text1"/>
        </w:rPr>
        <w:t>.</w:t>
      </w:r>
    </w:p>
    <w:p w14:paraId="6043B4C7" w14:textId="7125A558" w:rsidR="003552BC" w:rsidRPr="00D8523A" w:rsidRDefault="00FF3BC1" w:rsidP="003552BC">
      <w:pPr>
        <w:pStyle w:val="ListParagraph"/>
        <w:numPr>
          <w:ilvl w:val="0"/>
          <w:numId w:val="1"/>
        </w:numPr>
        <w:rPr>
          <w:i/>
          <w:iCs/>
        </w:rPr>
      </w:pPr>
      <w:r w:rsidRPr="00D8523A">
        <w:rPr>
          <w:i/>
          <w:iCs/>
        </w:rPr>
        <w:t xml:space="preserve">Size and style of </w:t>
      </w:r>
      <w:proofErr w:type="spellStart"/>
      <w:r w:rsidRPr="00D8523A">
        <w:rPr>
          <w:i/>
          <w:iCs/>
        </w:rPr>
        <w:t>sclale</w:t>
      </w:r>
      <w:proofErr w:type="spellEnd"/>
      <w:r w:rsidRPr="00D8523A">
        <w:rPr>
          <w:i/>
          <w:iCs/>
        </w:rPr>
        <w:t xml:space="preserve"> bars are very different. Please standardize it!</w:t>
      </w:r>
    </w:p>
    <w:p w14:paraId="52DFAF59" w14:textId="2B1C8C1C" w:rsidR="00D8523A" w:rsidRPr="00D8523A" w:rsidRDefault="00D8523A" w:rsidP="00D8523A">
      <w:pPr>
        <w:rPr>
          <w:b/>
          <w:bCs/>
          <w:color w:val="000000" w:themeColor="text1"/>
        </w:rPr>
      </w:pPr>
      <w:r w:rsidRPr="00D8523A">
        <w:rPr>
          <w:b/>
          <w:bCs/>
          <w:color w:val="000000" w:themeColor="text1"/>
        </w:rPr>
        <w:sym w:font="Wingdings" w:char="F0E0"/>
      </w:r>
      <w:r w:rsidRPr="00D8523A">
        <w:rPr>
          <w:b/>
          <w:bCs/>
          <w:color w:val="000000" w:themeColor="text1"/>
        </w:rPr>
        <w:t xml:space="preserve"> </w:t>
      </w:r>
      <w:r>
        <w:rPr>
          <w:b/>
          <w:bCs/>
          <w:color w:val="000000" w:themeColor="text1"/>
        </w:rPr>
        <w:t>We have</w:t>
      </w:r>
      <w:r w:rsidRPr="00D8523A">
        <w:rPr>
          <w:b/>
          <w:bCs/>
          <w:color w:val="000000" w:themeColor="text1"/>
        </w:rPr>
        <w:t xml:space="preserve"> </w:t>
      </w:r>
      <w:r>
        <w:rPr>
          <w:b/>
          <w:bCs/>
          <w:color w:val="000000" w:themeColor="text1"/>
        </w:rPr>
        <w:t>standardized the size and style of the scale bars.</w:t>
      </w:r>
    </w:p>
    <w:p w14:paraId="4C450200" w14:textId="77777777" w:rsidR="003552BC" w:rsidRDefault="003552BC" w:rsidP="003552BC"/>
    <w:p w14:paraId="1DAB841B" w14:textId="57F7B874" w:rsidR="003552BC" w:rsidRDefault="003552BC" w:rsidP="00FF3BC1"/>
    <w:p w14:paraId="556C2044" w14:textId="77777777" w:rsidR="003552BC" w:rsidRDefault="003552BC" w:rsidP="00FF3BC1"/>
    <w:sectPr w:rsidR="003552BC" w:rsidSect="005736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E7C82"/>
    <w:multiLevelType w:val="hybridMultilevel"/>
    <w:tmpl w:val="44A4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1"/>
    <w:rsid w:val="001C1E0A"/>
    <w:rsid w:val="003552BC"/>
    <w:rsid w:val="0038689D"/>
    <w:rsid w:val="00445C4A"/>
    <w:rsid w:val="00455DAD"/>
    <w:rsid w:val="004E0099"/>
    <w:rsid w:val="00560EF7"/>
    <w:rsid w:val="00573640"/>
    <w:rsid w:val="00B7067D"/>
    <w:rsid w:val="00BC483D"/>
    <w:rsid w:val="00D8523A"/>
    <w:rsid w:val="00E044B5"/>
    <w:rsid w:val="00E12450"/>
    <w:rsid w:val="00F800B8"/>
    <w:rsid w:val="00FD4BDE"/>
    <w:rsid w:val="00FF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6823D5"/>
  <w14:defaultImageDpi w14:val="32767"/>
  <w15:chartTrackingRefBased/>
  <w15:docId w15:val="{27C9FB49-D894-1647-B443-06AF42A1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Kathuria, Annie</dc:creator>
  <cp:keywords/>
  <dc:description/>
  <cp:lastModifiedBy>Karmacharya, Rakesh,M.D.,Ph.D.</cp:lastModifiedBy>
  <cp:revision>5</cp:revision>
  <dcterms:created xsi:type="dcterms:W3CDTF">2021-06-22T19:47:00Z</dcterms:created>
  <dcterms:modified xsi:type="dcterms:W3CDTF">2021-06-24T19:08:00Z</dcterms:modified>
</cp:coreProperties>
</file>