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Practical Aspects of Sample Preparation and Setup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Relaxation Dispersion Experiments of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Hannes Feyrer, Judith Schlagnitweit, Katja Petzold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Medical Biochemistry and Biophysics, Karolinska Institutet, 171 65 Solna,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Hannes Feyrer</w:t>
        <w:tab/>
        <w:tab/>
        <w:tab/>
        <w:t xml:space="preserve">(hannes.feyrer@ki.se)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Judith Schlagnitweit</w:t>
        <w:tab/>
        <w:tab/>
        <w:t xml:space="preserve">(judith.schlagnitweit@ki.se)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Katja Petzold</w:t>
        <w:tab/>
        <w:tab/>
        <w:tab/>
        <w:t xml:space="preserve">(katja.petzold@ki.se)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biology, RNA conformational dynamics, NMR spectroscopy, R</w:t>
      </w:r>
      <w:r>
        <w:rPr>
          <w:rFonts w:ascii="Calibri" w:hAnsi="Calibri" w:cs="Calibri" w:eastAsia="Calibri"/>
          <w:color w:val="auto"/>
          <w:spacing w:val="0"/>
          <w:position w:val="0"/>
          <w:sz w:val="24"/>
          <w:shd w:fill="auto" w:val="clear"/>
          <w:vertAlign w:val="subscript"/>
        </w:rPr>
        <w:t xml:space="preserve">1&amp;#961;</w:t>
      </w:r>
      <w:r>
        <w:rPr>
          <w:rFonts w:ascii="Calibri" w:hAnsi="Calibri" w:cs="Calibri" w:eastAsia="Calibri"/>
          <w:color w:val="auto"/>
          <w:spacing w:val="0"/>
          <w:position w:val="0"/>
          <w:sz w:val="24"/>
          <w:shd w:fill="auto" w:val="clear"/>
        </w:rPr>
        <w:t xml:space="preserve"> relaxation dispersion, isotope-labeling,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transcription, regulatory RNAs, RNA biophysics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measure micro- to millisecond dynamics on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and unlabeled RNA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1&amp;#961;</w:t>
      </w:r>
      <w:r>
        <w:rPr>
          <w:rFonts w:ascii="Calibri" w:hAnsi="Calibri" w:cs="Calibri" w:eastAsia="Calibri"/>
          <w:color w:val="auto"/>
          <w:spacing w:val="0"/>
          <w:position w:val="0"/>
          <w:sz w:val="24"/>
          <w:shd w:fill="auto" w:val="clear"/>
        </w:rPr>
        <w:t xml:space="preserve"> relaxation dispersion nuclear magnetic resonance (NMR) spectroscopy. The focus of this protocol lies in high-purity sample preparation and setup of NMR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is a highly flexible biomolecule, wherein changes in structures play crucial roles in the functions that RNA molecules execute as cellular messengers and modulators. While these dynamic states remain hidden to most structural methods,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1&amp;#961;</w:t>
      </w:r>
      <w:r>
        <w:rPr>
          <w:rFonts w:ascii="Calibri" w:hAnsi="Calibri" w:cs="Calibri" w:eastAsia="Calibri"/>
          <w:color w:val="auto"/>
          <w:spacing w:val="0"/>
          <w:position w:val="0"/>
          <w:sz w:val="24"/>
          <w:shd w:fill="auto" w:val="clear"/>
        </w:rPr>
        <w:t xml:space="preserve"> relaxation dispersion (RD) spectroscopy allows the study of conformational dynamics in the micro- to millisecond regime at atomic resolution. The use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as the observed nucleus further expands the time regime covered and gives direct access to hydrogen bonds and base pairing.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challenging steps in such a study are high-purity and high-yield sample preparation, potentially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as well as setup of experiments and fitting of data to extract population, exchange rate, and secondary structure of the previously invisible state. This protocol provides crucial hands-on steps in sample preparation to ensure the preparation of a suitable RNA sample and setup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experiments with both isotopically labeled and unlabeled RNA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RNAs perform a multitude of regulatory, catalyticand structural functions in the cell, many of which are correlated to a flexible molecular structure and intricate changes of those structures. Low-populated states remain invisible to most methods of structure determination or do not allow the study of these hidden states at high atomic resolution. Solution-state nuclear magnetic resonance (NMR) spectroscopy combines both aspects by providing access to individual atomic nuclei as well as offering a large toolbox of experiments targeting dynamics through all time regimes. RD NMR experiments provide access to conformational exchange in the intermediate timescale, wherein changes in base pairing patterns and local structural rearrangements.</w:t>
      </w:r>
      <w:r>
        <w:rPr>
          <w:rFonts w:ascii="Calibri" w:hAnsi="Calibri" w:cs="Calibri" w:eastAsia="Calibri"/>
          <w:color w:val="auto"/>
          <w:spacing w:val="0"/>
          <w:position w:val="0"/>
          <w:sz w:val="24"/>
          <w:shd w:fill="FFFFFF" w:val="clear"/>
        </w:rPr>
        <w:t xml:space="preserve"> RD experiments are performed as long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measurements in the form of a Carr-Purcell-Meiboom-Gill pulse train or as relaxation measurements in the rotating frame, called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both can be used to extract population of and exchange rate and chemical shift difference to the minor state,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experiments also give the sign of the chemical shift difference of the excited state. This allows an inference on secondary structure, which strongly correlates to chemical shift in RNA structures. The chemical shift is a good indicator of helicity in the case of aromatic protons and carbons on the nucleobases, of base pairing partners for imino protons, and of sugar puckers on the C4' and C1' atoms. It should be noted that recently a chemical exchange saturation transfer (CEST) experiment using higher spin lock (SL) power, thereby shifting the applicability of the CEST experiment to faster exchange timescales, was published as an alternative to the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 for systems with one excited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Although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isotopes have often been used to access structural exchange, recent work from this laboratory used aromatic and imino protons as probes for conformational exchange. The use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as the observed nucleus brings several advantages, for example, access to exchange on faster and slower timescales, higher sensitivity, and shorter measurement times. This is further facilitated by the SELective Optimized Proton Experiment (SELOPE) approach, providing access to aromatic protons through decrowding of the one-dimensional (1D) spectrum using homonuclear scalar couplings, instead of a heteronuclear magnetization transfer, and eliminating the need for isotope labels. This protocol addresses the measurement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experiments of uniformly </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N-labeled and unlabeled samples. Therefore, this paper presents a sample preparation method that was found to be the most versatile for different sample preparation needs and discusses alternatives in the last section of this article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At this point, the reader should note that other sample preparation techniques are acceptable for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experiments, and that other methods of structural and functional analysis can be performed with the samples synthesized with the presented technique.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experiments require high RNA concentrations (ideally &amp;gt;1 mM) as well as high homogeneity, both in RNA length and structural conformation to ensure reliable characterization of molecular dynamics.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(IVT) is the method of choice for many researchers to produce </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N-labeled RNA samples</w:t>
      </w:r>
      <w:r>
        <w:rPr>
          <w:rFonts w:ascii="Calibri" w:hAnsi="Calibri" w:cs="Calibri" w:eastAsia="Calibri"/>
          <w:color w:val="auto"/>
          <w:spacing w:val="0"/>
          <w:position w:val="0"/>
          <w:sz w:val="24"/>
          <w:shd w:fill="auto" w:val="clear"/>
        </w:rPr>
        <w:t xml:space="preserve"> due to the availability of labeled nucleoside triphosphates (NTPs) and facile incorporation in the enzymatic reaction. However, the widely used T7 RNA polymerase (T7RNAP) suffers from low 5' homogeneity in case of certain initiation sequences and often also 3' homogeneity during transcription runoff. Purification of the target RNA species becomes more expensive and laborious due to the need of large quantities of ~200 nmol. The method used here has been presented previously where advantages were discussed at large. In brief, it solves described issues by transcribing a larger tandem transcript that is then site-specifically cleaved by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RNase H, guided by a chimeric oligonucleotide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Incorporation of a spacer sequence at the 5' and 3' ends of the tandem transcript allows the use of a high-yield initiation sequence and removal of terminal overhangs close to the linearization site of the plasmid template, respectively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method was shown to improve yields significantly, while reducing cost and labor, with the caveat of a more complex template synthesis and the need for an additional enzyme and oligonucleotide. The high specificity of RNase H cleavage facilitates purification due to the lack of RNA species in a similar size range. The present protocol uses an ion exchange high-performance liquid chromatography (HPLC) step that has been published by this laboratory recently, although other methods are possible alternatives.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RD can, in general, be acquired on labeled or unlabeled samples with two respective pulse sequences,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labeled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heteronuclear single quantum correlation (HSQC)-based experiment with a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indirect dimension and the “unlabeled”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SELOPE-based experiment with 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indirect dimension.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two-dimensional (2D) experiments can serve as a first check, regardless of whether dynamics on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timescale are present in the sample. An overview of RD for all resolved peaks in the spectra can be obtained, and peaks of interest for a more thorough RD analysis can be identified. This means that even unlabeled samples can be checked before a decision to produce a more expensive, labeled sample is made. Once a peak with conformational exchange contribution is selected to be studied more thoroughly, it is best to switch to the 1D versions of the above experiments (if the peak can still be resolved) to carry out so-called off-resonance experiments. For the labeled version, the HSQC transfer to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is replaced with a selective heteronuclear cross-polarization (HCP) step as used in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experiments, while in the case of the SELOPE experiment, the experiment is simply run as a 1D, which is especially useful for H8 and H2 signals that are lying on the diagonal in the 2D anyway. One criterion as to which sequence to use, provided that both, a labeled as well as unlabeled sample are available, is how well isolated the peak of interest is in the two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SELOPE experiment is recommended for RNA samples of up to 50 nucleotides. For larger RNAs, the overlap will be bigger; however, structurally interesting nucleotides often appear in chemical shift regions that are less overlapped and still might be accessible in even larger RNAs. Another argument would be that in unlabeled samples, no J-coupling occurs between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C. However, as the minimum spin lock power is defined by the minimum power used to decouple those two spins (~1 kHz) in the labeled experiment, the unlabeled experiment allows the use of a broader range of spin lock (SL) strengths and therefore, access to a broader timescale of exchange. These off-resonance experiments provide additional information to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such as population of the excited state (alternative conformer),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well as very valuable chemical shift information in the form of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(the chemical shift difference of the ground state and the excited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protocol is to provide practical details and critical parameters for the study of conformational dynamics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relaxation dispersion in RNA hairpin molecules. After providing a detailed protocol of the design, synthesis, and ion exchange HPLC purification of a target RNA that can be performed using all, some, or none NTPs as </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N-labeled versions, the workflow of finalizing the NMR sample and confirming the conformational exchange with NMR spectroscopy has been described. Finally, the details for the setup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experiments on a Bruker NMR spectrometer are described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protocol gives each step to set up the 1D version for labeled samples and additional comments and a table to adjust for the setting up of the SELOPE version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After the protocol, critical steps and alternative routes to sample preparation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setup are discussed.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work for a new RNA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Plasmid design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Write the template sequence in a cloning tool,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Serial Cloner.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Take the T7 promotor sequence and add a high-yield initiation sequence (T7: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TAA TAC GAC TCA CTA TA^G GGA GA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Transcription will start at the nucleotide indicated with a caret (^). The initiation sequence GGGAGA is variable, but strongly sequence-dependent; therefore, the use of this sequence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the last 8 nucleotides (nt) of the target sequence as a 3' spacer (3'S).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Add repeats of the target sequence (TS).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Add the first four nucleotides as a 5' spacer after the repeats (5'S).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Add a BamHI restriction site (RS) or similar unique restriction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sequence as shown will be cloned or readily ordered in a bacterial high-copy plasmid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pUC19):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(TS)</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number of repeats should be as high as allowed by gene synthesis ( a maximum of 600 nt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Amplify the plasmid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using a commercial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Linearize the purified plasmid at 20 ng/&amp;#181;L using the appropriate restriction site. Scale restriction digests with BamHI by up to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Purify the digested plasmid, and confirm successful linearization on a 1% agarose gel. Store the linearized plasmid at -20 &amp;#176;C for several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Cleavage guide design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Write the last eight nucleotides of the target RNA sequence in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direction, and add the first four nucleotides of the target RNA sequence on the 3' end also in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Generate the reverse DNA complement of that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Change the first and last four nucleotides to their 2'-OMe modifications by adding an ‘m’ before the nucleotide letter.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synthesis, mU is used instead of 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Order the oligo with standard desalting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if the generated oligo could bind at another place other than the connection of two RNA sequences. Full complementarity in the central four DNA nucleotides is required, while the flanking regions could permit a mismatch. If necessary, extend the flanks to up to 18 nt to generate a unique binding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Small-scale IVT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RNase-free work, prepare all reagents under sterile and RNase-free conditions. Use RNase decontamination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95% v/v ethanol to clean work surfaces and pipettes before use. Wash gloves with 95% ethanol and wear lint-free long-sleeved clothes. To minimize RNase contamination, do not breathe over open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Prepare stock solutions of Tris-Cl (pH 8.0), dithiothreitol,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spermidine, and NTPs/GMP (unbuffered). Mix reagents as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Prepare a master mix of these reagents in advance, before the addition of enzymes or nucleic acids.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frozen reagents, thoroughly mix them after thawing. Reagents might precipitate if mixed at too high concentrations, so it is strongly recommended to follow the order in Table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Add in the following order: plasmid, cleavage guide, inorganic phosphatase (IPPase), RNase H, T7RNAP. As enzyme activity might vary for enzymes produced in-house, test several concentrations before selecting the best one.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a negative control for the cleavage reaction,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without RNase H, to attribute a missing target band to flawed RNase H cleavage and not to unsuccessful transcription.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Incubate the reaction at 37 &amp;#176;C for 1 h and confirm reaction on a denaturing polyacrylamide gel electrophoresis (PAGE)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Dilute the sample 10-fold in loading solution, and load 1 &amp;#181;L onto the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Gel mixture: 8 M urea, 20% acrylamide (19:1 acrylamide:bisacrylamide) in 1x TBE. Loading solution: 5 mM ethylenediamine tetraacetic acid (EDTA), 300 &amp;#181;M bromophenol blue in formamide. RNase H cleavage reactions cannot be expected to be complete after 1 h, as new RNA is produced constantly. At this point, look out for a clear target band and the absence of a species of similar molecular weight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&amp;plusmn;3 nucleotide (nt) products).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NMR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Scale up the reaction to the desired volume (typically 10 mL), and run the reaction overnight. Test for reaction completion the next day with a denaturing PAGE gel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Incomplete cleavage reaction is shown by higher molecular weight species above the target band.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If cleavage was not successful or complete, reanneal RNA and the cleavage guide in the reaction vessel by heating the solution in a conventional microwave at 450 W for 15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Cool the solution slowly to 37 &amp;#176;C for 40 min. Use a heating block for volumes below 1 mL. Note the formation of a new precipitate.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Add more IPPase and RNase H, and incubate for another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at 37 &amp;#176;C. Confirm completion of the cleavage reaction with denaturing PAGE.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When the RNase H cleavage reaction is completed, quench the reaction by adding EDTA to 50 mM final concentration and vortex thoroughly.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Potential pyrophosphate precipitation will dissolve, and new protein precipitate forms.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Filter the solution through a 0.2 &amp;#181;m syringe filter, and concentrate to a volume injectable into an HPLC system, depending on the injection loop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by freezing sample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Large-scale HPLC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Prepare ion-exchange buffers A and B within one week of use. Filter and degas the buffers.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 A: 20 mM sodium acetate; 20 mM sodium perchlorate, pH 6.5. Buffer B: 20 mM sodium acetate; 600 mM sodium perchlorate, pH 6.5.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Equilibrate the column with 100% buffer B followed by 100% buffer A for at least 2 column volumes at 75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Prepare the HPLC sequence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at a flow rate of 5.5 mL/min. Use the following sequence for purification of an RNA sized between 20 and 30 nt: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min: 0% B;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min: gradient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B;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min: elution, typically with a gradient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B (optimize according to needs);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min: 100% B;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min: 0%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change in flow rate from 5.5 to 8 mL/min did not influence the separation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Optimize the elution gradient by the injection of an equivalent to 1 mL of transcription reaction (unlabeled) at a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further details and discussion, refer to Karlsson et al. and Feyrer et 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Test the collected fractions on a denaturing PAGE. If the main elution peak is well isolated and contains the pure target RNA, scale up the purification to an equivalent of 10 mL of transcription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Collect the fractions of interest, concentrate, and exchange the buffer with NMR buffer. Use an ultracentrifugal filter unit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volumes above 50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NMR buffer: 15 mM sodium phosphate; 25 mM sodium chloride; 0.01 mM EDTA, pH 6.5. To minimize loss from RNA adhering to plastic tube walls, wash all collection tubes with 1 mL of water, vortex, and centrifuge to collect all liquid.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Determine the concentration via ultraviolet spectroscopy. Calculate the reaction yield according to Feyrer et 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an NMR sample for RD experiments should not be below 130 nmol, which corresponds to 500 &amp;#181;M in a sample volume of 250 &amp;#181;L using NMR tubes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Folding of an RNA sample </w:t>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Dilute and aliquot the sample of a volume of ~10 mL into 1 mL per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Heat the RNA aliquots to 95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Snap-cool the samples by placing them on ice or in a water-ice-salt mixture and incubate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Pool samples and concentrate to ~250 &amp;#181;L in a 2 mL centrifugal filter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Filling of an NMR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Clean the NMR tube in the NMR tube cleaner by flushing with abundant water, RNase decontamination reagent, water, 95% ethanol (EtOH), and water again. Leave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Clean the plunger by rinsing with water and wiping with RNase decontamination reagent and 95% EtOH using a lint-free wipe. Leave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Add 10% (v/v)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NMR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Fill the RNA sample into the NMR tube using a large pipette tip. Let the liquid flow along the side of the tube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Insert the plunger and remove air bubbles by pushing the plunger down together with a fast twisting motion.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Pull the plunger up slowly without creating new air bubbles and fix it with paraffin wax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Confirm folding by NMR.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it is necessary to perform at least partial resonance assignment to confirm the secondary structure of the RNA sample and to identify regions of interest for the study of conformational dynamics. An exhaustive description on RNA resonance assignment would exceed this protocol, therefore refer to well-established literature at this point. An electrophoretic mobility shift assay (EMSA) can be a helpful indicator of RNA folding and serve as complementary data for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Compare the following spectra of the sample for which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RD experiments are performed with the properly folded reference sample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H 1D, especially the imino region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ppm; Aromatic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C-HSQC;</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H-SELOPE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aromatic fingerprint is also necessary, even in case of agreement between imino signals, because dimer formation often shows the same or similar imino signals as an RNA hairpin. The SELOPE experiment can replace an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C-HSQC for aromatic fingerprinting, as heteronuclear experiments on unlabeled samples are very time-consuming.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Use the UUCG loop as a fingerprint reference (if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Perform this comparison every time before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RD experiments are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1</w:t>
      </w:r>
      <w:r>
        <w:rPr>
          <w:rFonts w:ascii="Cambria Math" w:hAnsi="Cambria Math" w:cs="Cambria Math" w:eastAsia="Cambria Math"/>
          <w:b/>
          <w:color w:val="auto"/>
          <w:spacing w:val="0"/>
          <w:position w:val="0"/>
          <w:sz w:val="24"/>
          <w:shd w:fill="auto" w:val="clear"/>
          <w:vertAlign w:val="subscript"/>
        </w:rPr>
        <w:t xml:space="preserve">𝜌</w:t>
      </w:r>
      <w:r>
        <w:rPr>
          <w:rFonts w:ascii="Calibri" w:hAnsi="Calibri" w:cs="Calibri" w:eastAsia="Calibri"/>
          <w:b/>
          <w:color w:val="auto"/>
          <w:spacing w:val="0"/>
          <w:position w:val="0"/>
          <w:sz w:val="24"/>
          <w:shd w:fill="auto" w:val="clear"/>
        </w:rPr>
        <w:t xml:space="preserve"> Relaxation dispersion</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on-resonance (labeled 1D 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below describe the setup of RD experiments for a labeled sample using the 1D version of the HSQC-based RD pulse sequence. Follow the same steps for the SELOPE-based 1D sequence for unlabeled samples. An overview of parameter names and settings for both cases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focus on 1D versions is because they are more practical for off-resonance measurements, and the setup of the 2D versions of the SELOPE and HSQC-based experiments have been discussed in detail by Schlagnitweit et al. and Steiner et al.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Determine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power for a </w:t>
      </w:r>
      <w:r>
        <w:rPr>
          <w:rFonts w:ascii="Calibri" w:hAnsi="Calibri" w:cs="Calibri" w:eastAsia="Calibri"/>
          <w:b/>
          <w:color w:val="auto"/>
          <w:spacing w:val="0"/>
          <w:position w:val="0"/>
          <w:sz w:val="24"/>
          <w:shd w:fill="auto" w:val="clear"/>
        </w:rPr>
        <w:t xml:space="preserve">hard 90&amp;#176;</w:t>
      </w:r>
      <w:r>
        <w:rPr>
          <w:rFonts w:ascii="Calibri" w:hAnsi="Calibri" w:cs="Calibri" w:eastAsia="Calibri"/>
          <w:color w:val="auto"/>
          <w:spacing w:val="0"/>
          <w:position w:val="0"/>
          <w:sz w:val="24"/>
          <w:shd w:fill="auto" w:val="clear"/>
        </w:rPr>
        <w:t xml:space="preserve"> pulse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Option A: Use Bruker </w:t>
      </w:r>
      <w:r>
        <w:rPr>
          <w:rFonts w:ascii="Calibri" w:hAnsi="Calibri" w:cs="Calibri" w:eastAsia="Calibri"/>
          <w:b/>
          <w:color w:val="auto"/>
          <w:spacing w:val="0"/>
          <w:position w:val="0"/>
          <w:sz w:val="24"/>
          <w:shd w:fill="auto" w:val="clear"/>
        </w:rPr>
        <w:t xml:space="preserve">pulsecal </w:t>
      </w:r>
      <w:r>
        <w:rPr>
          <w:rFonts w:ascii="Calibri" w:hAnsi="Calibri" w:cs="Calibri" w:eastAsia="Calibri"/>
          <w:color w:val="auto"/>
          <w:spacing w:val="0"/>
          <w:position w:val="0"/>
          <w:sz w:val="24"/>
          <w:shd w:fill="auto" w:val="clear"/>
        </w:rPr>
        <w:t xml:space="preserve">command.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Option B: In a </w:t>
      </w:r>
      <w:r>
        <w:rPr>
          <w:rFonts w:ascii="Calibri" w:hAnsi="Calibri" w:cs="Calibri" w:eastAsia="Calibri"/>
          <w:b/>
          <w:color w:val="auto"/>
          <w:spacing w:val="0"/>
          <w:position w:val="0"/>
          <w:sz w:val="24"/>
          <w:shd w:fill="auto" w:val="clear"/>
        </w:rPr>
        <w:t xml:space="preserve">zg</w:t>
      </w:r>
      <w:r>
        <w:rPr>
          <w:rFonts w:ascii="Calibri" w:hAnsi="Calibri" w:cs="Calibri" w:eastAsia="Calibri"/>
          <w:color w:val="auto"/>
          <w:spacing w:val="0"/>
          <w:position w:val="0"/>
          <w:sz w:val="24"/>
          <w:shd w:fill="auto" w:val="clear"/>
        </w:rPr>
        <w:t xml:space="preserve"> experiment, determine the 360&amp;#176; pulse by measuring a nutation curve at the proton hard-pulse power level on the water peak.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90&amp;#176; pulse length is a fourth of the duration where zero signal is observed (if a full nutation curve is measured, then it is the second zero; however, in practice, only the region around the expected value for the 360&amp;#176; is sampled).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Run 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1D spectrum </w:t>
      </w:r>
      <w:r>
        <w:rPr>
          <w:rFonts w:ascii="Calibri" w:hAnsi="Calibri" w:cs="Calibri" w:eastAsia="Calibri"/>
          <w:b/>
          <w:color w:val="auto"/>
          <w:spacing w:val="0"/>
          <w:position w:val="0"/>
          <w:sz w:val="24"/>
          <w:shd w:fill="auto" w:val="clear"/>
        </w:rPr>
        <w:t xml:space="preserve">zgesgp.f2f3dec</w:t>
      </w:r>
      <w:r>
        <w:rPr>
          <w:rFonts w:ascii="Calibri" w:hAnsi="Calibri" w:cs="Calibri" w:eastAsia="Calibri"/>
          <w:color w:val="auto"/>
          <w:spacing w:val="0"/>
          <w:position w:val="0"/>
          <w:sz w:val="24"/>
          <w:shd w:fill="auto" w:val="clear"/>
        </w:rPr>
        <w:t xml:space="preserve"> using the pulse length determined in step 3.1 to confirm the RNA folding before every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measurement.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SL experiments are run for the first time, check if the calculated SL power corresponds to the power delivered to the sample by calibrating SL power for each desired bandwidth. Detailed calibration steps are described in Steiner et 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Create a </w:t>
      </w:r>
      <w:r>
        <w:rPr>
          <w:rFonts w:ascii="Calibri" w:hAnsi="Calibri" w:cs="Calibri" w:eastAsia="Calibri"/>
          <w:b/>
          <w:color w:val="auto"/>
          <w:spacing w:val="0"/>
          <w:position w:val="0"/>
          <w:sz w:val="24"/>
          <w:shd w:fill="FFFF00" w:val="clear"/>
          <w:vertAlign w:val="superscript"/>
        </w:rPr>
        <w:t xml:space="preserve">1</w:t>
      </w:r>
      <w:r>
        <w:rPr>
          <w:rFonts w:ascii="Calibri" w:hAnsi="Calibri" w:cs="Calibri" w:eastAsia="Calibri"/>
          <w:b/>
          <w:color w:val="auto"/>
          <w:spacing w:val="0"/>
          <w:position w:val="0"/>
          <w:sz w:val="24"/>
          <w:shd w:fill="FFFF00" w:val="clear"/>
        </w:rPr>
        <w:t xml:space="preserve">H </w:t>
      </w:r>
      <w:r>
        <w:rPr>
          <w:rFonts w:ascii="Calibri" w:hAnsi="Calibri" w:cs="Calibri" w:eastAsia="Calibri"/>
          <w:b/>
          <w:i/>
          <w:color w:val="auto"/>
          <w:spacing w:val="0"/>
          <w:position w:val="0"/>
          <w:sz w:val="24"/>
          <w:shd w:fill="FFFF00" w:val="clear"/>
        </w:rPr>
        <w:t xml:space="preserve">R</w:t>
      </w:r>
      <w:r>
        <w:rPr>
          <w:rFonts w:ascii="Calibri" w:hAnsi="Calibri" w:cs="Calibri" w:eastAsia="Calibri"/>
          <w:b/>
          <w:color w:val="auto"/>
          <w:spacing w:val="0"/>
          <w:position w:val="0"/>
          <w:sz w:val="24"/>
          <w:shd w:fill="FFFFFF" w:val="clear"/>
          <w:vertAlign w:val="subscript"/>
        </w:rPr>
        <w:t xml:space="preserve">1&amp;#961;</w:t>
      </w:r>
      <w:r>
        <w:rPr>
          <w:rFonts w:ascii="Calibri" w:hAnsi="Calibri" w:cs="Calibri" w:eastAsia="Calibri"/>
          <w:b/>
          <w:color w:val="auto"/>
          <w:spacing w:val="0"/>
          <w:position w:val="0"/>
          <w:sz w:val="24"/>
          <w:shd w:fill="FFFF00" w:val="clear"/>
        </w:rPr>
        <w:t xml:space="preserve"> for labeled</w:t>
      </w:r>
      <w:r>
        <w:rPr>
          <w:rFonts w:ascii="Calibri" w:hAnsi="Calibri" w:cs="Calibri" w:eastAsia="Calibri"/>
          <w:color w:val="auto"/>
          <w:spacing w:val="0"/>
          <w:position w:val="0"/>
          <w:sz w:val="24"/>
          <w:shd w:fill="FFFF00" w:val="clear"/>
        </w:rPr>
        <w:t xml:space="preserve"> data set, and set key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Create a new data set; ideally based on a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aromatic HSQC data set as used on fully labeled RNA samples for RNA assignment.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ensure that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as well as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power and decoupling power are already set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Set the general parameters according to the first part of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Set RD-specific parameters according to the second part of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Set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SL power to the lowest value (1.2 kHz) for testing.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Generate a </w:t>
      </w:r>
      <w:r>
        <w:rPr>
          <w:rFonts w:ascii="Calibri" w:hAnsi="Calibri" w:cs="Calibri" w:eastAsia="Calibri"/>
          <w:b/>
          <w:color w:val="auto"/>
          <w:spacing w:val="0"/>
          <w:position w:val="0"/>
          <w:sz w:val="24"/>
          <w:shd w:fill="FFFF00" w:val="clear"/>
        </w:rPr>
        <w:t xml:space="preserve">test vd list</w:t>
      </w:r>
      <w:r>
        <w:rPr>
          <w:rFonts w:ascii="Calibri" w:hAnsi="Calibri" w:cs="Calibri" w:eastAsia="Calibri"/>
          <w:color w:val="auto"/>
          <w:spacing w:val="0"/>
          <w:position w:val="0"/>
          <w:sz w:val="24"/>
          <w:shd w:fill="FFFF00" w:val="clear"/>
        </w:rPr>
        <w:t xml:space="preserve"> with only one entry, </w:t>
      </w:r>
      <w:r>
        <w:rPr>
          <w:rFonts w:ascii="Calibri" w:hAnsi="Calibri" w:cs="Calibri" w:eastAsia="Calibri"/>
          <w:b/>
          <w:color w:val="auto"/>
          <w:spacing w:val="0"/>
          <w:position w:val="0"/>
          <w:sz w:val="24"/>
          <w:shd w:fill="FFFF00" w:val="clear"/>
        </w:rPr>
        <w:t xml:space="preserve">0 ms</w:t>
      </w:r>
      <w:r>
        <w:rPr>
          <w:rFonts w:ascii="Calibri" w:hAnsi="Calibri" w:cs="Calibri" w:eastAsia="Calibri"/>
          <w:color w:val="auto"/>
          <w:spacing w:val="0"/>
          <w:position w:val="0"/>
          <w:sz w:val="24"/>
          <w:shd w:fill="FFFF00" w:val="clear"/>
        </w:rPr>
        <w:t xml:space="preserve">, (to optimize the vd list, as described in step 3.4), set </w:t>
      </w:r>
      <w:r>
        <w:rPr>
          <w:rFonts w:ascii="Calibri" w:hAnsi="Calibri" w:cs="Calibri" w:eastAsia="Calibri"/>
          <w:b/>
          <w:color w:val="auto"/>
          <w:spacing w:val="0"/>
          <w:position w:val="0"/>
          <w:sz w:val="24"/>
          <w:shd w:fill="FFFF00" w:val="clear"/>
        </w:rPr>
        <w:t xml:space="preserve">TDF1</w:t>
      </w:r>
      <w:r>
        <w:rPr>
          <w:rFonts w:ascii="Calibri" w:hAnsi="Calibri" w:cs="Calibri" w:eastAsia="Calibri"/>
          <w:color w:val="auto"/>
          <w:spacing w:val="0"/>
          <w:position w:val="0"/>
          <w:sz w:val="24"/>
          <w:shd w:fill="FFFF00" w:val="clear"/>
        </w:rPr>
        <w:t xml:space="preserve"> to 1, and update </w:t>
      </w:r>
      <w:r>
        <w:rPr>
          <w:rFonts w:ascii="Calibri" w:hAnsi="Calibri" w:cs="Calibri" w:eastAsia="Calibri"/>
          <w:b/>
          <w:color w:val="auto"/>
          <w:spacing w:val="0"/>
          <w:position w:val="0"/>
          <w:sz w:val="24"/>
          <w:shd w:fill="FFFF00" w:val="clear"/>
        </w:rPr>
        <w:t xml:space="preserve">D30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Run a test spectrum with these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Optimize the vd list (list of SL lengths to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Run the experiment with a </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 vd list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six entries: 0 m, 5 m, 10 m, 20 m, 30 m, 40 m; scramble these values to avoid systematic errors due to heating).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Update </w:t>
      </w:r>
      <w:r>
        <w:rPr>
          <w:rFonts w:ascii="Calibri" w:hAnsi="Calibri" w:cs="Calibri" w:eastAsia="Calibri"/>
          <w:b/>
          <w:color w:val="auto"/>
          <w:spacing w:val="0"/>
          <w:position w:val="0"/>
          <w:sz w:val="24"/>
          <w:shd w:fill="FFFF00" w:val="clear"/>
        </w:rPr>
        <w:t xml:space="preserve">D30</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TD[F1]</w:t>
      </w:r>
      <w:r>
        <w:rPr>
          <w:rFonts w:ascii="Calibri" w:hAnsi="Calibri" w:cs="Calibri" w:eastAsia="Calibri"/>
          <w:color w:val="auto"/>
          <w:spacing w:val="0"/>
          <w:position w:val="0"/>
          <w:sz w:val="24"/>
          <w:shd w:fill="FFFF00" w:val="clear"/>
        </w:rPr>
        <w:t xml:space="preserve"> accordingly (in this example, D30 = 42m and TDF1 =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Plot intensity of the peak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SL length. Identify the SL length at which the intensity of the original peak decreases to 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Create the final vd list to be used in the experiment, taking into consideration the following: determine the longest SL length as described in the previous step; avoid using a list with decreasing or ascending order; and add some duplicates for statistical studies. Remember to update D30 and TDF1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every time there are any changes in the vd list.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is run with different SL lengths as given in the vd list in a pseudo-2D 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Select the number of scans so that the weakest peak of the list has a signal-to-noise ratio (SINO) of at least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vd list was optimized for a low SL power (1.2 kHz), this vd list should also be tested at the highest SL power to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15 kHz). This is because the decay will be much slower at high SL power for peaks with significant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Therefore, a sufficient decay should also be verified at high SL power.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Set-up and acquisition of on-resonance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Copy the experiment from section 3.4 into a new folder in </w:t>
      </w:r>
      <w:r>
        <w:rPr>
          <w:rFonts w:ascii="Calibri" w:hAnsi="Calibri" w:cs="Calibri" w:eastAsia="Calibri"/>
          <w:b/>
          <w:color w:val="auto"/>
          <w:spacing w:val="0"/>
          <w:position w:val="0"/>
          <w:sz w:val="24"/>
          <w:shd w:fill="auto" w:val="clear"/>
        </w:rPr>
        <w:t xml:space="preserve">Topspin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In this folder, set up experiments at different SL strengths, each time changing </w:t>
      </w:r>
      <w:r>
        <w:rPr>
          <w:rFonts w:ascii="Calibri" w:hAnsi="Calibri" w:cs="Calibri" w:eastAsia="Calibri"/>
          <w:b/>
          <w:color w:val="auto"/>
          <w:spacing w:val="0"/>
          <w:position w:val="0"/>
          <w:sz w:val="24"/>
          <w:shd w:fill="auto" w:val="clear"/>
        </w:rPr>
        <w:t xml:space="preserve">PL25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CNST12</w:t>
      </w:r>
      <w:r>
        <w:rPr>
          <w:rFonts w:ascii="Calibri" w:hAnsi="Calibri" w:cs="Calibri" w:eastAsia="Calibri"/>
          <w:color w:val="auto"/>
          <w:spacing w:val="0"/>
          <w:position w:val="0"/>
          <w:sz w:val="24"/>
          <w:shd w:fill="auto" w:val="clear"/>
        </w:rPr>
        <w:t xml:space="preserve">. Determine the correct power level for each SL strength by using the </w:t>
      </w:r>
      <w:r>
        <w:rPr>
          <w:rFonts w:ascii="Calibri" w:hAnsi="Calibri" w:cs="Calibri" w:eastAsia="Calibri"/>
          <w:b/>
          <w:color w:val="auto"/>
          <w:spacing w:val="0"/>
          <w:position w:val="0"/>
          <w:sz w:val="24"/>
          <w:shd w:fill="auto" w:val="clear"/>
        </w:rPr>
        <w:t xml:space="preserve">pulse</w:t>
      </w:r>
      <w:r>
        <w:rPr>
          <w:rFonts w:ascii="Calibri" w:hAnsi="Calibri" w:cs="Calibri" w:eastAsia="Calibri"/>
          <w:color w:val="auto"/>
          <w:spacing w:val="0"/>
          <w:position w:val="0"/>
          <w:sz w:val="24"/>
          <w:shd w:fill="auto" w:val="clear"/>
        </w:rPr>
        <w:t xml:space="preserve"> command. Use SL strengths ranging from 1.2 to 15 kHz, with a denser sampling for lower SL strengths (see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for selected SL strengths). Add copies of some of the experiments to have duplicates for some of the SL strengths.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Run these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Analysis of on-resonance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In TopSpin, process each slice of each pseudo-2D data set using the same processing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line broadening, phase) using the command </w:t>
      </w:r>
      <w:r>
        <w:rPr>
          <w:rFonts w:ascii="Calibri" w:hAnsi="Calibri" w:cs="Calibri" w:eastAsia="Calibri"/>
          <w:b/>
          <w:color w:val="auto"/>
          <w:spacing w:val="0"/>
          <w:position w:val="0"/>
          <w:sz w:val="24"/>
          <w:shd w:fill="auto" w:val="clear"/>
        </w:rPr>
        <w:t xml:space="preserve">xf2</w:t>
      </w:r>
      <w:r>
        <w:rPr>
          <w:rFonts w:ascii="Calibri" w:hAnsi="Calibri" w:cs="Calibri" w:eastAsia="Calibri"/>
          <w:color w:val="auto"/>
          <w:spacing w:val="0"/>
          <w:position w:val="0"/>
          <w:sz w:val="24"/>
          <w:shd w:fill="auto" w:val="clear"/>
        </w:rPr>
        <w:t xml:space="preserve">, and split the dataset into 1Ds using the Bruker AU program </w:t>
      </w:r>
      <w:r>
        <w:rPr>
          <w:rFonts w:ascii="Calibri" w:hAnsi="Calibri" w:cs="Calibri" w:eastAsia="Calibri"/>
          <w:b/>
          <w:color w:val="auto"/>
          <w:spacing w:val="0"/>
          <w:position w:val="0"/>
          <w:sz w:val="24"/>
          <w:shd w:fill="auto" w:val="clear"/>
        </w:rPr>
        <w:t xml:space="preserve">split2D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Obtain signal intensities and volumes for each 1D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practice, it is better to deconvolve the spectra to get rid of contributions from potentially overlapping peaks and allows the usage of the Bruker AU program </w:t>
      </w:r>
      <w:r>
        <w:rPr>
          <w:rFonts w:ascii="Calibri" w:hAnsi="Calibri" w:cs="Calibri" w:eastAsia="Calibri"/>
          <w:b/>
          <w:color w:val="auto"/>
          <w:spacing w:val="0"/>
          <w:position w:val="0"/>
          <w:sz w:val="24"/>
          <w:shd w:fill="auto" w:val="clear"/>
        </w:rPr>
        <w:t xml:space="preserve">multidcon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conveniently summarizes the intensities or areas of the peaks of all slices in one experiment in the text file </w:t>
      </w:r>
      <w:r>
        <w:rPr>
          <w:rFonts w:ascii="Calibri" w:hAnsi="Calibri" w:cs="Calibri" w:eastAsia="Calibri"/>
          <w:b/>
          <w:color w:val="auto"/>
          <w:spacing w:val="0"/>
          <w:position w:val="0"/>
          <w:sz w:val="24"/>
          <w:shd w:fill="auto" w:val="clear"/>
        </w:rPr>
        <w:t xml:space="preserve">decall.txt,</w:t>
      </w:r>
      <w:r>
        <w:rPr>
          <w:rFonts w:ascii="Calibri" w:hAnsi="Calibri" w:cs="Calibri" w:eastAsia="Calibri"/>
          <w:color w:val="auto"/>
          <w:spacing w:val="0"/>
          <w:position w:val="0"/>
          <w:sz w:val="24"/>
          <w:shd w:fill="auto" w:val="clear"/>
        </w:rPr>
        <w:t xml:space="preserve"> which can then be read out easily with other programs (Python scripts written in-house were used here, as described by Steiner et al) in steps 3.6.3 and 3.6.4.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Fit a mono exponential decay for each SL strength to obtain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(or on-resonance,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t xml:space="preserve">Plot those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values (y)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SL strength (x) (</w:t>
      </w:r>
      <w:r>
        <w:rPr>
          <w:rFonts w:ascii="Calibri" w:hAnsi="Calibri" w:cs="Calibri" w:eastAsia="Calibri"/>
          <w:b/>
          <w:color w:val="auto"/>
          <w:spacing w:val="0"/>
          <w:position w:val="0"/>
          <w:sz w:val="24"/>
          <w:shd w:fill="auto" w:val="clear"/>
        </w:rPr>
        <w:t xml:space="preserve">Figure 5F,G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values are significantly higher for low SL strengths and decrease with higher SL power (as shown in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then the investigated peak shows dispersion, and it might be interesting to carry out additional (off-resonance) experiments to obtain information about the population and chemical shift difference of the excited state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ground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1</w:t>
      </w:r>
      <w:r>
        <w:rPr>
          <w:rFonts w:ascii="Cambria Math" w:hAnsi="Cambria Math" w:cs="Cambria Math" w:eastAsia="Cambria Math"/>
          <w:b/>
          <w:color w:val="auto"/>
          <w:spacing w:val="0"/>
          <w:position w:val="0"/>
          <w:sz w:val="24"/>
          <w:shd w:fill="auto" w:val="clear"/>
          <w:vertAlign w:val="subscript"/>
        </w:rPr>
        <w:t xml:space="preserve">𝜌</w:t>
      </w:r>
      <w:r>
        <w:rPr>
          <w:rFonts w:ascii="Calibri" w:hAnsi="Calibri" w:cs="Calibri" w:eastAsia="Calibri"/>
          <w:b/>
          <w:color w:val="auto"/>
          <w:spacing w:val="0"/>
          <w:position w:val="0"/>
          <w:sz w:val="24"/>
          <w:shd w:fill="auto" w:val="clear"/>
        </w:rPr>
        <w:t xml:space="preserve"> Relaxation dispersion</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off-resonance (labeled 1D 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Set-up and acquisition of off-resonance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In a new topspin folder, set up experiments at a certain SL strength (usually first at the lowest SL strength as the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is highest there, see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for a representative selection of off-resonance SLs), but with different offsets, each time changing </w:t>
      </w:r>
      <w:r>
        <w:rPr>
          <w:rFonts w:ascii="Calibri" w:hAnsi="Calibri" w:cs="Calibri" w:eastAsia="Calibri"/>
          <w:b/>
          <w:color w:val="auto"/>
          <w:spacing w:val="0"/>
          <w:position w:val="0"/>
          <w:sz w:val="24"/>
          <w:shd w:fill="auto" w:val="clear"/>
        </w:rPr>
        <w:t xml:space="preserve">CNST30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Use offsets up to &amp;plusmn; (3 or 4)*SL strength, with a denser sampling around 0 offset, as can be seen in </w:t>
      </w:r>
      <w:r>
        <w:rPr>
          <w:rFonts w:ascii="Calibri" w:hAnsi="Calibri" w:cs="Calibri" w:eastAsia="Calibri"/>
          <w:b/>
          <w:color w:val="auto"/>
          <w:spacing w:val="0"/>
          <w:position w:val="0"/>
          <w:sz w:val="24"/>
          <w:shd w:fill="auto" w:val="clear"/>
        </w:rPr>
        <w:t xml:space="preserve">Figure 5H,I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Run these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Analysis of off-resonance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Use the same processing strategy, as in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to determine an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𝜌</w:t>
      </w:r>
      <w:r>
        <w:rPr>
          <w:rFonts w:ascii="Calibri" w:hAnsi="Calibri" w:cs="Calibri" w:eastAsia="Calibri"/>
          <w:color w:val="auto"/>
          <w:spacing w:val="0"/>
          <w:position w:val="0"/>
          <w:sz w:val="24"/>
          <w:shd w:fill="auto" w:val="clear"/>
        </w:rPr>
        <w:t xml:space="preserve"> value for each offset.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Plot those values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offset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asymmetry in this curve can already indicate that chemical shift information for the excited state can be obtained. Thorough fitting and analysis using Bloch-McConnell or Laguerre equations have to be carried out to obtain information on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ES</w:t>
      </w:r>
      <w:r>
        <w:rPr>
          <w:rFonts w:ascii="Calibri" w:hAnsi="Calibri" w:cs="Calibri" w:eastAsia="Calibri"/>
          <w:color w:val="auto"/>
          <w:spacing w:val="0"/>
          <w:position w:val="0"/>
          <w:sz w:val="24"/>
          <w:shd w:fill="auto" w:val="clear"/>
        </w:rPr>
        <w:t xml:space="preserve"> as well as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Example datasets, pulse programs, and macros for both 1D experiments can be found on the Petzold Lab Github repository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https://github.com/PetzoldLab</w:t>
        </w:r>
      </w:hyperlink>
      <w:r>
        <w:rPr>
          <w:rFonts w:ascii="Calibri" w:hAnsi="Calibri" w:cs="Calibri" w:eastAsia="Calibri"/>
          <w:color w:val="auto"/>
          <w:spacing w:val="0"/>
          <w:position w:val="0"/>
          <w:sz w:val="24"/>
          <w:shd w:fill="auto" w:val="clear"/>
        </w:rPr>
        <w:t xml:space="preserve">). An overview of parameters is given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for RNA production facilitates purification through the generation of high-purity transcripts.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results of several cleavage reactions of tandem transcripts, providing both successful and unsuccessful reactions. Lane 1 shows the optimal case of a fully cleaved transcript with only faint traces of side products. Lane 2a shows incomplete cleavage, which can be resolved by re-annealing and the addition of more RNase H (Lane 2b, step 2.1.2). The RNA constructs of lanes 1, 2a, and 2b are the same. The sample in lane 3 shows unsuccessful cleavage. Troubleshooting this reaction would involve a check of the cleavage guide sequence, purity of DNA template, and annealing temperatures. Potentially, RNase H cleavage will have to be performed after T7 IVT as shown for sample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in lane 4 shows a significant amount of cleavage side products, which are difficult to remove via ion-exchange HPLC. Troubleshooting such a sample can involve (a) lowering temperature, amount of RNase H, or reaction time, (b) reducing elution gradient and injection volume and attempting to separate the target fractions from the side products. Further information on how to increase the resolution in ion exchange HPLC purification has been discussed by Karlsson et al. HPLC separates the target RNA from longer or shorter nucleic acids and protein or small-molecule contaminants.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optimal result for the ion-exchange HPLC purification. The elution gradient should be chosen such that the target RNA species elutes at least one column volume (in this example: 35 mL) after the next smaller species and one column volume before the next larger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Smaller species in this method include single nucleotides, abortive products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nt), 3' and 5' spacer sequences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nt), and cleavage guide (12 nt chimeric nucleic acid), whereas longer sequences are potentially uncleaved tandem repeats and the plasmid. When a well-separated elution peak is achieved, purification can be scaled up to the equivalent of ~20 mL of IVT reaction per injection. The correct fold of an RNA sample is crucial for RD experiments and has to be confirmed before every measurement.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A-labeled 22-mer RNA before the folding protocol in step 2.4 (blue) was applied, and the same sample after the correct folding has been achieved (red). A Mc-Fold secondary structure prediction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proposes the presented hairpin structure with 4 base pairs resulting in 5 imino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spectra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confirm these predicted signals, albeit with slightly different relative intensities, which indicates that some misfolded structure (here, a dimer) can be problematic to assess with only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1D spectra. An aromatic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C-HSQC spectrum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however, shows only 3 of the aromatic signals for the sample before the folding protocol (blue), but all 4 signals for the sample that has been folded according to step 2.4 (red). The sample shown in blue likely formed a homodimer (structure proposed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that would result in the same imino signals as the hairpin. The signal of A13H2 seems exchange-broadened. These results help to highlight the importance of folding confirmation with both imino and aromatic fingerprint experiments before each RD experiment.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pulse sequences described in this protocol allow the detection of dynamics in the intermediate exchange regime. Initially an on-resonance curve is recorded, and if dynamics are present for a specific residue, a dispersion is visible within the obtained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values, while this curve is flat for residues without exchange.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representative on-resonance curves obtained for two different H8 atoms in a synthetic RNA hairpin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wherein G6H8 experiences exchange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while A4H8 does not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As the exchange is relatively slow in this sample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292 &amp;plusmn; 40 Hz), the advantage of the SELOPE experiment to achieve low SL strengths was exploited, and the two on-resonance curves were recorded using the 1D version of the pulse sequence. The same pulse sequence was then used to obtain off-resonance data for the residue showing dispersion in the on-resonance profile.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shows the obtained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values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offset wherein a slight asymmetry of the curve already indicates the sign of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becomes even more apparent in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plot where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contribution is removed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The right column of the same figure shows representative on-resonance curves obtained for two different H8 atoms in a slightly different synthetic RNA hairpin with faster exchange, wherein G6H8 experiences exchange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whereas A4H8 does not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The faster exchange rate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43,502 &amp;plusmn; 38,478 Hz) allowed the RD recording of all aromatic protons at once using the SELOPE 2D version to obtain both, on- and off-resonance data (G6H8 data displayed in </w:t>
      </w:r>
      <w:r>
        <w:rPr>
          <w:rFonts w:ascii="Calibri" w:hAnsi="Calibri" w:cs="Calibri" w:eastAsia="Calibri"/>
          <w:b/>
          <w:color w:val="auto"/>
          <w:spacing w:val="0"/>
          <w:position w:val="0"/>
          <w:sz w:val="24"/>
          <w:shd w:fill="auto" w:val="clear"/>
        </w:rPr>
        <w:t xml:space="preserve">Figure 5H,I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General identifiers for positive and negative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Positive results in the tandem IVT and RNase H cleavage can be identified as follows: 1) The target band is the strongest band in the denaturing PAGE gel. 2) There are no or only weak bands around the main band. 3) There are no or only weak higher molecular weight species. 4) The HPLC chromatogram shows a well separated peak of the target RNA. 5) When the main peak is sampled, only one band appears on a denaturing PAGE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 results in the tandem IVT and RNase H cleavage present as follows: 1) No or just a weak main band is visible on a denaturing PAGE gel. 2) A pattern of high molecular weight species from RNA tandem repeats is visible. 3) Although the main band is present, bands of similar intensity are above or below the main band within &amp;plusmn; 3 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well-folded sample can be identified as follows: 1) The number of observed imino protons matches the number of imino protons expected from a secondary structure simulation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Mc-Fold,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2) The syn G-U wobble base pair in a UUCG loop (if present) is visible at ~9.5 ppm, sometimes only visible at lower temperature. Further fingerprinting of the UUCG loop has been described by F&amp;#252;rtig and colleagues. 3) The aromatic fingerprint agrees with a previously assigned sample that has been confirmed to fold correctly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misfolded or degraded sample can be identified as follows: 1) There are more imino signals than a secondary structure simulation predicts (NOTE: fewer imino signals do not necessarily imply misfolding, as closing base pairs are often not visible, and conformational exchange broadens lines). 2) Absence of imino signals. 3) Narrow signals of high intensity in the aromatic region, indicating single nucleotide degradation products. 4) Divergence between imino or aromatic signals to a reference sample of confirmed folding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atom showing no exchange in the detectable timescale can be identified as follows: 1) from a flat RD profile (due to the missing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varying with the applied SL power)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2) Care has to be taken for the case of slow-intermediate exchange when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Δω are of the same magnitude. In that case, the on-resonance contribution can be very small as can be seen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 this case the fitted parameters are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292 &amp;plusmn; 40 Hz and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 112 &amp;plusmn; 4 Hz). If in doubt, a low SL off-resonance curve can be recorded for verification.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atom showing exchange in the intermediate time scale can be identified 1) from a non-flat relaxation dispersion profile in an on-resonance RD experiment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2) a broader linewidth in the HSQC or SELOPE experiment can also be an indicator for exchange.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Well-selected SL power values for off-resonance curves (</w:t>
      </w:r>
      <w:r>
        <w:rPr>
          <w:rFonts w:ascii="Calibri" w:hAnsi="Calibri" w:cs="Calibri" w:eastAsia="Calibri"/>
          <w:b/>
          <w:color w:val="auto"/>
          <w:spacing w:val="0"/>
          <w:position w:val="0"/>
          <w:sz w:val="24"/>
          <w:shd w:fill="auto" w:val="clear"/>
        </w:rPr>
        <w:t xml:space="preserve">Figure 5E,F</w:t>
      </w:r>
      <w:r>
        <w:rPr>
          <w:rFonts w:ascii="Calibri" w:hAnsi="Calibri" w:cs="Calibri" w:eastAsia="Calibri"/>
          <w:color w:val="auto"/>
          <w:spacing w:val="0"/>
          <w:position w:val="0"/>
          <w:sz w:val="24"/>
          <w:shd w:fill="auto" w:val="clear"/>
        </w:rPr>
        <w:t xml:space="preserve">): 1) have a considerable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in the on-resonance curve (selected SL power values are indicated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2) As off-resonance curves are measured for at least 3 SL power values, the selected SL power values should be spread out over the region of the on-resonance curve with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3) Lead to non-flat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curves after the Laguerre fit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SL strengths 25, 50, and 75 Hz;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Poorly selected SL power values for off-resonance curves (</w:t>
      </w:r>
      <w:r>
        <w:rPr>
          <w:rFonts w:ascii="Calibri" w:hAnsi="Calibri" w:cs="Calibri" w:eastAsia="Calibri"/>
          <w:b/>
          <w:color w:val="auto"/>
          <w:spacing w:val="0"/>
          <w:position w:val="0"/>
          <w:sz w:val="24"/>
          <w:shd w:fill="auto" w:val="clear"/>
        </w:rPr>
        <w:t xml:space="preserve">Figure 5E,F</w:t>
      </w:r>
      <w:r>
        <w:rPr>
          <w:rFonts w:ascii="Calibri" w:hAnsi="Calibri" w:cs="Calibri" w:eastAsia="Calibri"/>
          <w:color w:val="auto"/>
          <w:spacing w:val="0"/>
          <w:position w:val="0"/>
          <w:sz w:val="24"/>
          <w:shd w:fill="auto" w:val="clear"/>
        </w:rPr>
        <w:t xml:space="preserve">) lead to flat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curves after the Laguerre fit. An example is shown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wherein the 100 Hz off-resonance curve is very flat and therefore does not provide significant information on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Indications for rotating-frame nuclear Overhauser effect (ROE) artefacts: 1)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obtained from off resonance curves match chemical shifts of protons in spatial vicinity / protons, which show a cross peak with the peak of interest in the nuclear Overhauser effect spectroscopy (NOESY) spectrum.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 shows broad off-resonance curves as expected for fast-intermediate exchange, but the curves also have sharper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 -3000 Hz and +1500 Hz. These are very likely due to an ROE artifact rather than a chemical shift for this H8 in a different conformer).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Laguerre fit does work, but does not work well (gives high errors or physically impossible values) for an on-resonance and at least 3 off-resonance curves, even though exponentials were obtained from experiments with high SINO (&amp;gt;20)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43,502 &amp;plusmn; 38,478 Hz). Often each SL fits individually well, but fitting them together gives a much higher error; the opposite behavior is expected for a true excited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Indications for “true” exchange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1)</w:t>
        <w:tab/>
        <w:t xml:space="preserve">𝛥𝜔</w:t>
      </w:r>
      <w:r>
        <w:rPr>
          <w:rFonts w:ascii="Calibri" w:hAnsi="Calibri" w:cs="Calibri" w:eastAsia="Calibri"/>
          <w:color w:val="auto"/>
          <w:spacing w:val="0"/>
          <w:position w:val="0"/>
          <w:sz w:val="24"/>
          <w:shd w:fill="auto" w:val="clear"/>
        </w:rPr>
        <w:t xml:space="preserve"> obtained from off-resonance curves do not match chemical shifts of protons in spatial vicinity/protons, which show a cross peak with the peak of interest in the NOESY spectrum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Laguerre fit gives low errors for an on-resonance and at least 3 off-resonance curves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 see caption for fit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the presented protocol.</w:t>
      </w:r>
      <w:r>
        <w:rPr>
          <w:rFonts w:ascii="Calibri" w:hAnsi="Calibri" w:cs="Calibri" w:eastAsia="Calibri"/>
          <w:color w:val="auto"/>
          <w:spacing w:val="0"/>
          <w:position w:val="0"/>
          <w:sz w:val="24"/>
          <w:shd w:fill="auto" w:val="clear"/>
        </w:rPr>
        <w:t xml:space="preserve"> Preparation before the actual large-scale sample production, consisting of template preparation and confirmation of successful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and RNase H cleavage. Large scale production including HPLC purification, filling of NMR tube, and confirmation of RNA folding. In case of isotope-labeled synthesis, an unlabeled purification should be performed for gradient optimization on the same day. NMR characterization of conformational dynamics with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1&amp;#961;</w:t>
      </w:r>
      <w:r>
        <w:rPr>
          <w:rFonts w:ascii="Calibri" w:hAnsi="Calibri" w:cs="Calibri" w:eastAsia="Calibri"/>
          <w:color w:val="auto"/>
          <w:spacing w:val="0"/>
          <w:position w:val="0"/>
          <w:sz w:val="24"/>
          <w:shd w:fill="auto" w:val="clear"/>
        </w:rPr>
        <w:t xml:space="preserve"> experiments. Each step can be performed independently,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i/>
          <w:color w:val="auto"/>
          <w:spacing w:val="0"/>
          <w:position w:val="0"/>
          <w:sz w:val="24"/>
          <w:shd w:fill="FFFFFF" w:val="clear"/>
        </w:rPr>
        <w:t xml:space="preserve"> 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RD analysis can be applied to any suitable RNA sample produced with another method. Abbreviations: IVT =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HPLC = high-performance liquid chromatography; NMR = nuclear magnetic resonance; RD = relaxation dispersion.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reported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Tandem transcription from a linearized plasmid template with T7RNAP (left) and successive cleavage by RNAse H of the transcript to achieve target length RNA, directed by a chimeric DNA guide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Detailed schematic of the tandem template starting with the viral T7RNAP promoter, an initiation sequence. The target sequence (dark blue, example here is 20 nt long) is repeated “n” times. The repeats flanked by 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spacer sequences consisting of the last eight and first four nucleotides, respectively, to allow for removal of the initiation and restriction sequences from the first and last repeat unit.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Hybridization of the tandem transcript (red) and the chimeric cleavage guides (green). RNase H cleaves the RNA opposite to the DNA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The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-OMe RNA flanks increase specificity by enhancing the binding affinity of cleavage guide to the target RNA. This figure has been modified from . Abbreviations: T7RNAP = T7 RNA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Sample production by T7 tandem IVT and RNase H cleavage reaction.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Denaturing PAGE of positive and negative results of tandem IVT and RNase H cleavage. Ladder height refers to RNA references, 12* refers to the chimeric cleavage guide. Lane 1: Successful generation of a 20 nt target RNA. Few shorter and longer products are present. Lane 2a: Incomplete cleavage of the tandem transcript. Although HPLC purification is possible, a lot of material would be wasted. Lane 2b: Continued RNase H cleavage of Lane 2 produces a clean sample ready for HPLC injection (identical to Lane 1). Lane 4: RNase H cleavage was largely unsuccessful, and no target band was produced. The full-length tandem transcript is still visible at 600 nt. Lane 5: A target band was produced, but a strong -1 band is present. Although HPLC can be performed, careful removal of the side product is necessary.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 successful HPLC injection. The peak at 38 min contains pure RNA of the target length, while longer and shorter products are well-separated from the target RNA. Panel B has been modified from . Abbreviations: IVT =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HPLC = high-performance liquid chromatography; nt = nucleotides; AU = arbitrary units.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an RNA hairpin before (blue) and after (red) the folding step 2.4 (see protocol) in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Imino region of 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H-1D spectrum of an A-labeled 22-mer RNA. Expected regions for base pair identity of imino signals are indicated in gray below.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C-HSQC spectrum of the aromatic resonances of the RNA from panel A. The sample after folding (red) shows 4 signals as expected, while the sample before folding (blue) shows only 3 signals.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Mc-Fold prediction of the 22-mer RNA as a hairpin. Five imino signals are to be expected from this secondary structure, which can be found in both samples in panel 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Proposed structure of a homodimer formed by the 22-mer RNA, resulting in the same 5 base pairs as the hairpin structure. Abbreviations: NMR = nuclear magnetic resonance; 1D = one-dimensional; HSQC = heteronuclear single quantum correlation; ppm = parts per million.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w:t>
      </w:r>
      <w:r>
        <w:rPr>
          <w:rFonts w:ascii="Calibri" w:hAnsi="Calibri" w:cs="Calibri" w:eastAsia="Calibri"/>
          <w:b/>
          <w:i/>
          <w:color w:val="auto"/>
          <w:spacing w:val="0"/>
          <w:position w:val="0"/>
          <w:sz w:val="24"/>
          <w:shd w:fill="FFFFFF" w:val="clear"/>
        </w:rPr>
        <w:t xml:space="preserve">R</w:t>
      </w:r>
      <w:r>
        <w:rPr>
          <w:rFonts w:ascii="Calibri" w:hAnsi="Calibri" w:cs="Calibri" w:eastAsia="Calibri"/>
          <w:b/>
          <w:color w:val="auto"/>
          <w:spacing w:val="0"/>
          <w:position w:val="0"/>
          <w:sz w:val="24"/>
          <w:shd w:fill="FFFFFF" w:val="clear"/>
          <w:vertAlign w:val="subscript"/>
        </w:rPr>
        <w:t xml:space="preserve">1&amp;#961;</w:t>
      </w:r>
      <w:r>
        <w:rPr>
          <w:rFonts w:ascii="Calibri" w:hAnsi="Calibri" w:cs="Calibri" w:eastAsia="Calibri"/>
          <w:b/>
          <w:color w:val="auto"/>
          <w:spacing w:val="0"/>
          <w:position w:val="0"/>
          <w:sz w:val="24"/>
          <w:shd w:fill="FFFFFF" w:val="clear"/>
        </w:rPr>
        <w:t xml:space="preserve"> RD</w:t>
      </w:r>
      <w:r>
        <w:rPr>
          <w:rFonts w:ascii="Calibri" w:hAnsi="Calibri" w:cs="Calibri" w:eastAsia="Calibri"/>
          <w:b/>
          <w:color w:val="auto"/>
          <w:spacing w:val="0"/>
          <w:position w:val="0"/>
          <w:sz w:val="24"/>
          <w:shd w:fill="FFFFFF" w:val="clear"/>
          <w:vertAlign w:val="subscript"/>
        </w:rPr>
        <w:t xml:space="preserve"> </w:t>
      </w:r>
      <w:r>
        <w:rPr>
          <w:rFonts w:ascii="Calibri" w:hAnsi="Calibri" w:cs="Calibri" w:eastAsia="Calibri"/>
          <w:b/>
          <w:color w:val="auto"/>
          <w:spacing w:val="0"/>
          <w:position w:val="0"/>
          <w:sz w:val="24"/>
          <w:shd w:fill="FFFFFF" w:val="clear"/>
        </w:rPr>
        <w:t xml:space="preserve">representative results for two different constructs based on an RNA hairpin.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left column shows results obtained on the RNA with a C-G base pair above the bulged U, while the right column shows results obtained on a sample where the base pair was switched to G-C instead.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show flat dispersion profiles as obtained for A4H8 for the two constructs, indicating no conformational exchange. (</w:t>
      </w:r>
      <w:r>
        <w:rPr>
          <w:rFonts w:ascii="Calibri" w:hAnsi="Calibri" w:cs="Calibri" w:eastAsia="Calibri"/>
          <w:b/>
          <w:color w:val="auto"/>
          <w:spacing w:val="0"/>
          <w:position w:val="0"/>
          <w:sz w:val="24"/>
          <w:shd w:fill="FFFFFF" w:val="clear"/>
        </w:rPr>
        <w:t xml:space="preserve">C</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show on-resonance, off-resonance, and fitted data obtained for G6 in the (G-C) construct</w:t>
      </w:r>
      <w:r>
        <w:rPr>
          <w:rFonts w:ascii="Calibri" w:hAnsi="Calibri" w:cs="Calibri" w:eastAsia="Calibri"/>
          <w:color w:val="auto"/>
          <w:spacing w:val="0"/>
          <w:position w:val="0"/>
          <w:sz w:val="24"/>
          <w:shd w:fill="auto" w:val="clear"/>
        </w:rPr>
        <w:t xml:space="preserve">. The Laguerre fit leads to the following result: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2.87 &amp;plusmn; 0.01 Hz,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7.76 &amp;plusmn; 0.03 Hz,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=292 &amp;plusmn; 40 Hz,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ES</w:t>
      </w:r>
      <w:r>
        <w:rPr>
          <w:rFonts w:ascii="Calibri" w:hAnsi="Calibri" w:cs="Calibri" w:eastAsia="Calibri"/>
          <w:color w:val="auto"/>
          <w:spacing w:val="0"/>
          <w:position w:val="0"/>
          <w:sz w:val="24"/>
          <w:shd w:fill="auto" w:val="clear"/>
        </w:rPr>
        <w:t xml:space="preserve"> = 0.31 &amp;plusmn; 0.03 %,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 112 &amp;plusmn; 4 Hz. (</w:t>
      </w:r>
      <w:r>
        <w:rPr>
          <w:rFonts w:ascii="Calibri" w:hAnsi="Calibri" w:cs="Calibri" w:eastAsia="Calibri"/>
          <w:b/>
          <w:color w:val="auto"/>
          <w:spacing w:val="0"/>
          <w:position w:val="0"/>
          <w:sz w:val="24"/>
          <w:shd w:fill="FFFFFF" w:val="clear"/>
        </w:rPr>
        <w:t xml:space="preserve">G</w:t>
      </w:r>
      <w:r>
        <w:rPr>
          <w:rFonts w:ascii="Cambria Math" w:hAnsi="Cambria Math" w:cs="Cambria Math" w:eastAsia="Cambria Math"/>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show on-resonance, off-resonance, and fitted data obtained for G6 in the (G-C) construct</w:t>
      </w:r>
      <w:r>
        <w:rPr>
          <w:rFonts w:ascii="Calibri" w:hAnsi="Calibri" w:cs="Calibri" w:eastAsia="Calibri"/>
          <w:color w:val="auto"/>
          <w:spacing w:val="0"/>
          <w:position w:val="0"/>
          <w:sz w:val="24"/>
          <w:shd w:fill="auto" w:val="clear"/>
        </w:rPr>
        <w:t xml:space="preserve">. The Laguerre fit leads to the following result: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1.93 &amp;plusmn; 0.02 Hz,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6.71 &amp;plusmn; 0.86 Hz,</w:t>
      </w:r>
      <w:r>
        <w:rPr>
          <w:rFonts w:ascii="Calibri" w:hAnsi="Calibri" w:cs="Calibri" w:eastAsia="Calibri"/>
          <w:i/>
          <w:color w:val="auto"/>
          <w:spacing w:val="0"/>
          <w:position w:val="0"/>
          <w:sz w:val="24"/>
          <w:shd w:fill="auto" w:val="clear"/>
        </w:rPr>
        <w:t xml:space="preserve"> k</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 43,502 &amp;plusmn; 38,478 Hz,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ES</w:t>
      </w:r>
      <w:r>
        <w:rPr>
          <w:rFonts w:ascii="Calibri" w:hAnsi="Calibri" w:cs="Calibri" w:eastAsia="Calibri"/>
          <w:color w:val="auto"/>
          <w:spacing w:val="0"/>
          <w:position w:val="0"/>
          <w:sz w:val="24"/>
          <w:shd w:fill="auto" w:val="clear"/>
        </w:rPr>
        <w:t xml:space="preserve"> = 27 &amp;plusmn; 16 %,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 203 &amp;plusmn; 166 Hz. This figure was modified from . Abbreviation: SL = spin lock.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Overview of parameters to set up 1D HCP-based and 1D-SELOPE-based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w:t>
      </w:r>
      <w:r>
        <w:rPr>
          <w:rFonts w:ascii="Calibri" w:hAnsi="Calibri" w:cs="Calibri" w:eastAsia="Calibri"/>
          <w:b/>
          <w:i/>
          <w:color w:val="auto"/>
          <w:spacing w:val="0"/>
          <w:position w:val="0"/>
          <w:sz w:val="24"/>
          <w:shd w:fill="auto" w:val="clear"/>
        </w:rPr>
        <w:t xml:space="preserve">R</w:t>
      </w:r>
      <w:r>
        <w:rPr>
          <w:rFonts w:ascii="Calibri" w:hAnsi="Calibri" w:cs="Calibri" w:eastAsia="Calibri"/>
          <w:b/>
          <w:i/>
          <w:color w:val="auto"/>
          <w:spacing w:val="0"/>
          <w:position w:val="0"/>
          <w:sz w:val="24"/>
          <w:shd w:fill="auto" w:val="clear"/>
          <w:vertAlign w:val="subscript"/>
        </w:rPr>
        <w:t xml:space="preserve">1</w:t>
      </w:r>
      <w:r>
        <w:rPr>
          <w:rFonts w:ascii="Cambria Math" w:hAnsi="Cambria Math" w:cs="Cambria Math" w:eastAsia="Cambria Math"/>
          <w:b/>
          <w:i/>
          <w:color w:val="auto"/>
          <w:spacing w:val="0"/>
          <w:position w:val="0"/>
          <w:sz w:val="24"/>
          <w:shd w:fill="auto" w:val="clear"/>
          <w:vertAlign w:val="subscript"/>
        </w:rPr>
        <w:t xml:space="preserve">𝜌</w:t>
      </w:r>
      <w:r>
        <w:rPr>
          <w:rFonts w:ascii="Calibri" w:hAnsi="Calibri" w:cs="Calibri" w:eastAsia="Calibri"/>
          <w:b/>
          <w:color w:val="auto"/>
          <w:spacing w:val="0"/>
          <w:position w:val="0"/>
          <w:sz w:val="24"/>
          <w:shd w:fill="auto" w:val="clear"/>
        </w:rPr>
        <w:t xml:space="preserve"> experiments. </w:t>
      </w:r>
      <w:r>
        <w:rPr>
          <w:rFonts w:ascii="Calibri" w:hAnsi="Calibri" w:cs="Calibri" w:eastAsia="Calibri"/>
          <w:color w:val="auto"/>
          <w:spacing w:val="0"/>
          <w:position w:val="0"/>
          <w:sz w:val="24"/>
          <w:shd w:fill="auto" w:val="clear"/>
        </w:rPr>
        <w:t xml:space="preserve">Abbreviations: 1D = one-dimensional; HCP = heteronuclear cross-polarization; SELOPE = SELective Optimized Proton Experiment; ppm = parts per million; HSQC= heteronuclear spin quantum correlation; SL = spin lock; RD = relaxation dispersion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Reagent table for tandem IVT and simultaneous RNase H cleavage. </w:t>
      </w:r>
      <w:r>
        <w:rPr>
          <w:rFonts w:ascii="Calibri" w:hAnsi="Calibri" w:cs="Calibri" w:eastAsia="Calibri"/>
          <w:color w:val="auto"/>
          <w:spacing w:val="0"/>
          <w:position w:val="0"/>
          <w:sz w:val="24"/>
          <w:shd w:fill="auto" w:val="clear"/>
        </w:rPr>
        <w:t xml:space="preserve">Stock concentrations can be adapted to the user’s convenience. If RNase H cleavage must be performed after T7 IVT, add cleavage guide and RNase H after heat-inactivation of T7RNAP. Amounts used scale linearly with reaction scale. Abbreviations: T7RNAP = T7 RNA polymerase; IVT =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herein is a synthesis of several protocols published previously in the form of research articles. Hence, segments of the protocol can be applied, while others can be exchanged to the preference of the reader. For example, the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measurements can be performed on an RNA sample produced with any method, given that folding and homogeneity of length are assumed. Furthermore, the protocol does not contain information on on-resonance assignment of the RNA sequence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step required for RD experiments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this has been covered extensively in previous literature. Partial, segmental, or site-specific labeling schemes are approaches to facilitate resonance assignment or reduce the overlap of resonances that are of interest in RD experiments and have been described at length in the literature. This method allows the use of uniform labeling of any nucleotide identity, which can already simplify resonance assignment significantly.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IVT method presented here overcomes known issues with sequences and labeling, increases yield, and decreases cost and work time compared to other methods. The use of the viral initiation sequence reduces the need for reaction optimization, which is a known problem in the field that can be time-consuming to perform and yields only few copies of the transcript in the case of non-G initiation. The T7 IVT and RNase H cleavage of the tandem transcript can be performed simultaneously in the same vessel. A pattern of multimeric tandem repeats can be seen on a denaturing PAGE gel during the reaction, which coalesces to a single band on the target RNA upon completion of RNase H reaction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lanes 1 and 2b). Typical yields using this method range between 30 and 70 nmol RNA per 1 mL IVT. Yet, the method based on RNase H cleavage of tandem repeats does not come without certain problems of its own. The RNase H cleavage reaction often does not go to completion when run simultaneously with T7 transcription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2a).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separation of tandem units can be finalized by annealing the cleavage guide to the transcript and adding more RNase 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2b, step 2.1.2). As heating of large volumes is slow and leads to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-catalyzed hydrolysis of RNA, a conventional microwave oven was used, which heats the sample to &amp;gt;95 &amp;#176;C 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Adverse effects on the produced samples have not been observed so far. Some constructs show a minor second band that could not be eliminated by the optimization of the reaction conditions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lane 4). Usually these are rather clearly visible as a shoulder in the HPLC chromatogram, if a well-optimized elution gradient is used, and can be removed (step 2.2.5). The following discussion is aimed to highlight critical steps in the protocol, specifically with respect to obtaining high-quality data that allow an interpretation of conformational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RNase contamination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RNases are ubiquitous, highly stable, and pose the biggest threat for long-term stability of NMR samples. Therefore, it is crucial to work in an RNase-free environment and keep all reagents and plasticware RNase-free. The use of filter tips and maybe even facemasks is recommended. This is specifically important after HPLC purification. NMR samples contaminated with RNases typically exhibit narrow peaks visible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H-1D spectra after days or weeks due to single-nucleotide degradation products. Such a sample is not suitable for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1&amp;#961;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NMR sample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its highly charged nature, RNA can be used in high concentrations without precipitation when compared to most proteins. The use of NMR tubes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advantageous as they allow centering of the highly concentrated sample in the center of the coil while still providing ideal shimming and locking conditions due to the susceptibility-matched glass bottom and plunger. This way, B1-inhomogeneity is reduced, giving rise to narrower lines. The typical sample volume in an NMR tube is 250 &amp;#181;L, and typical concentration is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Samples below 500 &amp;#181;M are not recommended for RD experiments as the experiment would take too long and a good shim.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sample volume below 200 &amp;#181;L is not recommended because field stability (lock) is required. When inserting the plunger, it is crucial to avoid the formation of bubbles in the sample (step 2.4.5). If not fixed properly, the plunger can slide down into the sample, reducing the detectable volume. Furthermore, rapid changes in temperature can lead to the formation of new bubbles in the sample. Therefore, care should be taken when transporting the sample and when changing the probe temperature in the NMR spectrometer. Check the sample for bubbles when measuring again after a longer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RNA folding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RNA molecules can exist in multiple conformations when not folded properly. Even though melting temperatures of secondary structures can be only slightly above room temperature, a thorough heating-and-snap-cooling procedure is recommended before measurement. Highly concentrated hairpin samples folding under kinetic control (heating-and-snap-cooling) can form homodimers over time, which necessitates rigorous control of RNA folding before each NMR measurement. If the measured RNA is not a hairpin structure but an RNA duplex, slow folding under thermodynamic control should be applied.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the cooling process after heating should be in the range of hours, while the RNA is used at its final volume and concentration in the NMR sample. An initial count of expected imino and aromatic resonances can provide insight about the homogeneity of the sample. If the sample does not look like expected, it should be re-folded.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(added as chloride salt) can help with folding RNA structures. In practice, the folding control serves as a comparison to a sample that has been used to at least partially assign the NMR resonances and to solve the secondary structure experimentally.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Spin lock power and heating considerations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 of running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 </w:t>
      </w:r>
      <w:r>
        <w:rPr>
          <w:rFonts w:ascii="Calibri" w:hAnsi="Calibri" w:cs="Calibri" w:eastAsia="Calibri"/>
          <w:color w:val="auto"/>
          <w:spacing w:val="0"/>
          <w:position w:val="0"/>
          <w:sz w:val="24"/>
          <w:shd w:fill="auto" w:val="clear"/>
        </w:rPr>
        <w:t xml:space="preserve">experiments as 2D overview experiments, SL power should be no lower than 1.2 kHz. The radiofrequency transmitter frequency should be placed in the middle of the ppm region of the peaks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7.5 ppm for aromatic protons). The bandwidth of 1.2 kHz will then be large enough to spin-lock these protons without any major off-resonance effects. Such effects can be identified in the RD profile. If they occur,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values increase instead of decrease with increasing SL power values, especially for low SL power. Check if the calculated SL power values correspond to the power delivered to the sample. In practice, calculated SL power can be used if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90&amp;#176; hard pulse was calibrated carefully in newer spectrometers; however, this can be checked by calibrating SL power for each desired bandwidth.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range of SL power, which can be used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FFFFFF" w:val="clear"/>
        </w:rPr>
        <w:t xml:space="preserve"> RD</w:t>
      </w:r>
      <w:r>
        <w:rPr>
          <w:rFonts w:ascii="Calibri" w:hAnsi="Calibri" w:cs="Calibri" w:eastAsia="Calibri"/>
          <w:color w:val="auto"/>
          <w:spacing w:val="0"/>
          <w:position w:val="0"/>
          <w:sz w:val="24"/>
          <w:shd w:fill="auto" w:val="clear"/>
        </w:rPr>
        <w:t xml:space="preserve"> experiments is very broad, leading to varying sample heating (1.2 kHz to 15 kHz for HSQC and HCP-based sequences and 50 Hz to 15 kHz for SELOPE experiments). Unequal sample heating can be detected as a slight change in chemical shift when comparing 1Ds obtained for low power SLs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high power SLs. This effect is usually not considered in heat compensations in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experiments on heteronuclei. Heat compensation in those experiments is usually set up to correct for different heating due to the different spin lock durations specified in the vd list of each spin lock power series. Especially for the SELOPE experiment, a second heat compensation should be used across all applied SL strengths as described 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vd list considerations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earlier, the vd list should contain a time point long enough to obtain a significant decay of intensity (ideally down to 30% of initial signal, or as low as possible if it is not possible to reach a 70% decay within the specifications of the probe). Although the vd list was optimized for a low SL power (1.2 kHz), this vd list should also be tested at the highest SL power to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15 kHz). This is due to the fact, that for peaks with significant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contribution, the decay will be much slower at high SL power. So a sufficient decay should also be verified at high SL power. The same must be considered for decays at high offsets in off-resonance experiments. The ideal maximum time point of the vd list could be significantly different for the different regions of the dispersion experiment. In that case, more points could be included in the vd list, and the longer vd list points for higher SL power or higher offsets during analysis, based on the low SINO they will lead to, could be discarded. In general,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vd list points should be considered to be able to spot potential artefacts leading to non-exponential decays such as J-coupling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HCP selectivity considerations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care must be taken when running the HCP-based 1D version if there is another peak overlapping with the peak of interest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dimension of the 2D HSQC-based experiment. HCP-based transfers are very, but never 100% selective, and it can therefore happen that another peak contributes to the intensity and decay behavior of the peak of interest in the 1D. An indication for this would be a difference in on-resonance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1&amp;#961;</w:t>
      </w:r>
      <w:r>
        <w:rPr>
          <w:rFonts w:ascii="Calibri" w:hAnsi="Calibri" w:cs="Calibri" w:eastAsia="Calibri"/>
          <w:color w:val="auto"/>
          <w:spacing w:val="0"/>
          <w:position w:val="0"/>
          <w:sz w:val="24"/>
          <w:shd w:fill="auto" w:val="clear"/>
        </w:rPr>
        <w:t xml:space="preserve"> values obtained using the 1D and 2D versions of the labeled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ROE considerations: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off-resonance curves of atoms with slow-intermediate exchange, ROE artefacts can be identified based on a comparison of the obtained </w:t>
      </w:r>
      <w:r>
        <w:rPr>
          <w:rFonts w:ascii="Calibri" w:hAnsi="Calibri" w:cs="Calibri" w:eastAsia="Calibri"/>
          <w:color w:val="auto"/>
          <w:spacing w:val="0"/>
          <w:position w:val="0"/>
          <w:sz w:val="24"/>
          <w:shd w:fill="auto" w:val="clear"/>
        </w:rPr>
        <w:t xml:space="preserve">Δω with a NOESY or ROESY spectrum. If a cross peak can be identified at a chemical shift difference corresponding to Δω, then the observed excited state might in fact be a ROE artifact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ROEs were found between aromatic protons, which are all in the same chemical shift range and therefore covered by those off-resonance curves). From experience, this always also led to poor fits with large errors, possibly due to the ROE not following the same pattern as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with increasing SL power. The situation becomes more difficult for intermediate-fast exchange. While the on-resonance curve is (from comparison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data obtained on the neighboring nucleus) still representative of the exchange process between the GS and ES, the off-resonance curve is influenced by multiple ROE artefacts.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that case, the SL power to detect the exchange process is larger (&amp;gt;1.5 kHz) and therefore spans a larger number of protons as off-resonance curves span over chemical shift differences of various ROE candidates (for H8 these would be: amino protons at ca. &amp;plusmn;1000 Hz, H5/H1’s at ca. -1200 Hz, imino protons at ca. 3500 Hz). So far, no method has been found to suppress these ROE artefacts (other than using partially deuterated nucleotides), and off-resonance data should not be recorded for fast-intermediate exchange, as no reliable information on the actual </w:t>
      </w:r>
      <w:r>
        <w:rPr>
          <w:rFonts w:ascii="Cambria Math" w:hAnsi="Cambria Math" w:cs="Cambria Math" w:eastAsia="Cambria Math"/>
          <w:color w:val="auto"/>
          <w:spacing w:val="0"/>
          <w:position w:val="0"/>
          <w:sz w:val="24"/>
          <w:shd w:fill="auto" w:val="clear"/>
        </w:rPr>
        <w:t xml:space="preserve">𝛥𝜔</w:t>
      </w:r>
      <w:r>
        <w:rPr>
          <w:rFonts w:ascii="Calibri" w:hAnsi="Calibri" w:cs="Calibri" w:eastAsia="Calibri"/>
          <w:color w:val="auto"/>
          <w:spacing w:val="0"/>
          <w:position w:val="0"/>
          <w:sz w:val="24"/>
          <w:shd w:fill="auto" w:val="clear"/>
        </w:rPr>
        <w:t xml:space="preserve"> can be extracted with this method, if NOE/ROE contribution cannot be excluded via NOESY spectra.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J-Coupling (Hartmann-Hahn) considerations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on-resonance curves for homonuclear J-coupled protons, such as H6, were successfully recorded, special care must be taken for off-resonance measurements, especially for low SL power as Hartmann-Hahn matching conditions can span a wide range of the investigated offsets. Hartmann-Hahn artefacts can be identified as oscillations on the exponential decay or increasing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EX</w:t>
      </w:r>
      <w:r>
        <w:rPr>
          <w:rFonts w:ascii="Calibri" w:hAnsi="Calibri" w:cs="Calibri" w:eastAsia="Calibri"/>
          <w:color w:val="auto"/>
          <w:spacing w:val="0"/>
          <w:position w:val="0"/>
          <w:sz w:val="24"/>
          <w:shd w:fill="auto" w:val="clear"/>
        </w:rPr>
        <w:t xml:space="preserve"> values with increasing SL strengths in on-resonance RD plots.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K.P. is consultant to Arrakis Therapeutics, a company that discovers small molecules targeting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thank the protein science facility (PSF) at the Karolinska Institutet for expression and purification of T7 RNA polymerase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FFFFFF" w:val="clear"/>
        </w:rPr>
        <w:t xml:space="preserve"> RNase H, Martin H&amp;#228;llberg for the generous gift of the inorganic phosphatase, and the entire Petzoldlab for valuable discussions. We thank Luca Retattino for preparation of the U-bulge constructs and Emilie Steiner and Carolina Fontana for their contribution to macros and fitting scripts. We acknowledge the Karolinska Institute and the Dept. of Medical Biochemistry and Biophysics for the support of the purchase of a 600 MHz spectrometer and position financing (KI FoAss and KID 2-3707/2013). We are grateful for financial contribution from Vetenskapsrådet (#2014-4303), Stiftelsen f&amp;#246;r strategisk Forskning (ICA14-0023 and FFL15-0178) and The Ragnar S&amp;#246;derberg Stiftelse (M91-14), Harald och Greta Jeansson Stiftelse (JS20140009), Carl Tryggers stiftelse (CTS14-383 and 15-383), Eva och Oscar Ahr&amp;#233;ns Stiftelse, Åke Wiberg Stiftelse (467080968 and M14-0109), Cancerfonden (CAN 2015/388), J.S. acknowledges funding through a Marie Sk</w:t>
      </w:r>
      <w:r>
        <w:rPr>
          <w:rFonts w:ascii="Calibri" w:hAnsi="Calibri" w:cs="Calibri" w:eastAsia="Calibri"/>
          <w:color w:val="auto"/>
          <w:spacing w:val="0"/>
          <w:position w:val="0"/>
          <w:sz w:val="24"/>
          <w:shd w:fill="FFFFFF" w:val="clear"/>
        </w:rPr>
        <w:t xml:space="preserve">łodowska-Curie IF (EU H2020, MSCA-IF project no. 747446).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PetzoldLab"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