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4A891" w14:textId="2A7A375D" w:rsidR="00F935C7" w:rsidRPr="00863252" w:rsidRDefault="00863252" w:rsidP="004C34BB">
      <w:pPr>
        <w:pBdr>
          <w:top w:val="nil"/>
          <w:left w:val="nil"/>
          <w:bottom w:val="nil"/>
          <w:right w:val="nil"/>
          <w:between w:val="nil"/>
        </w:pBdr>
        <w:contextualSpacing/>
        <w:rPr>
          <w:b/>
          <w:bCs/>
          <w:color w:val="000000"/>
        </w:rPr>
      </w:pPr>
      <w:r w:rsidRPr="00863252">
        <w:rPr>
          <w:b/>
          <w:bCs/>
          <w:color w:val="000000"/>
        </w:rPr>
        <w:t>TITLE:</w:t>
      </w:r>
    </w:p>
    <w:p w14:paraId="1AD36D16" w14:textId="77777777" w:rsidR="00F935C7" w:rsidRPr="00863252" w:rsidRDefault="00F935C7" w:rsidP="004C34BB">
      <w:pPr>
        <w:contextualSpacing/>
      </w:pPr>
      <w:r w:rsidRPr="00863252">
        <w:t xml:space="preserve">Investigating the Phagocytosis of </w:t>
      </w:r>
      <w:r w:rsidRPr="00863252">
        <w:rPr>
          <w:i/>
          <w:iCs/>
        </w:rPr>
        <w:t>Leishmania</w:t>
      </w:r>
      <w:r w:rsidRPr="00863252">
        <w:t xml:space="preserve"> using Confocal Microscopy</w:t>
      </w:r>
    </w:p>
    <w:p w14:paraId="3C0CB77D" w14:textId="2281B5A3" w:rsidR="00F935C7" w:rsidRPr="00863252" w:rsidRDefault="00F935C7" w:rsidP="004C34BB">
      <w:pPr>
        <w:contextualSpacing/>
        <w:rPr>
          <w:b/>
        </w:rPr>
      </w:pPr>
    </w:p>
    <w:p w14:paraId="6521EE20" w14:textId="4E4B110C" w:rsidR="00863252" w:rsidRPr="00863252" w:rsidRDefault="00863252" w:rsidP="004C34BB">
      <w:pPr>
        <w:contextualSpacing/>
        <w:rPr>
          <w:b/>
        </w:rPr>
      </w:pPr>
      <w:r w:rsidRPr="00863252">
        <w:rPr>
          <w:b/>
        </w:rPr>
        <w:t>AUTHORS:</w:t>
      </w:r>
    </w:p>
    <w:p w14:paraId="4EE80FB9" w14:textId="77777777" w:rsidR="00F935C7" w:rsidRPr="00863252" w:rsidRDefault="00F935C7" w:rsidP="004C34BB">
      <w:pPr>
        <w:contextualSpacing/>
        <w:rPr>
          <w:vertAlign w:val="superscript"/>
          <w:lang w:val="pt-BR"/>
        </w:rPr>
      </w:pPr>
      <w:r w:rsidRPr="00863252">
        <w:rPr>
          <w:lang w:val="pt-BR"/>
        </w:rPr>
        <w:t>Amanda R. Paixão</w:t>
      </w:r>
      <w:r w:rsidRPr="00863252">
        <w:rPr>
          <w:vertAlign w:val="superscript"/>
          <w:lang w:val="pt-BR"/>
        </w:rPr>
        <w:t>1†</w:t>
      </w:r>
      <w:r w:rsidRPr="00863252">
        <w:rPr>
          <w:lang w:val="pt-BR"/>
        </w:rPr>
        <w:t>, Beatriz R. S. Dias</w:t>
      </w:r>
      <w:r w:rsidRPr="00863252">
        <w:rPr>
          <w:vertAlign w:val="superscript"/>
          <w:lang w:val="pt-BR"/>
        </w:rPr>
        <w:t>1†</w:t>
      </w:r>
      <w:r w:rsidRPr="00863252">
        <w:rPr>
          <w:lang w:val="pt-BR"/>
        </w:rPr>
        <w:t>, Luana C. Palma</w:t>
      </w:r>
      <w:r w:rsidRPr="00863252">
        <w:rPr>
          <w:vertAlign w:val="superscript"/>
          <w:lang w:val="pt-BR"/>
        </w:rPr>
        <w:t>1</w:t>
      </w:r>
      <w:r w:rsidRPr="00863252">
        <w:rPr>
          <w:lang w:val="pt-BR"/>
        </w:rPr>
        <w:t>, Natália M. Tavares</w:t>
      </w:r>
      <w:r w:rsidRPr="00863252">
        <w:rPr>
          <w:vertAlign w:val="superscript"/>
          <w:lang w:val="pt-BR"/>
        </w:rPr>
        <w:t>1</w:t>
      </w:r>
      <w:r w:rsidRPr="00863252">
        <w:rPr>
          <w:lang w:val="pt-BR"/>
        </w:rPr>
        <w:t>, Cláudia I. Brodskyn</w:t>
      </w:r>
      <w:r w:rsidRPr="00863252">
        <w:rPr>
          <w:vertAlign w:val="superscript"/>
          <w:lang w:val="pt-BR"/>
        </w:rPr>
        <w:t>1</w:t>
      </w:r>
      <w:r w:rsidRPr="00863252">
        <w:rPr>
          <w:lang w:val="pt-BR"/>
        </w:rPr>
        <w:t>, Juliana P. B de Menezes</w:t>
      </w:r>
      <w:r w:rsidRPr="00863252">
        <w:rPr>
          <w:vertAlign w:val="superscript"/>
          <w:lang w:val="pt-BR"/>
        </w:rPr>
        <w:t xml:space="preserve">1 </w:t>
      </w:r>
      <w:r w:rsidRPr="00863252">
        <w:rPr>
          <w:lang w:val="pt-BR"/>
        </w:rPr>
        <w:t>and Patricia S. T. Veras</w:t>
      </w:r>
      <w:r w:rsidRPr="00863252">
        <w:rPr>
          <w:vertAlign w:val="superscript"/>
          <w:lang w:val="pt-BR"/>
        </w:rPr>
        <w:t>1,2*</w:t>
      </w:r>
    </w:p>
    <w:p w14:paraId="37B019D4" w14:textId="77777777" w:rsidR="00F935C7" w:rsidRPr="00863252" w:rsidRDefault="00F935C7" w:rsidP="004C34BB">
      <w:pPr>
        <w:contextualSpacing/>
        <w:rPr>
          <w:vertAlign w:val="superscript"/>
          <w:lang w:val="pt-BR"/>
        </w:rPr>
      </w:pPr>
    </w:p>
    <w:p w14:paraId="7B115B6D" w14:textId="7E0FD452" w:rsidR="00F935C7" w:rsidRPr="00863252" w:rsidRDefault="00F935C7" w:rsidP="004C34BB">
      <w:pPr>
        <w:contextualSpacing/>
      </w:pPr>
      <w:r w:rsidRPr="00863252">
        <w:rPr>
          <w:vertAlign w:val="superscript"/>
        </w:rPr>
        <w:t>1</w:t>
      </w:r>
      <w:r w:rsidRPr="00863252">
        <w:t xml:space="preserve"> Laboratory of Host-Parasite Interaction and Epidemiology, Gonçalo Moniz Institute</w:t>
      </w:r>
      <w:r w:rsidR="00863252" w:rsidRPr="00863252">
        <w:t>, Candeal, Salvador, Brazil</w:t>
      </w:r>
    </w:p>
    <w:p w14:paraId="63ED6F70" w14:textId="7D3AB575" w:rsidR="00F935C7" w:rsidRPr="00863252" w:rsidRDefault="00F935C7" w:rsidP="004C34BB">
      <w:pPr>
        <w:contextualSpacing/>
        <w:rPr>
          <w:rFonts w:eastAsia="Arial"/>
          <w:color w:val="000000"/>
        </w:rPr>
      </w:pPr>
      <w:r w:rsidRPr="00863252">
        <w:rPr>
          <w:vertAlign w:val="superscript"/>
        </w:rPr>
        <w:t>2</w:t>
      </w:r>
      <w:r w:rsidRPr="00863252">
        <w:t xml:space="preserve"> </w:t>
      </w:r>
      <w:r w:rsidRPr="00863252">
        <w:rPr>
          <w:rFonts w:eastAsia="Arial"/>
          <w:color w:val="000000"/>
        </w:rPr>
        <w:t xml:space="preserve">National Institute of Science and Technology of Tropical Diseases - </w:t>
      </w:r>
      <w:r w:rsidRPr="00863252">
        <w:rPr>
          <w:bCs/>
        </w:rPr>
        <w:t>National Council for Scientific Research and Development</w:t>
      </w:r>
      <w:r w:rsidRPr="00863252">
        <w:rPr>
          <w:rFonts w:eastAsia="Arial"/>
          <w:color w:val="000000"/>
        </w:rPr>
        <w:t xml:space="preserve"> </w:t>
      </w:r>
      <w:r w:rsidR="004C34BB" w:rsidRPr="004C34BB">
        <w:rPr>
          <w:rFonts w:eastAsia="Arial"/>
          <w:color w:val="000000"/>
        </w:rPr>
        <w:t>(</w:t>
      </w:r>
      <w:r w:rsidRPr="00863252">
        <w:rPr>
          <w:rFonts w:eastAsia="Arial"/>
          <w:color w:val="000000"/>
        </w:rPr>
        <w:t>CNPq</w:t>
      </w:r>
      <w:r w:rsidR="004C34BB" w:rsidRPr="004C34BB">
        <w:rPr>
          <w:rFonts w:eastAsia="Arial"/>
          <w:color w:val="000000"/>
        </w:rPr>
        <w:t>)</w:t>
      </w:r>
      <w:r w:rsidR="00863252" w:rsidRPr="00863252">
        <w:rPr>
          <w:rFonts w:eastAsia="Arial"/>
          <w:color w:val="000000"/>
        </w:rPr>
        <w:t>, Brazil</w:t>
      </w:r>
    </w:p>
    <w:p w14:paraId="26D90BDB" w14:textId="77777777" w:rsidR="00F935C7" w:rsidRPr="00863252" w:rsidRDefault="00F935C7" w:rsidP="004C34BB">
      <w:pPr>
        <w:contextualSpacing/>
        <w:rPr>
          <w:rFonts w:eastAsia="Arial"/>
          <w:color w:val="000000"/>
          <w:vertAlign w:val="superscript"/>
        </w:rPr>
      </w:pPr>
    </w:p>
    <w:p w14:paraId="6FA8A72C" w14:textId="56756C04" w:rsidR="00F935C7" w:rsidRPr="00863252" w:rsidRDefault="00F935C7" w:rsidP="004C34BB">
      <w:pPr>
        <w:contextualSpacing/>
        <w:rPr>
          <w:rFonts w:eastAsia="Arial"/>
          <w:color w:val="000000"/>
        </w:rPr>
      </w:pPr>
      <w:r w:rsidRPr="00863252">
        <w:rPr>
          <w:rFonts w:eastAsia="Arial"/>
          <w:color w:val="000000"/>
          <w:vertAlign w:val="superscript"/>
        </w:rPr>
        <w:t>†</w:t>
      </w:r>
      <w:r w:rsidRPr="00863252">
        <w:rPr>
          <w:rFonts w:eastAsia="Arial"/>
          <w:color w:val="000000"/>
        </w:rPr>
        <w:t>These authors have contributed equally to this work</w:t>
      </w:r>
      <w:r w:rsidR="00863252">
        <w:rPr>
          <w:rFonts w:eastAsia="Arial"/>
          <w:color w:val="000000"/>
        </w:rPr>
        <w:t>.</w:t>
      </w:r>
    </w:p>
    <w:p w14:paraId="3422424A" w14:textId="71EF17D3" w:rsidR="00F935C7" w:rsidRDefault="00F935C7" w:rsidP="004C34BB">
      <w:pPr>
        <w:contextualSpacing/>
        <w:rPr>
          <w:rFonts w:eastAsia="Arial"/>
          <w:color w:val="000000"/>
        </w:rPr>
      </w:pPr>
    </w:p>
    <w:p w14:paraId="7C71FA73" w14:textId="133DBB2B" w:rsidR="00863252" w:rsidRDefault="00863252" w:rsidP="004C34BB">
      <w:pPr>
        <w:contextualSpacing/>
        <w:rPr>
          <w:rFonts w:eastAsia="Arial"/>
          <w:color w:val="000000"/>
        </w:rPr>
      </w:pPr>
      <w:hyperlink r:id="rId8" w:history="1">
        <w:r w:rsidRPr="00FB5EA1">
          <w:rPr>
            <w:rStyle w:val="Hyperlink"/>
            <w:rFonts w:eastAsia="Arial"/>
          </w:rPr>
          <w:t>amandareboucas95@gmail.com</w:t>
        </w:r>
      </w:hyperlink>
    </w:p>
    <w:p w14:paraId="7B6E3B8C" w14:textId="479B5FA4" w:rsidR="00863252" w:rsidRDefault="00863252" w:rsidP="004C34BB">
      <w:pPr>
        <w:contextualSpacing/>
        <w:rPr>
          <w:rFonts w:eastAsia="Arial"/>
          <w:color w:val="000000"/>
        </w:rPr>
      </w:pPr>
      <w:hyperlink r:id="rId9" w:history="1">
        <w:r w:rsidRPr="00FB5EA1">
          <w:rPr>
            <w:rStyle w:val="Hyperlink"/>
            <w:rFonts w:eastAsia="Arial"/>
          </w:rPr>
          <w:t>beatrizrsdias@gmail.com</w:t>
        </w:r>
      </w:hyperlink>
    </w:p>
    <w:p w14:paraId="63A8048F" w14:textId="462996D1" w:rsidR="00863252" w:rsidRDefault="00863252" w:rsidP="004C34BB">
      <w:pPr>
        <w:contextualSpacing/>
        <w:rPr>
          <w:rFonts w:eastAsia="Arial"/>
          <w:color w:val="000000"/>
        </w:rPr>
      </w:pPr>
      <w:hyperlink r:id="rId10" w:history="1">
        <w:r w:rsidRPr="00FB5EA1">
          <w:rPr>
            <w:rStyle w:val="Hyperlink"/>
            <w:rFonts w:eastAsia="Arial"/>
          </w:rPr>
          <w:t>luanabio@hotmail.com</w:t>
        </w:r>
      </w:hyperlink>
    </w:p>
    <w:p w14:paraId="50FD22A4" w14:textId="49290BAF" w:rsidR="00863252" w:rsidRDefault="00863252" w:rsidP="004C34BB">
      <w:pPr>
        <w:contextualSpacing/>
        <w:rPr>
          <w:rFonts w:eastAsia="Arial"/>
          <w:color w:val="000000"/>
        </w:rPr>
      </w:pPr>
      <w:hyperlink r:id="rId11" w:history="1">
        <w:r w:rsidRPr="00FB5EA1">
          <w:rPr>
            <w:rStyle w:val="Hyperlink"/>
            <w:rFonts w:eastAsia="Arial"/>
          </w:rPr>
          <w:t>nmachado302@gmail.com</w:t>
        </w:r>
      </w:hyperlink>
    </w:p>
    <w:p w14:paraId="1A28B493" w14:textId="76294230" w:rsidR="00863252" w:rsidRDefault="00863252" w:rsidP="004C34BB">
      <w:pPr>
        <w:contextualSpacing/>
        <w:rPr>
          <w:rFonts w:eastAsia="Arial"/>
          <w:color w:val="000000"/>
        </w:rPr>
      </w:pPr>
      <w:hyperlink r:id="rId12" w:history="1">
        <w:r w:rsidRPr="00FB5EA1">
          <w:rPr>
            <w:rStyle w:val="Hyperlink"/>
            <w:rFonts w:eastAsia="Arial"/>
          </w:rPr>
          <w:t>cbrodskyn2009@gmail.com</w:t>
        </w:r>
      </w:hyperlink>
    </w:p>
    <w:p w14:paraId="5D436487" w14:textId="4BCBC70C" w:rsidR="00863252" w:rsidRDefault="00863252" w:rsidP="004C34BB">
      <w:pPr>
        <w:contextualSpacing/>
        <w:rPr>
          <w:rFonts w:eastAsia="Arial"/>
          <w:color w:val="000000"/>
        </w:rPr>
      </w:pPr>
      <w:hyperlink r:id="rId13" w:history="1">
        <w:r w:rsidRPr="00FB5EA1">
          <w:rPr>
            <w:rStyle w:val="Hyperlink"/>
            <w:rFonts w:eastAsia="Arial"/>
          </w:rPr>
          <w:t>julianaperrone@gmail.com</w:t>
        </w:r>
      </w:hyperlink>
    </w:p>
    <w:p w14:paraId="07346E82" w14:textId="77777777" w:rsidR="00863252" w:rsidRPr="00863252" w:rsidRDefault="00863252" w:rsidP="004C34BB">
      <w:pPr>
        <w:contextualSpacing/>
        <w:rPr>
          <w:rFonts w:eastAsia="Arial"/>
          <w:color w:val="000000"/>
        </w:rPr>
      </w:pPr>
    </w:p>
    <w:p w14:paraId="2155DBBD" w14:textId="276189D3" w:rsidR="00F935C7" w:rsidRPr="00863252" w:rsidRDefault="00F935C7" w:rsidP="004C34BB">
      <w:pPr>
        <w:contextualSpacing/>
      </w:pPr>
      <w:r w:rsidRPr="00863252">
        <w:rPr>
          <w:rFonts w:eastAsia="Arial"/>
          <w:color w:val="000000"/>
        </w:rPr>
        <w:t>*</w:t>
      </w:r>
      <w:r w:rsidRPr="00863252">
        <w:rPr>
          <w:b/>
        </w:rPr>
        <w:t xml:space="preserve">Correspondence: </w:t>
      </w:r>
      <w:r w:rsidRPr="00863252">
        <w:rPr>
          <w:b/>
        </w:rPr>
        <w:br/>
      </w:r>
      <w:r w:rsidRPr="00863252">
        <w:t>Corresponding Author:</w:t>
      </w:r>
      <w:r w:rsidR="00863252">
        <w:t xml:space="preserve"> </w:t>
      </w:r>
    </w:p>
    <w:p w14:paraId="75DBA6BE" w14:textId="77777777" w:rsidR="00F935C7" w:rsidRPr="00863252" w:rsidRDefault="00875DBC" w:rsidP="004C34BB">
      <w:pPr>
        <w:contextualSpacing/>
        <w:rPr>
          <w:rStyle w:val="Hyperlink"/>
          <w:rFonts w:eastAsia="Arial"/>
        </w:rPr>
      </w:pPr>
      <w:hyperlink r:id="rId14" w:history="1">
        <w:r w:rsidR="00F935C7" w:rsidRPr="00863252">
          <w:rPr>
            <w:rStyle w:val="Hyperlink"/>
          </w:rPr>
          <w:t>patricia.veras@fiocruz.br</w:t>
        </w:r>
      </w:hyperlink>
      <w:r w:rsidR="00F935C7" w:rsidRPr="00863252">
        <w:t xml:space="preserve">; </w:t>
      </w:r>
      <w:hyperlink r:id="rId15" w:history="1">
        <w:r w:rsidR="00F935C7" w:rsidRPr="00863252">
          <w:rPr>
            <w:rStyle w:val="Hyperlink"/>
            <w:rFonts w:eastAsia="Arial"/>
          </w:rPr>
          <w:t>pstveras@gmail.com</w:t>
        </w:r>
      </w:hyperlink>
    </w:p>
    <w:p w14:paraId="2B17B0BD" w14:textId="77777777" w:rsidR="00F935C7" w:rsidRPr="00863252" w:rsidRDefault="00F935C7" w:rsidP="004C34BB">
      <w:pPr>
        <w:pBdr>
          <w:top w:val="nil"/>
          <w:left w:val="nil"/>
          <w:bottom w:val="nil"/>
          <w:right w:val="nil"/>
          <w:between w:val="nil"/>
        </w:pBdr>
        <w:contextualSpacing/>
        <w:rPr>
          <w:color w:val="000000"/>
        </w:rPr>
      </w:pPr>
    </w:p>
    <w:p w14:paraId="46E3FCCE" w14:textId="77777777" w:rsidR="00F935C7" w:rsidRPr="00863252" w:rsidRDefault="00F935C7" w:rsidP="004C34BB">
      <w:pPr>
        <w:contextualSpacing/>
      </w:pPr>
      <w:r w:rsidRPr="00863252">
        <w:rPr>
          <w:b/>
        </w:rPr>
        <w:t>SUMMARY</w:t>
      </w:r>
    </w:p>
    <w:p w14:paraId="336642E1" w14:textId="1F7115F4" w:rsidR="00F935C7" w:rsidRPr="00863252" w:rsidRDefault="00F935C7" w:rsidP="004C34BB">
      <w:pPr>
        <w:contextualSpacing/>
      </w:pPr>
      <w:r w:rsidRPr="00863252">
        <w:t xml:space="preserve">The mechanism associated with phagocytosis in </w:t>
      </w:r>
      <w:r w:rsidRPr="00863252">
        <w:rPr>
          <w:i/>
          <w:iCs/>
        </w:rPr>
        <w:t>Leishmania</w:t>
      </w:r>
      <w:r w:rsidRPr="00863252">
        <w:t xml:space="preserve"> infection remain</w:t>
      </w:r>
      <w:r w:rsidR="00863252">
        <w:t>s</w:t>
      </w:r>
      <w:r w:rsidRPr="00863252">
        <w:t xml:space="preserve"> poorly understood. Here</w:t>
      </w:r>
      <w:r w:rsidR="00863252">
        <w:t>,</w:t>
      </w:r>
      <w:r w:rsidRPr="00863252">
        <w:t xml:space="preserve"> we describe methods to evaluate the early events occurring during </w:t>
      </w:r>
      <w:r w:rsidRPr="00863252">
        <w:rPr>
          <w:i/>
          <w:iCs/>
        </w:rPr>
        <w:t>Leishmania</w:t>
      </w:r>
      <w:r w:rsidRPr="00863252">
        <w:t xml:space="preserve"> interaction </w:t>
      </w:r>
      <w:r w:rsidR="00863252">
        <w:t>with</w:t>
      </w:r>
      <w:r w:rsidRPr="00863252">
        <w:t xml:space="preserve"> the host cells.</w:t>
      </w:r>
    </w:p>
    <w:p w14:paraId="7520759F" w14:textId="77777777" w:rsidR="00F935C7" w:rsidRPr="00863252" w:rsidRDefault="00F935C7" w:rsidP="004C34BB">
      <w:pPr>
        <w:contextualSpacing/>
      </w:pPr>
    </w:p>
    <w:p w14:paraId="794D4454" w14:textId="77777777" w:rsidR="00F935C7" w:rsidRPr="00863252" w:rsidRDefault="00F935C7" w:rsidP="004C34BB">
      <w:pPr>
        <w:contextualSpacing/>
        <w:rPr>
          <w:color w:val="808080"/>
        </w:rPr>
      </w:pPr>
      <w:r w:rsidRPr="00863252">
        <w:rPr>
          <w:b/>
        </w:rPr>
        <w:t>ABSTRACT</w:t>
      </w:r>
    </w:p>
    <w:p w14:paraId="3F0C1EEE" w14:textId="70FE651B" w:rsidR="00863252" w:rsidRDefault="00F935C7" w:rsidP="004C34BB">
      <w:pPr>
        <w:autoSpaceDE w:val="0"/>
        <w:autoSpaceDN w:val="0"/>
        <w:adjustRightInd w:val="0"/>
        <w:contextualSpacing/>
      </w:pPr>
      <w:r w:rsidRPr="00863252">
        <w:t xml:space="preserve">Phagocytosis is an orchestrated process that involves distinct steps: recognition, binding, and internalization. Professional phagocytes take up </w:t>
      </w:r>
      <w:r w:rsidRPr="00863252">
        <w:rPr>
          <w:i/>
          <w:iCs/>
        </w:rPr>
        <w:t>Leishmania</w:t>
      </w:r>
      <w:r w:rsidRPr="00863252">
        <w:t xml:space="preserve"> parasites by phagocytosis, consisting of recognizing ligands on parasite surfaces by multiple host cell receptors. Binding of </w:t>
      </w:r>
      <w:r w:rsidRPr="00863252">
        <w:rPr>
          <w:i/>
          <w:iCs/>
        </w:rPr>
        <w:t>Leishmania</w:t>
      </w:r>
      <w:r w:rsidRPr="00863252">
        <w:t xml:space="preserve"> to macrophage membranes occurs through complement receptor type 1 </w:t>
      </w:r>
      <w:r w:rsidR="004C34BB" w:rsidRPr="004C34BB">
        <w:t>(</w:t>
      </w:r>
      <w:r w:rsidRPr="00863252">
        <w:t>CR1</w:t>
      </w:r>
      <w:r w:rsidR="004C34BB" w:rsidRPr="004C34BB">
        <w:t>)</w:t>
      </w:r>
      <w:r w:rsidRPr="00863252">
        <w:t xml:space="preserve"> and complement receptor type 3 </w:t>
      </w:r>
      <w:r w:rsidR="004C34BB" w:rsidRPr="004C34BB">
        <w:t>(</w:t>
      </w:r>
      <w:r w:rsidRPr="00863252">
        <w:t>CR3</w:t>
      </w:r>
      <w:r w:rsidR="004C34BB" w:rsidRPr="004C34BB">
        <w:t>)</w:t>
      </w:r>
      <w:r w:rsidRPr="00863252">
        <w:t xml:space="preserve"> receptors and Pattern Recognition Receptors. Lipophosphoglycan </w:t>
      </w:r>
      <w:r w:rsidR="004C34BB" w:rsidRPr="004C34BB">
        <w:t>(</w:t>
      </w:r>
      <w:r w:rsidRPr="00863252">
        <w:t>LPG</w:t>
      </w:r>
      <w:r w:rsidR="004C34BB" w:rsidRPr="004C34BB">
        <w:t>)</w:t>
      </w:r>
      <w:r w:rsidRPr="00863252">
        <w:t xml:space="preserve"> and 63 </w:t>
      </w:r>
      <w:r w:rsidR="00863252">
        <w:t>k</w:t>
      </w:r>
      <w:r w:rsidRPr="00863252">
        <w:t xml:space="preserve">Da glycoprotein </w:t>
      </w:r>
      <w:r w:rsidR="004C34BB" w:rsidRPr="004C34BB">
        <w:t>(</w:t>
      </w:r>
      <w:r w:rsidRPr="00863252">
        <w:t>gp63</w:t>
      </w:r>
      <w:r w:rsidR="004C34BB" w:rsidRPr="004C34BB">
        <w:t>)</w:t>
      </w:r>
      <w:r w:rsidRPr="00863252">
        <w:t xml:space="preserve"> are the main ligands involved in macrophage-</w:t>
      </w:r>
      <w:r w:rsidRPr="00863252">
        <w:rPr>
          <w:i/>
          <w:iCs/>
        </w:rPr>
        <w:t>Leishmania</w:t>
      </w:r>
      <w:r w:rsidRPr="00863252">
        <w:t xml:space="preserve"> interactions. Following the initial recognition of parasite ligands by host cell receptors, parasites become internalized, survive, and multiply within parasitophorous vacuoles. The maturation process of </w:t>
      </w:r>
      <w:r w:rsidRPr="00863252">
        <w:rPr>
          <w:i/>
          <w:iCs/>
        </w:rPr>
        <w:t>Leishmania</w:t>
      </w:r>
      <w:r w:rsidRPr="00863252">
        <w:t>-induced vacuoles involves the acquisition of molecules from intracellular vesicles, including monomeric G protein Rab 5 and Rab 7,</w:t>
      </w:r>
      <w:r w:rsidR="00863252">
        <w:t xml:space="preserve"> </w:t>
      </w:r>
      <w:r w:rsidRPr="00863252">
        <w:t xml:space="preserve">lysosomal associated membrane protein 1 </w:t>
      </w:r>
      <w:r w:rsidR="004C34BB" w:rsidRPr="004C34BB">
        <w:t>(</w:t>
      </w:r>
      <w:r w:rsidRPr="00863252">
        <w:t>LAMP-1</w:t>
      </w:r>
      <w:r w:rsidR="004C34BB" w:rsidRPr="004C34BB">
        <w:t>)</w:t>
      </w:r>
      <w:r w:rsidRPr="00863252">
        <w:t xml:space="preserve">, lysosomal associated membrane protein 2 </w:t>
      </w:r>
      <w:r w:rsidR="004C34BB" w:rsidRPr="004C34BB">
        <w:t>(</w:t>
      </w:r>
      <w:r w:rsidRPr="00863252">
        <w:t>LAMP-2</w:t>
      </w:r>
      <w:r w:rsidR="004C34BB" w:rsidRPr="004C34BB">
        <w:t>)</w:t>
      </w:r>
      <w:r w:rsidRPr="00863252">
        <w:t>, and</w:t>
      </w:r>
      <w:r w:rsidR="00863252">
        <w:t xml:space="preserve"> </w:t>
      </w:r>
      <w:r w:rsidRPr="00863252">
        <w:t xml:space="preserve">microtubule-associated protein 1A/1B-light chain 3 </w:t>
      </w:r>
      <w:r w:rsidR="004C34BB" w:rsidRPr="004C34BB">
        <w:t>(</w:t>
      </w:r>
      <w:r w:rsidRPr="00863252">
        <w:t>LC3</w:t>
      </w:r>
      <w:r w:rsidR="004C34BB" w:rsidRPr="004C34BB">
        <w:t>)</w:t>
      </w:r>
      <w:r w:rsidRPr="00863252">
        <w:t xml:space="preserve">. </w:t>
      </w:r>
    </w:p>
    <w:p w14:paraId="63325284" w14:textId="77777777" w:rsidR="00863252" w:rsidRDefault="00863252" w:rsidP="004C34BB">
      <w:pPr>
        <w:autoSpaceDE w:val="0"/>
        <w:autoSpaceDN w:val="0"/>
        <w:adjustRightInd w:val="0"/>
        <w:contextualSpacing/>
      </w:pPr>
    </w:p>
    <w:p w14:paraId="4182AA07" w14:textId="1022DA69" w:rsidR="00F935C7" w:rsidRPr="00863252" w:rsidRDefault="00F935C7" w:rsidP="004C34BB">
      <w:pPr>
        <w:autoSpaceDE w:val="0"/>
        <w:autoSpaceDN w:val="0"/>
        <w:adjustRightInd w:val="0"/>
        <w:contextualSpacing/>
      </w:pPr>
      <w:r w:rsidRPr="00863252">
        <w:lastRenderedPageBreak/>
        <w:t>Here</w:t>
      </w:r>
      <w:r w:rsidR="00863252">
        <w:t>,</w:t>
      </w:r>
      <w:r w:rsidRPr="00863252">
        <w:t xml:space="preserve"> we describe methods to evaluate the early events occurring during </w:t>
      </w:r>
      <w:r w:rsidRPr="00863252">
        <w:rPr>
          <w:i/>
          <w:iCs/>
        </w:rPr>
        <w:t>Leishmania</w:t>
      </w:r>
      <w:r w:rsidRPr="00863252">
        <w:t xml:space="preserve"> interaction with the host cells using confocal microscopy, including </w:t>
      </w:r>
      <w:r w:rsidR="004C34BB" w:rsidRPr="004C34BB">
        <w:t>(</w:t>
      </w:r>
      <w:r w:rsidRPr="00863252">
        <w:t>i</w:t>
      </w:r>
      <w:r w:rsidR="004C34BB" w:rsidRPr="004C34BB">
        <w:t>)</w:t>
      </w:r>
      <w:r w:rsidRPr="00863252">
        <w:t xml:space="preserve"> binding</w:t>
      </w:r>
      <w:r w:rsidR="004C34BB">
        <w:t xml:space="preserve"> (</w:t>
      </w:r>
      <w:r w:rsidRPr="00863252">
        <w:t>ii</w:t>
      </w:r>
      <w:r w:rsidR="004C34BB" w:rsidRPr="004C34BB">
        <w:t>)</w:t>
      </w:r>
      <w:r w:rsidRPr="00863252">
        <w:t xml:space="preserve"> internalization, and </w:t>
      </w:r>
      <w:r w:rsidR="004C34BB" w:rsidRPr="004C34BB">
        <w:t>(</w:t>
      </w:r>
      <w:r w:rsidRPr="00863252">
        <w:t>iii</w:t>
      </w:r>
      <w:r w:rsidR="004C34BB" w:rsidRPr="004C34BB">
        <w:t>)</w:t>
      </w:r>
      <w:r w:rsidRPr="00863252">
        <w:t xml:space="preserve"> phagosome maturation. By adding to the body of knowledge surrounding these determinants of infection outcome, we hope to improve </w:t>
      </w:r>
      <w:r w:rsidR="00863252">
        <w:t>the</w:t>
      </w:r>
      <w:r w:rsidRPr="00863252">
        <w:t xml:space="preserve"> understanding of the pathogenesis of </w:t>
      </w:r>
      <w:r w:rsidRPr="00863252">
        <w:rPr>
          <w:i/>
          <w:iCs/>
        </w:rPr>
        <w:t>Leishmania</w:t>
      </w:r>
      <w:r w:rsidRPr="00863252">
        <w:t xml:space="preserve"> infection and support the eventual search for novel chemotherapeutic targets.</w:t>
      </w:r>
    </w:p>
    <w:p w14:paraId="3A1E0387" w14:textId="77777777" w:rsidR="00F935C7" w:rsidRPr="00863252" w:rsidRDefault="00F935C7" w:rsidP="004C34BB">
      <w:pPr>
        <w:contextualSpacing/>
      </w:pPr>
    </w:p>
    <w:p w14:paraId="2C7A2404" w14:textId="77777777" w:rsidR="00F935C7" w:rsidRPr="00863252" w:rsidRDefault="00F935C7" w:rsidP="004C34BB">
      <w:pPr>
        <w:contextualSpacing/>
        <w:rPr>
          <w:b/>
        </w:rPr>
      </w:pPr>
      <w:r w:rsidRPr="00863252">
        <w:rPr>
          <w:b/>
        </w:rPr>
        <w:t>INTRODUCTION</w:t>
      </w:r>
    </w:p>
    <w:p w14:paraId="60E36CCC" w14:textId="6DEF1F7E" w:rsidR="00F935C7" w:rsidRPr="00863252" w:rsidRDefault="00F935C7" w:rsidP="004C34BB">
      <w:pPr>
        <w:contextualSpacing/>
        <w:rPr>
          <w:color w:val="808080"/>
        </w:rPr>
      </w:pPr>
      <w:r w:rsidRPr="00863252">
        <w:t xml:space="preserve">Leishmaniasis is a neglected tropical disease caused by protozoan parasites of the genus </w:t>
      </w:r>
      <w:r w:rsidRPr="00863252">
        <w:rPr>
          <w:i/>
          <w:iCs/>
        </w:rPr>
        <w:t>Leishmania</w:t>
      </w:r>
      <w:r w:rsidRPr="00863252">
        <w:t>, resulting in a broad spectrum of clinical manifestations in the vertebrate host, including cutaneous leishmaniasis, mucocutaneous leishmaniasis and visceral leishmaniasis</w:t>
      </w:r>
      <w:r w:rsidRPr="00863252">
        <w:rPr>
          <w:noProof/>
          <w:vertAlign w:val="superscript"/>
        </w:rPr>
        <w:t>1</w:t>
      </w:r>
      <w:r w:rsidRPr="00863252">
        <w:t>.</w:t>
      </w:r>
      <w:r w:rsidRPr="00863252">
        <w:rPr>
          <w:vertAlign w:val="superscript"/>
        </w:rPr>
        <w:t xml:space="preserve"> </w:t>
      </w:r>
      <w:r w:rsidRPr="00863252">
        <w:t xml:space="preserve">The World Health Organization </w:t>
      </w:r>
      <w:r w:rsidR="004C34BB" w:rsidRPr="004C34BB">
        <w:t>(</w:t>
      </w:r>
      <w:r w:rsidRPr="00863252">
        <w:t>WHO</w:t>
      </w:r>
      <w:r w:rsidR="004C34BB" w:rsidRPr="004C34BB">
        <w:t>)</w:t>
      </w:r>
      <w:r w:rsidRPr="00863252">
        <w:t xml:space="preserve"> estimates that over one billion people are at risk, with more than one million new cases reported per year</w:t>
      </w:r>
      <w:r w:rsidRPr="00863252">
        <w:rPr>
          <w:noProof/>
          <w:vertAlign w:val="superscript"/>
        </w:rPr>
        <w:t>2</w:t>
      </w:r>
      <w:r w:rsidRPr="00863252">
        <w:t xml:space="preserve">. </w:t>
      </w:r>
    </w:p>
    <w:p w14:paraId="11EED2A1" w14:textId="77777777" w:rsidR="00863252" w:rsidRDefault="00863252" w:rsidP="004C34BB">
      <w:pPr>
        <w:contextualSpacing/>
        <w:rPr>
          <w:i/>
          <w:iCs/>
        </w:rPr>
      </w:pPr>
    </w:p>
    <w:p w14:paraId="0FD1C1BA" w14:textId="4CE5121A" w:rsidR="00F935C7" w:rsidRPr="00863252" w:rsidRDefault="00F935C7" w:rsidP="004C34BB">
      <w:pPr>
        <w:contextualSpacing/>
      </w:pPr>
      <w:r w:rsidRPr="00863252">
        <w:rPr>
          <w:i/>
          <w:iCs/>
        </w:rPr>
        <w:t>Leishmania</w:t>
      </w:r>
      <w:r w:rsidRPr="00863252">
        <w:t xml:space="preserve"> spp. are obligate intracellular protozoans that survive inside host cells, including monocytes, macrophages and dendritic cells</w:t>
      </w:r>
      <w:r w:rsidRPr="00863252">
        <w:rPr>
          <w:noProof/>
          <w:vertAlign w:val="superscript"/>
        </w:rPr>
        <w:t>3</w:t>
      </w:r>
      <w:r w:rsidRPr="00863252">
        <w:t xml:space="preserve">. </w:t>
      </w:r>
      <w:r w:rsidRPr="00863252">
        <w:rPr>
          <w:i/>
          <w:iCs/>
        </w:rPr>
        <w:t>Leishmania</w:t>
      </w:r>
      <w:r w:rsidRPr="00863252">
        <w:t>-macrophage interaction is a complex process that involves multiple host cell receptors and parasite ligands either through direct interaction or by opsonization involving complement receptors</w:t>
      </w:r>
      <w:r w:rsidRPr="00863252">
        <w:rPr>
          <w:noProof/>
          <w:vertAlign w:val="superscript"/>
        </w:rPr>
        <w:t>4,5</w:t>
      </w:r>
      <w:r w:rsidRPr="00863252">
        <w:t>. Classical surface receptors, such as CR1, CR3, mannose-fucose, fibronectin, toll-like and scavenger receptors, mediate parasite attachment to macrophages</w:t>
      </w:r>
      <w:r w:rsidRPr="00863252">
        <w:rPr>
          <w:noProof/>
          <w:vertAlign w:val="superscript"/>
        </w:rPr>
        <w:t>6-8</w:t>
      </w:r>
      <w:r w:rsidRPr="00863252">
        <w:t>. These receptors recognize molecules on the surface of</w:t>
      </w:r>
      <w:r w:rsidRPr="00863252">
        <w:rPr>
          <w:i/>
          <w:iCs/>
        </w:rPr>
        <w:t xml:space="preserve"> Leishmania</w:t>
      </w:r>
      <w:r w:rsidRPr="00863252">
        <w:t xml:space="preserve">, including the 63 kDa glycoprotein </w:t>
      </w:r>
      <w:r w:rsidR="004C34BB" w:rsidRPr="004C34BB">
        <w:t>(</w:t>
      </w:r>
      <w:r w:rsidRPr="00863252">
        <w:t>gp63</w:t>
      </w:r>
      <w:r w:rsidR="004C34BB" w:rsidRPr="004C34BB">
        <w:t>)</w:t>
      </w:r>
      <w:r w:rsidRPr="00863252">
        <w:t xml:space="preserve"> and glycolipid</w:t>
      </w:r>
      <w:r w:rsidRPr="00863252" w:rsidDel="00D555DF">
        <w:t xml:space="preserve"> </w:t>
      </w:r>
      <w:r w:rsidRPr="00863252">
        <w:t xml:space="preserve">lipophosphoglycan </w:t>
      </w:r>
      <w:r w:rsidR="004C34BB" w:rsidRPr="004C34BB">
        <w:t>(</w:t>
      </w:r>
      <w:r w:rsidRPr="00863252">
        <w:t>LPG</w:t>
      </w:r>
      <w:r w:rsidR="004C34BB" w:rsidRPr="004C34BB">
        <w:t>)</w:t>
      </w:r>
      <w:r w:rsidRPr="00863252">
        <w:rPr>
          <w:noProof/>
          <w:vertAlign w:val="superscript"/>
        </w:rPr>
        <w:t>9</w:t>
      </w:r>
      <w:r w:rsidRPr="00863252">
        <w:t>. These are the most abundant molecules on the surface of promastigotes and play an essential role in the subversion of host immune response, favoring the establishment of parasite infection in mammalian cells</w:t>
      </w:r>
      <w:r w:rsidRPr="00863252">
        <w:rPr>
          <w:noProof/>
          <w:vertAlign w:val="superscript"/>
        </w:rPr>
        <w:t>10</w:t>
      </w:r>
      <w:r w:rsidRPr="00863252">
        <w:t xml:space="preserve">. After parasite surface ligands bind to macrophage receptors, F-actin accumulates on mammalian cell surfaces, surrounding parasites as they are phagocytosed. Subsequently, this leads to the formation of a parasite-induced compartment termed a parasitophorous vacuole </w:t>
      </w:r>
      <w:r w:rsidR="004C34BB" w:rsidRPr="004C34BB">
        <w:t>(</w:t>
      </w:r>
      <w:r w:rsidRPr="00863252">
        <w:t>PV</w:t>
      </w:r>
      <w:r w:rsidR="004C34BB" w:rsidRPr="004C34BB">
        <w:t>)</w:t>
      </w:r>
      <w:r w:rsidRPr="00863252">
        <w:t>, which presents phagolysosomal features</w:t>
      </w:r>
      <w:r w:rsidRPr="00863252">
        <w:rPr>
          <w:noProof/>
          <w:vertAlign w:val="superscript"/>
        </w:rPr>
        <w:t>11</w:t>
      </w:r>
      <w:r w:rsidRPr="00863252">
        <w:t>. Once inside these phagolysosomes, parasites undergo several alterations essential to survival and multiplication</w:t>
      </w:r>
      <w:r w:rsidRPr="00863252">
        <w:rPr>
          <w:noProof/>
          <w:vertAlign w:val="superscript"/>
        </w:rPr>
        <w:t>3</w:t>
      </w:r>
      <w:r w:rsidRPr="00863252">
        <w:t xml:space="preserve">. </w:t>
      </w:r>
    </w:p>
    <w:p w14:paraId="2AEC73DE" w14:textId="77777777" w:rsidR="00863252" w:rsidRDefault="00863252" w:rsidP="004C34BB">
      <w:pPr>
        <w:contextualSpacing/>
      </w:pPr>
    </w:p>
    <w:p w14:paraId="7D01BA75" w14:textId="13805EA8" w:rsidR="00F935C7" w:rsidRPr="00863252" w:rsidRDefault="00F935C7" w:rsidP="004C34BB">
      <w:pPr>
        <w:contextualSpacing/>
      </w:pPr>
      <w:r w:rsidRPr="00863252">
        <w:t>The biogenesis of PVs is a highly regulated membrane trafficking process critical to the intracellular survival of this pathogen</w:t>
      </w:r>
      <w:r w:rsidRPr="00863252">
        <w:rPr>
          <w:noProof/>
          <w:vertAlign w:val="superscript"/>
        </w:rPr>
        <w:t>12</w:t>
      </w:r>
      <w:r w:rsidRPr="00863252">
        <w:t xml:space="preserve">. The formation of this compartment results from sequential fusion events between phagosomes and compartments of the host endocytic pathway. Classical cell biology studies have revealed that the maturation of PVs involves the acquisition of monomeric G protein Rab 5 and Rab 7 proteins, which are mainly associated with early and late endosome maturation, respectively </w:t>
      </w:r>
      <w:r w:rsidRPr="00863252">
        <w:rPr>
          <w:noProof/>
          <w:vertAlign w:val="superscript"/>
        </w:rPr>
        <w:t>13</w:t>
      </w:r>
      <w:r w:rsidRPr="00863252">
        <w:t xml:space="preserve">. In addition, these compartments acquire lysosome-associated membrane proteins 1 and 2 </w:t>
      </w:r>
      <w:r w:rsidR="004C34BB" w:rsidRPr="004C34BB">
        <w:t>(</w:t>
      </w:r>
      <w:r w:rsidRPr="00863252">
        <w:t>LAMP 1, LAMP 2</w:t>
      </w:r>
      <w:r w:rsidR="004C34BB" w:rsidRPr="004C34BB">
        <w:t>)</w:t>
      </w:r>
      <w:r w:rsidRPr="00863252">
        <w:t xml:space="preserve">, the principal protein constituents of the lysosomal membrane and microtubule-associated protein 1A/1B-light chain 3 </w:t>
      </w:r>
      <w:r w:rsidR="004C34BB" w:rsidRPr="004C34BB">
        <w:t>(</w:t>
      </w:r>
      <w:r w:rsidRPr="00863252">
        <w:t>LC3</w:t>
      </w:r>
      <w:r w:rsidR="004C34BB" w:rsidRPr="004C34BB">
        <w:t>)</w:t>
      </w:r>
      <w:r w:rsidRPr="00863252">
        <w:t>, an autophagosome marker</w:t>
      </w:r>
      <w:r w:rsidRPr="00863252">
        <w:rPr>
          <w:noProof/>
          <w:vertAlign w:val="superscript"/>
        </w:rPr>
        <w:t>14</w:t>
      </w:r>
      <w:r w:rsidRPr="00863252">
        <w:t>. Despite apparent similarities, the kinetics of PV formation</w:t>
      </w:r>
      <w:r w:rsidRPr="00863252">
        <w:rPr>
          <w:noProof/>
          <w:vertAlign w:val="superscript"/>
        </w:rPr>
        <w:t>15,16</w:t>
      </w:r>
      <w:r w:rsidRPr="00863252">
        <w:t xml:space="preserve"> and the morphology of these compartments vary depending on </w:t>
      </w:r>
      <w:r w:rsidRPr="00863252">
        <w:rPr>
          <w:i/>
          <w:iCs/>
        </w:rPr>
        <w:t xml:space="preserve">Leishmania </w:t>
      </w:r>
      <w:r w:rsidRPr="00863252">
        <w:t xml:space="preserve">species. For example, infection caused by </w:t>
      </w:r>
      <w:r w:rsidRPr="00863252">
        <w:rPr>
          <w:i/>
          <w:iCs/>
        </w:rPr>
        <w:t xml:space="preserve">L. mexicana </w:t>
      </w:r>
      <w:r w:rsidRPr="00863252">
        <w:t xml:space="preserve">or </w:t>
      </w:r>
      <w:r w:rsidRPr="00863252">
        <w:rPr>
          <w:i/>
          <w:iCs/>
        </w:rPr>
        <w:t xml:space="preserve">L. amazonensis </w:t>
      </w:r>
      <w:r w:rsidRPr="00863252">
        <w:t>induces the formation of large compartments containing a great number of parasites</w:t>
      </w:r>
      <w:r w:rsidRPr="00863252">
        <w:rPr>
          <w:noProof/>
          <w:vertAlign w:val="superscript"/>
        </w:rPr>
        <w:t>17</w:t>
      </w:r>
      <w:r w:rsidRPr="00863252">
        <w:t xml:space="preserve">. By contrast, other species, such as </w:t>
      </w:r>
      <w:r w:rsidRPr="00863252">
        <w:rPr>
          <w:i/>
          <w:iCs/>
        </w:rPr>
        <w:t>L. braziliensis</w:t>
      </w:r>
      <w:r w:rsidRPr="00863252">
        <w:t xml:space="preserve"> and </w:t>
      </w:r>
      <w:r w:rsidRPr="00863252">
        <w:rPr>
          <w:i/>
          <w:iCs/>
        </w:rPr>
        <w:t>L. infantum,</w:t>
      </w:r>
      <w:r w:rsidRPr="00863252">
        <w:t xml:space="preserve"> form smaller vacuoles that normally contain only one or two parasites in each vacuole</w:t>
      </w:r>
      <w:r w:rsidRPr="00863252">
        <w:rPr>
          <w:noProof/>
          <w:vertAlign w:val="superscript"/>
        </w:rPr>
        <w:t>18</w:t>
      </w:r>
      <w:r w:rsidRPr="00863252">
        <w:t>.</w:t>
      </w:r>
    </w:p>
    <w:p w14:paraId="27E85CDF" w14:textId="77777777" w:rsidR="00863252" w:rsidRDefault="00863252" w:rsidP="004C34BB">
      <w:pPr>
        <w:contextualSpacing/>
      </w:pPr>
    </w:p>
    <w:p w14:paraId="465B1C0E" w14:textId="4F638E9D" w:rsidR="00F935C7" w:rsidRPr="00863252" w:rsidRDefault="00F935C7" w:rsidP="004C34BB">
      <w:pPr>
        <w:contextualSpacing/>
      </w:pPr>
      <w:r w:rsidRPr="00863252">
        <w:t>Despite this knowledge surrounding host cell-</w:t>
      </w:r>
      <w:r w:rsidRPr="00863252">
        <w:rPr>
          <w:i/>
          <w:iCs/>
        </w:rPr>
        <w:t>Leishmania</w:t>
      </w:r>
      <w:r w:rsidRPr="00863252">
        <w:t xml:space="preserve"> interaction, the initial events triggered </w:t>
      </w:r>
      <w:r w:rsidRPr="00863252">
        <w:lastRenderedPageBreak/>
        <w:t>by contact between host receptors and parasite ligands have not been fully elucidated. These events are known to be determinants of the outcome of parasite infection and are dependent on parasite species, the type of host cell receptors recruited to recognize parasites and the activation of macrophage signaling pathways</w:t>
      </w:r>
      <w:r w:rsidRPr="00863252">
        <w:rPr>
          <w:noProof/>
          <w:vertAlign w:val="superscript"/>
        </w:rPr>
        <w:t>19,20</w:t>
      </w:r>
      <w:r w:rsidRPr="00863252">
        <w:t xml:space="preserve">. Therefore, it is essential to identify the molecules involved in the biogenesis of </w:t>
      </w:r>
      <w:r w:rsidRPr="00863252">
        <w:rPr>
          <w:i/>
          <w:iCs/>
        </w:rPr>
        <w:t>Leishmania</w:t>
      </w:r>
      <w:r w:rsidRPr="00863252">
        <w:t>-induced PVs and determine the role</w:t>
      </w:r>
      <w:r w:rsidR="004C34BB" w:rsidRPr="004C34BB">
        <w:t>(</w:t>
      </w:r>
      <w:r w:rsidRPr="00863252">
        <w:t>s</w:t>
      </w:r>
      <w:r w:rsidR="004C34BB" w:rsidRPr="004C34BB">
        <w:t>)</w:t>
      </w:r>
      <w:r w:rsidRPr="00863252">
        <w:t xml:space="preserve"> played by these molecules in infection establishment and outcome. Here</w:t>
      </w:r>
      <w:r w:rsidR="00957B11">
        <w:t>,</w:t>
      </w:r>
      <w:r w:rsidRPr="00863252">
        <w:t xml:space="preserve"> we describe a method of monitoring early events occurring during the phagocytosis of</w:t>
      </w:r>
      <w:r w:rsidRPr="00863252">
        <w:rPr>
          <w:i/>
          <w:iCs/>
        </w:rPr>
        <w:t xml:space="preserve"> Leishmania</w:t>
      </w:r>
      <w:r w:rsidRPr="00863252">
        <w:t xml:space="preserve">, including binding, internalization, phagosome formation and maturation. </w:t>
      </w:r>
      <w:r w:rsidR="00957B11">
        <w:t>T</w:t>
      </w:r>
      <w:r w:rsidRPr="00863252">
        <w:t xml:space="preserve">his work </w:t>
      </w:r>
      <w:r w:rsidR="00957B11">
        <w:t>could</w:t>
      </w:r>
      <w:r w:rsidRPr="00863252">
        <w:t xml:space="preserve"> aid in clarifying the participation of PLC, Akt, Rab5, Rab7 and LC3 in the formation of PVs induced by different </w:t>
      </w:r>
      <w:r w:rsidRPr="00863252">
        <w:rPr>
          <w:i/>
          <w:iCs/>
        </w:rPr>
        <w:t>Leishmania</w:t>
      </w:r>
      <w:r w:rsidRPr="00863252">
        <w:t xml:space="preserve"> species. Importantly, this protocol can be used to investigate the participation of other proteins involved in PV maturation. Future studies will expand the knowledge surrounding mechanisms involved in </w:t>
      </w:r>
      <w:r w:rsidRPr="00863252">
        <w:rPr>
          <w:i/>
          <w:iCs/>
        </w:rPr>
        <w:t>Leishmania</w:t>
      </w:r>
      <w:r w:rsidRPr="00863252">
        <w:t>-host cell interaction and contribute to the design of novel chemotherapeutic strategies.</w:t>
      </w:r>
    </w:p>
    <w:p w14:paraId="3050212D" w14:textId="77777777" w:rsidR="00F935C7" w:rsidRPr="00863252" w:rsidRDefault="00F935C7" w:rsidP="004C34BB">
      <w:pPr>
        <w:contextualSpacing/>
        <w:rPr>
          <w:b/>
        </w:rPr>
      </w:pPr>
    </w:p>
    <w:p w14:paraId="0D1577E5" w14:textId="2D47585B" w:rsidR="00F935C7" w:rsidRDefault="00F935C7" w:rsidP="004C34BB">
      <w:pPr>
        <w:contextualSpacing/>
        <w:rPr>
          <w:b/>
        </w:rPr>
      </w:pPr>
      <w:r w:rsidRPr="00863252">
        <w:rPr>
          <w:b/>
        </w:rPr>
        <w:t>PROTOCOL</w:t>
      </w:r>
    </w:p>
    <w:p w14:paraId="25155C2C" w14:textId="77777777" w:rsidR="00957B11" w:rsidRPr="00863252" w:rsidRDefault="00957B11" w:rsidP="004C34BB">
      <w:pPr>
        <w:contextualSpacing/>
        <w:rPr>
          <w:b/>
        </w:rPr>
      </w:pPr>
    </w:p>
    <w:p w14:paraId="0BA536AE" w14:textId="2366AF67" w:rsidR="00F935C7" w:rsidRDefault="00957B11" w:rsidP="004C34BB">
      <w:pPr>
        <w:contextualSpacing/>
      </w:pPr>
      <w:r w:rsidRPr="00863252">
        <w:t>Cells were obtained from healthy donors following the approval of procedures by the National Research Ethics Committees</w:t>
      </w:r>
      <w:r w:rsidRPr="00863252" w:rsidDel="009C6BEB">
        <w:t xml:space="preserve"> </w:t>
      </w:r>
      <w:r w:rsidR="004C34BB" w:rsidRPr="004C34BB">
        <w:t>(</w:t>
      </w:r>
      <w:r w:rsidRPr="00863252">
        <w:t>ID: 94648218.8.0000.0040</w:t>
      </w:r>
      <w:r w:rsidR="004C34BB" w:rsidRPr="004C34BB">
        <w:t>)</w:t>
      </w:r>
      <w:r w:rsidRPr="00863252">
        <w:t>.</w:t>
      </w:r>
    </w:p>
    <w:p w14:paraId="5BFD03F0" w14:textId="77777777" w:rsidR="00957B11" w:rsidRPr="00863252" w:rsidRDefault="00957B11" w:rsidP="004C34BB">
      <w:pPr>
        <w:contextualSpacing/>
        <w:rPr>
          <w:b/>
        </w:rPr>
      </w:pPr>
    </w:p>
    <w:p w14:paraId="5C2F6450" w14:textId="77777777" w:rsidR="00F935C7" w:rsidRPr="00863252" w:rsidRDefault="00F935C7" w:rsidP="004C34BB">
      <w:pPr>
        <w:pStyle w:val="ListParagraph"/>
        <w:numPr>
          <w:ilvl w:val="0"/>
          <w:numId w:val="14"/>
        </w:numPr>
        <w:ind w:left="0" w:firstLine="0"/>
        <w:jc w:val="both"/>
        <w:rPr>
          <w:rFonts w:ascii="Calibri" w:hAnsi="Calibri" w:cs="Calibri"/>
          <w:b/>
          <w:bCs/>
        </w:rPr>
      </w:pPr>
      <w:r w:rsidRPr="00863252">
        <w:rPr>
          <w:rFonts w:ascii="Calibri" w:hAnsi="Calibri" w:cs="Calibri"/>
          <w:b/>
          <w:bCs/>
        </w:rPr>
        <w:t>Cell cultures</w:t>
      </w:r>
    </w:p>
    <w:p w14:paraId="21282642" w14:textId="77777777" w:rsidR="00F935C7" w:rsidRPr="00863252" w:rsidRDefault="00F935C7" w:rsidP="004C34BB">
      <w:pPr>
        <w:pStyle w:val="ListParagraph"/>
        <w:ind w:left="0"/>
        <w:jc w:val="both"/>
        <w:rPr>
          <w:rFonts w:ascii="Calibri" w:hAnsi="Calibri" w:cs="Calibri"/>
          <w:b/>
          <w:bCs/>
        </w:rPr>
      </w:pPr>
    </w:p>
    <w:p w14:paraId="1C50799C" w14:textId="4AD5E544" w:rsidR="00F935C7" w:rsidRPr="00957B11" w:rsidRDefault="00F935C7" w:rsidP="004C34BB">
      <w:pPr>
        <w:pStyle w:val="ListParagraph"/>
        <w:numPr>
          <w:ilvl w:val="1"/>
          <w:numId w:val="14"/>
        </w:numPr>
        <w:ind w:left="0" w:firstLine="0"/>
        <w:jc w:val="both"/>
        <w:rPr>
          <w:rFonts w:ascii="Calibri" w:hAnsi="Calibri" w:cs="Calibri"/>
          <w:lang w:eastAsia="pt-BR"/>
        </w:rPr>
      </w:pPr>
      <w:r w:rsidRPr="00957B11">
        <w:rPr>
          <w:rFonts w:ascii="Calibri" w:hAnsi="Calibri" w:cs="Calibri"/>
        </w:rPr>
        <w:t xml:space="preserve">Human monocyte-derived macrophages </w:t>
      </w:r>
    </w:p>
    <w:p w14:paraId="0AC940B7" w14:textId="77777777" w:rsidR="00957B11" w:rsidRPr="00863252" w:rsidRDefault="00957B11" w:rsidP="004C34BB">
      <w:pPr>
        <w:pStyle w:val="ListParagraph"/>
        <w:ind w:left="0"/>
        <w:jc w:val="both"/>
        <w:rPr>
          <w:rFonts w:ascii="Calibri" w:hAnsi="Calibri" w:cs="Calibri"/>
          <w:b/>
          <w:bCs/>
          <w:lang w:eastAsia="pt-BR"/>
        </w:rPr>
      </w:pPr>
    </w:p>
    <w:p w14:paraId="41641D8A" w14:textId="52844778" w:rsidR="00F935C7" w:rsidRPr="00863252" w:rsidRDefault="000D7755" w:rsidP="004C34BB">
      <w:pPr>
        <w:pStyle w:val="ListParagraph"/>
        <w:ind w:left="0"/>
        <w:jc w:val="both"/>
        <w:rPr>
          <w:rFonts w:ascii="Calibri" w:hAnsi="Calibri" w:cs="Calibri"/>
        </w:rPr>
      </w:pPr>
      <w:r w:rsidRPr="00863252">
        <w:rPr>
          <w:rFonts w:ascii="Calibri" w:hAnsi="Calibri" w:cs="Calibri"/>
        </w:rPr>
        <w:t xml:space="preserve">NOTE: </w:t>
      </w:r>
      <w:r w:rsidR="00F935C7" w:rsidRPr="00863252">
        <w:rPr>
          <w:rFonts w:ascii="Calibri" w:hAnsi="Calibri" w:cs="Calibri"/>
        </w:rPr>
        <w:t xml:space="preserve">To obtain human monocyte-derived macrophages for </w:t>
      </w:r>
      <w:r w:rsidR="00F935C7" w:rsidRPr="00863252">
        <w:rPr>
          <w:rFonts w:ascii="Calibri" w:hAnsi="Calibri" w:cs="Calibri"/>
          <w:i/>
          <w:iCs/>
        </w:rPr>
        <w:t>in vitro</w:t>
      </w:r>
      <w:r w:rsidR="00F935C7" w:rsidRPr="00863252">
        <w:rPr>
          <w:rFonts w:ascii="Calibri" w:hAnsi="Calibri" w:cs="Calibri"/>
        </w:rPr>
        <w:t xml:space="preserve"> differentiation into macrophages, collect blood from healthy donors and purify peripheral blood mononuclear cells</w:t>
      </w:r>
      <w:r w:rsidR="00F935C7" w:rsidRPr="00863252" w:rsidDel="009907D8">
        <w:rPr>
          <w:rFonts w:ascii="Calibri" w:hAnsi="Calibri" w:cs="Calibri"/>
        </w:rPr>
        <w:t xml:space="preserve"> </w:t>
      </w:r>
      <w:r w:rsidR="004C34BB" w:rsidRPr="004C34BB">
        <w:rPr>
          <w:rFonts w:ascii="Calibri" w:hAnsi="Calibri" w:cs="Calibri"/>
        </w:rPr>
        <w:t>(</w:t>
      </w:r>
      <w:r w:rsidR="00F935C7" w:rsidRPr="00863252">
        <w:rPr>
          <w:rFonts w:ascii="Calibri" w:hAnsi="Calibri" w:cs="Calibri"/>
        </w:rPr>
        <w:t>PBMC</w:t>
      </w:r>
      <w:r w:rsidR="004C34BB" w:rsidRPr="004C34BB">
        <w:rPr>
          <w:rFonts w:ascii="Calibri" w:hAnsi="Calibri" w:cs="Calibri"/>
        </w:rPr>
        <w:t>)</w:t>
      </w:r>
      <w:r w:rsidR="00F935C7" w:rsidRPr="00863252">
        <w:rPr>
          <w:rFonts w:ascii="Calibri" w:hAnsi="Calibri" w:cs="Calibri"/>
        </w:rPr>
        <w:t xml:space="preserve"> as described by </w:t>
      </w:r>
      <w:r w:rsidR="00F935C7" w:rsidRPr="00863252">
        <w:rPr>
          <w:rFonts w:ascii="Calibri" w:hAnsi="Calibri" w:cs="Calibri"/>
          <w:noProof/>
        </w:rPr>
        <w:t xml:space="preserve">D. English and B. R. Andersen </w:t>
      </w:r>
      <w:r w:rsidR="00F935C7" w:rsidRPr="00863252">
        <w:rPr>
          <w:rFonts w:ascii="Calibri" w:hAnsi="Calibri" w:cs="Calibri"/>
          <w:noProof/>
          <w:vertAlign w:val="superscript"/>
        </w:rPr>
        <w:t>21</w:t>
      </w:r>
      <w:r w:rsidR="00F935C7" w:rsidRPr="00863252">
        <w:rPr>
          <w:rFonts w:ascii="Calibri" w:hAnsi="Calibri" w:cs="Calibri"/>
        </w:rPr>
        <w:t xml:space="preserve">. </w:t>
      </w:r>
    </w:p>
    <w:p w14:paraId="38CE1D69" w14:textId="77777777" w:rsidR="00F935C7" w:rsidRPr="00863252" w:rsidRDefault="00F935C7" w:rsidP="004C34BB">
      <w:pPr>
        <w:pStyle w:val="ListParagraph"/>
        <w:ind w:left="0"/>
        <w:jc w:val="both"/>
        <w:rPr>
          <w:rFonts w:ascii="Calibri" w:hAnsi="Calibri" w:cs="Calibri"/>
        </w:rPr>
      </w:pPr>
    </w:p>
    <w:p w14:paraId="564B1CA9" w14:textId="5D719377" w:rsidR="00F935C7" w:rsidRDefault="00F935C7" w:rsidP="004C34BB">
      <w:pPr>
        <w:pStyle w:val="ListParagraph"/>
        <w:numPr>
          <w:ilvl w:val="2"/>
          <w:numId w:val="14"/>
        </w:numPr>
        <w:ind w:left="0" w:firstLine="0"/>
        <w:jc w:val="both"/>
        <w:rPr>
          <w:rFonts w:ascii="Calibri" w:hAnsi="Calibri" w:cs="Calibri"/>
          <w:lang w:eastAsia="pt-BR"/>
        </w:rPr>
      </w:pPr>
      <w:r w:rsidRPr="00863252">
        <w:rPr>
          <w:rFonts w:ascii="Calibri" w:hAnsi="Calibri" w:cs="Calibri"/>
        </w:rPr>
        <w:t>After collecting peripheral blood</w:t>
      </w:r>
      <w:r w:rsidR="000D7755" w:rsidRPr="00863252">
        <w:rPr>
          <w:rFonts w:ascii="Calibri" w:hAnsi="Calibri" w:cs="Calibri"/>
        </w:rPr>
        <w:t xml:space="preserve"> </w:t>
      </w:r>
      <w:r w:rsidR="004C34BB" w:rsidRPr="004C34BB">
        <w:rPr>
          <w:rFonts w:ascii="Calibri" w:hAnsi="Calibri" w:cs="Calibri"/>
        </w:rPr>
        <w:t>(</w:t>
      </w:r>
      <w:r w:rsidR="000D7755" w:rsidRPr="00863252">
        <w:rPr>
          <w:rFonts w:ascii="Calibri" w:hAnsi="Calibri" w:cs="Calibri"/>
        </w:rPr>
        <w:t>50 mL</w:t>
      </w:r>
      <w:r w:rsidR="004C34BB" w:rsidRPr="004C34BB">
        <w:rPr>
          <w:rFonts w:ascii="Calibri" w:hAnsi="Calibri" w:cs="Calibri"/>
        </w:rPr>
        <w:t>)</w:t>
      </w:r>
      <w:r w:rsidRPr="00863252">
        <w:rPr>
          <w:rFonts w:ascii="Calibri" w:hAnsi="Calibri" w:cs="Calibri"/>
        </w:rPr>
        <w:t>, pour it into a heparinized tube</w:t>
      </w:r>
      <w:r w:rsidR="00957B11">
        <w:rPr>
          <w:rFonts w:ascii="Calibri" w:hAnsi="Calibri" w:cs="Calibri"/>
        </w:rPr>
        <w:t xml:space="preserve"> and t</w:t>
      </w:r>
      <w:r w:rsidRPr="00863252">
        <w:rPr>
          <w:rFonts w:ascii="Calibri" w:hAnsi="Calibri" w:cs="Calibri"/>
        </w:rPr>
        <w:t xml:space="preserve">hen dilute </w:t>
      </w:r>
      <w:r w:rsidR="00957B11">
        <w:rPr>
          <w:rFonts w:ascii="Calibri" w:hAnsi="Calibri" w:cs="Calibri"/>
        </w:rPr>
        <w:t xml:space="preserve">the </w:t>
      </w:r>
      <w:r w:rsidRPr="00863252">
        <w:rPr>
          <w:rFonts w:ascii="Calibri" w:hAnsi="Calibri" w:cs="Calibri"/>
        </w:rPr>
        <w:t xml:space="preserve">blood 1:1 in a phosphate buffer solution </w:t>
      </w:r>
      <w:r w:rsidR="004C34BB" w:rsidRPr="004C34BB">
        <w:rPr>
          <w:rFonts w:ascii="Calibri" w:hAnsi="Calibri" w:cs="Calibri"/>
        </w:rPr>
        <w:t>(</w:t>
      </w:r>
      <w:r w:rsidRPr="00863252">
        <w:rPr>
          <w:rFonts w:ascii="Calibri" w:hAnsi="Calibri" w:cs="Calibri"/>
        </w:rPr>
        <w:t>PBS</w:t>
      </w:r>
      <w:r w:rsidR="004C34BB" w:rsidRPr="004C34BB">
        <w:rPr>
          <w:rFonts w:ascii="Calibri" w:hAnsi="Calibri" w:cs="Calibri"/>
        </w:rPr>
        <w:t>)</w:t>
      </w:r>
      <w:r w:rsidRPr="00863252">
        <w:rPr>
          <w:rFonts w:ascii="Calibri" w:hAnsi="Calibri" w:cs="Calibri"/>
        </w:rPr>
        <w:t xml:space="preserve"> at room temperature</w:t>
      </w:r>
      <w:r w:rsidR="00957B11">
        <w:rPr>
          <w:rFonts w:ascii="Calibri" w:hAnsi="Calibri" w:cs="Calibri"/>
        </w:rPr>
        <w:t>. Ge</w:t>
      </w:r>
      <w:r w:rsidRPr="00863252">
        <w:rPr>
          <w:rFonts w:ascii="Calibri" w:hAnsi="Calibri" w:cs="Calibri"/>
        </w:rPr>
        <w:t>ntly place diluted heparinized blood on top of previously distributed density gradient medium.</w:t>
      </w:r>
    </w:p>
    <w:p w14:paraId="3A1917C2" w14:textId="77777777" w:rsidR="00957B11" w:rsidRPr="00863252" w:rsidRDefault="00957B11" w:rsidP="004C34BB">
      <w:pPr>
        <w:pStyle w:val="ListParagraph"/>
        <w:ind w:left="0"/>
        <w:jc w:val="both"/>
        <w:rPr>
          <w:rFonts w:ascii="Calibri" w:hAnsi="Calibri" w:cs="Calibri"/>
          <w:lang w:eastAsia="pt-BR"/>
        </w:rPr>
      </w:pPr>
    </w:p>
    <w:p w14:paraId="1A975F3B" w14:textId="77777777" w:rsidR="00F935C7" w:rsidRPr="00863252" w:rsidRDefault="00F935C7" w:rsidP="004C34BB">
      <w:pPr>
        <w:pStyle w:val="ListParagraph"/>
        <w:numPr>
          <w:ilvl w:val="2"/>
          <w:numId w:val="14"/>
        </w:numPr>
        <w:ind w:left="0" w:firstLine="0"/>
        <w:jc w:val="both"/>
        <w:rPr>
          <w:rFonts w:ascii="Calibri" w:hAnsi="Calibri" w:cs="Calibri"/>
          <w:lang w:eastAsia="pt-BR"/>
        </w:rPr>
      </w:pPr>
      <w:r w:rsidRPr="00863252">
        <w:rPr>
          <w:rFonts w:ascii="Calibri" w:hAnsi="Calibri" w:cs="Calibri"/>
        </w:rPr>
        <w:t xml:space="preserve">Centrifuge the tubes at 252 </w:t>
      </w:r>
      <w:r w:rsidRPr="00863252">
        <w:rPr>
          <w:rFonts w:ascii="Calibri" w:eastAsia="Calibri" w:hAnsi="Calibri" w:cs="Calibri"/>
        </w:rPr>
        <w:t xml:space="preserve">× </w:t>
      </w:r>
      <w:r w:rsidRPr="00957B11">
        <w:rPr>
          <w:rFonts w:ascii="Calibri" w:hAnsi="Calibri" w:cs="Calibri"/>
          <w:i/>
          <w:iCs/>
        </w:rPr>
        <w:t>g</w:t>
      </w:r>
      <w:r w:rsidRPr="00863252">
        <w:rPr>
          <w:rFonts w:ascii="Calibri" w:hAnsi="Calibri" w:cs="Calibri"/>
        </w:rPr>
        <w:t xml:space="preserve"> for 30 min at 24 °C to avoid hemolysis.</w:t>
      </w:r>
    </w:p>
    <w:p w14:paraId="3C2D1A20" w14:textId="77777777" w:rsidR="00F935C7" w:rsidRPr="00863252" w:rsidRDefault="00F935C7" w:rsidP="004C34BB">
      <w:pPr>
        <w:pStyle w:val="ListParagraph"/>
        <w:ind w:left="0"/>
        <w:jc w:val="both"/>
        <w:rPr>
          <w:rFonts w:ascii="Calibri" w:hAnsi="Calibri" w:cs="Calibri"/>
        </w:rPr>
      </w:pPr>
      <w:r w:rsidRPr="00863252">
        <w:rPr>
          <w:rFonts w:ascii="Calibri" w:hAnsi="Calibri" w:cs="Calibri"/>
        </w:rPr>
        <w:t xml:space="preserve"> </w:t>
      </w:r>
    </w:p>
    <w:p w14:paraId="7D25E9FD" w14:textId="1F1177CB" w:rsidR="00F935C7" w:rsidRPr="00863252" w:rsidRDefault="00F935C7" w:rsidP="004C34BB">
      <w:pPr>
        <w:pStyle w:val="ListParagraph"/>
        <w:ind w:left="0"/>
        <w:jc w:val="both"/>
        <w:rPr>
          <w:rFonts w:ascii="Calibri" w:hAnsi="Calibri" w:cs="Calibri"/>
        </w:rPr>
      </w:pPr>
      <w:r w:rsidRPr="00863252">
        <w:rPr>
          <w:rFonts w:ascii="Calibri" w:hAnsi="Calibri" w:cs="Calibri"/>
        </w:rPr>
        <w:t>NOTE: Set centrifuge break-off to avoid mixing of gradient layers.</w:t>
      </w:r>
      <w:r w:rsidRPr="00863252" w:rsidDel="009563C4">
        <w:rPr>
          <w:rFonts w:ascii="Calibri" w:hAnsi="Calibri" w:cs="Calibri"/>
        </w:rPr>
        <w:t xml:space="preserve"> </w:t>
      </w:r>
      <w:r w:rsidRPr="00863252">
        <w:rPr>
          <w:rFonts w:ascii="Calibri" w:hAnsi="Calibri" w:cs="Calibri"/>
        </w:rPr>
        <w:t>After centrifugation, discontinuous gradient layers are formed from the bottom to the top: erythrocytes, density gradient medium, PBMC ring and plasma.</w:t>
      </w:r>
    </w:p>
    <w:p w14:paraId="328E9A34" w14:textId="77777777" w:rsidR="00F935C7" w:rsidRPr="00863252" w:rsidRDefault="00F935C7" w:rsidP="004C34BB">
      <w:pPr>
        <w:pStyle w:val="ListParagraph"/>
        <w:ind w:left="0"/>
        <w:jc w:val="both"/>
        <w:rPr>
          <w:rFonts w:ascii="Calibri" w:hAnsi="Calibri" w:cs="Calibri"/>
        </w:rPr>
      </w:pPr>
    </w:p>
    <w:p w14:paraId="23BE8A25" w14:textId="52F75960" w:rsidR="00F935C7" w:rsidRDefault="00F935C7" w:rsidP="004C34BB">
      <w:pPr>
        <w:pStyle w:val="ListParagraph"/>
        <w:numPr>
          <w:ilvl w:val="2"/>
          <w:numId w:val="14"/>
        </w:numPr>
        <w:ind w:left="0" w:firstLine="0"/>
        <w:jc w:val="both"/>
        <w:rPr>
          <w:rFonts w:ascii="Calibri" w:hAnsi="Calibri" w:cs="Calibri"/>
          <w:lang w:eastAsia="pt-BR"/>
        </w:rPr>
      </w:pPr>
      <w:r w:rsidRPr="00863252">
        <w:rPr>
          <w:rFonts w:ascii="Calibri" w:hAnsi="Calibri" w:cs="Calibri"/>
        </w:rPr>
        <w:t xml:space="preserve">Transfer the PBMC ring, located between the density gradient medium and plasma layers, to a new tube and fill with PBS to wash out excess density gradient medium. </w:t>
      </w:r>
    </w:p>
    <w:p w14:paraId="762CAA70" w14:textId="77777777" w:rsidR="00957B11" w:rsidRPr="00863252" w:rsidRDefault="00957B11" w:rsidP="004C34BB">
      <w:pPr>
        <w:pStyle w:val="ListParagraph"/>
        <w:ind w:left="0"/>
        <w:jc w:val="both"/>
        <w:rPr>
          <w:rFonts w:ascii="Calibri" w:hAnsi="Calibri" w:cs="Calibri"/>
          <w:lang w:eastAsia="pt-BR"/>
        </w:rPr>
      </w:pPr>
    </w:p>
    <w:p w14:paraId="5FC66B55" w14:textId="1E326A35" w:rsidR="00F935C7" w:rsidRDefault="00F935C7" w:rsidP="004C34BB">
      <w:pPr>
        <w:pStyle w:val="ListParagraph"/>
        <w:numPr>
          <w:ilvl w:val="2"/>
          <w:numId w:val="14"/>
        </w:numPr>
        <w:ind w:left="0" w:firstLine="0"/>
        <w:jc w:val="both"/>
        <w:rPr>
          <w:rFonts w:ascii="Calibri" w:hAnsi="Calibri" w:cs="Calibri"/>
          <w:lang w:eastAsia="pt-BR"/>
        </w:rPr>
      </w:pPr>
      <w:r w:rsidRPr="00863252">
        <w:rPr>
          <w:rFonts w:ascii="Calibri" w:hAnsi="Calibri" w:cs="Calibri"/>
        </w:rPr>
        <w:t xml:space="preserve">Wash cells once and centrifuge at 190 </w:t>
      </w:r>
      <w:r w:rsidRPr="00863252">
        <w:rPr>
          <w:rFonts w:ascii="Calibri" w:eastAsia="Calibri" w:hAnsi="Calibri" w:cs="Calibri"/>
        </w:rPr>
        <w:t xml:space="preserve">× </w:t>
      </w:r>
      <w:r w:rsidRPr="00863252">
        <w:rPr>
          <w:rFonts w:ascii="Calibri" w:hAnsi="Calibri" w:cs="Calibri"/>
        </w:rPr>
        <w:t>g for 10 min at 4 °C.</w:t>
      </w:r>
    </w:p>
    <w:p w14:paraId="0F212D07" w14:textId="77777777" w:rsidR="00957B11" w:rsidRPr="00863252" w:rsidRDefault="00957B11" w:rsidP="004C34BB">
      <w:pPr>
        <w:pStyle w:val="ListParagraph"/>
        <w:ind w:left="0"/>
        <w:jc w:val="both"/>
        <w:rPr>
          <w:rFonts w:ascii="Calibri" w:hAnsi="Calibri" w:cs="Calibri"/>
          <w:lang w:eastAsia="pt-BR"/>
        </w:rPr>
      </w:pPr>
    </w:p>
    <w:p w14:paraId="5A107711" w14:textId="779E774E" w:rsidR="00F935C7" w:rsidRDefault="00F935C7" w:rsidP="004C34BB">
      <w:pPr>
        <w:pStyle w:val="ListParagraph"/>
        <w:numPr>
          <w:ilvl w:val="2"/>
          <w:numId w:val="14"/>
        </w:numPr>
        <w:ind w:left="0" w:firstLine="0"/>
        <w:jc w:val="both"/>
        <w:rPr>
          <w:rFonts w:ascii="Calibri" w:hAnsi="Calibri" w:cs="Calibri"/>
          <w:lang w:eastAsia="pt-BR"/>
        </w:rPr>
      </w:pPr>
      <w:r w:rsidRPr="00863252">
        <w:rPr>
          <w:rFonts w:ascii="Calibri" w:hAnsi="Calibri" w:cs="Calibri"/>
        </w:rPr>
        <w:t>Discard the supernatant and resuspend pellet in 1 mL of complete RPMI medium.</w:t>
      </w:r>
    </w:p>
    <w:p w14:paraId="1553D2E4" w14:textId="77777777" w:rsidR="00957B11" w:rsidRPr="00863252" w:rsidRDefault="00957B11" w:rsidP="004C34BB">
      <w:pPr>
        <w:pStyle w:val="ListParagraph"/>
        <w:ind w:left="0"/>
        <w:jc w:val="both"/>
        <w:rPr>
          <w:rFonts w:ascii="Calibri" w:hAnsi="Calibri" w:cs="Calibri"/>
          <w:lang w:eastAsia="pt-BR"/>
        </w:rPr>
      </w:pPr>
    </w:p>
    <w:p w14:paraId="44B4A330" w14:textId="25E6741F" w:rsidR="00F935C7" w:rsidRPr="00863252" w:rsidRDefault="00F935C7" w:rsidP="004C34BB">
      <w:pPr>
        <w:pStyle w:val="ListParagraph"/>
        <w:numPr>
          <w:ilvl w:val="2"/>
          <w:numId w:val="14"/>
        </w:numPr>
        <w:ind w:left="0" w:firstLine="0"/>
        <w:jc w:val="both"/>
        <w:rPr>
          <w:rFonts w:ascii="Calibri" w:hAnsi="Calibri" w:cs="Calibri"/>
        </w:rPr>
      </w:pPr>
      <w:r w:rsidRPr="00863252">
        <w:rPr>
          <w:rFonts w:ascii="Calibri" w:hAnsi="Calibri" w:cs="Calibri"/>
        </w:rPr>
        <w:lastRenderedPageBreak/>
        <w:t>Count the cells and plate 2 × 10</w:t>
      </w:r>
      <w:r w:rsidRPr="00863252">
        <w:rPr>
          <w:rFonts w:ascii="Calibri" w:hAnsi="Calibri" w:cs="Calibri"/>
          <w:vertAlign w:val="superscript"/>
        </w:rPr>
        <w:t>6</w:t>
      </w:r>
      <w:r w:rsidRPr="00863252">
        <w:rPr>
          <w:rFonts w:ascii="Calibri" w:hAnsi="Calibri" w:cs="Calibri"/>
        </w:rPr>
        <w:t xml:space="preserve"> cells in 500 mL of Roswell Park Memorial Institute </w:t>
      </w:r>
      <w:r w:rsidR="004C34BB" w:rsidRPr="004C34BB">
        <w:rPr>
          <w:rFonts w:ascii="Calibri" w:hAnsi="Calibri" w:cs="Calibri"/>
        </w:rPr>
        <w:t>(</w:t>
      </w:r>
      <w:r w:rsidRPr="00863252">
        <w:rPr>
          <w:rFonts w:ascii="Calibri" w:hAnsi="Calibri" w:cs="Calibri"/>
        </w:rPr>
        <w:t>RPMI</w:t>
      </w:r>
      <w:r w:rsidR="004C34BB" w:rsidRPr="004C34BB">
        <w:rPr>
          <w:rFonts w:ascii="Calibri" w:hAnsi="Calibri" w:cs="Calibri"/>
        </w:rPr>
        <w:t>)</w:t>
      </w:r>
      <w:r w:rsidRPr="00863252">
        <w:rPr>
          <w:rFonts w:ascii="Calibri" w:hAnsi="Calibri" w:cs="Calibri"/>
        </w:rPr>
        <w:t xml:space="preserve"> supplemented with 25 mM N-[2-hydroxyethyl] piperazine-N′-[2-ethane sulfonic acid] </w:t>
      </w:r>
      <w:r w:rsidR="004C34BB" w:rsidRPr="004C34BB">
        <w:rPr>
          <w:rFonts w:ascii="Calibri" w:hAnsi="Calibri" w:cs="Calibri"/>
        </w:rPr>
        <w:t>(</w:t>
      </w:r>
      <w:r w:rsidRPr="00863252">
        <w:rPr>
          <w:rFonts w:ascii="Calibri" w:hAnsi="Calibri" w:cs="Calibri"/>
        </w:rPr>
        <w:t>HEPES</w:t>
      </w:r>
      <w:r w:rsidR="004C34BB" w:rsidRPr="004C34BB">
        <w:rPr>
          <w:rFonts w:ascii="Calibri" w:hAnsi="Calibri" w:cs="Calibri"/>
        </w:rPr>
        <w:t>)</w:t>
      </w:r>
      <w:r w:rsidRPr="00863252">
        <w:rPr>
          <w:rFonts w:ascii="Calibri" w:hAnsi="Calibri" w:cs="Calibri"/>
        </w:rPr>
        <w:t xml:space="preserve">, 2 g/L sodium bicarbonate, 2 mM glutamine, 20 g/mL ciprofloxacin and 10% inactivated Fetal Bovine Serum </w:t>
      </w:r>
      <w:r w:rsidR="004C34BB" w:rsidRPr="004C34BB">
        <w:rPr>
          <w:rFonts w:ascii="Calibri" w:hAnsi="Calibri" w:cs="Calibri"/>
        </w:rPr>
        <w:t>(</w:t>
      </w:r>
      <w:r w:rsidRPr="00863252">
        <w:rPr>
          <w:rFonts w:ascii="Calibri" w:hAnsi="Calibri" w:cs="Calibri"/>
        </w:rPr>
        <w:t>FBS</w:t>
      </w:r>
      <w:r w:rsidR="004C34BB" w:rsidRPr="004C34BB">
        <w:rPr>
          <w:rFonts w:ascii="Calibri" w:hAnsi="Calibri" w:cs="Calibri"/>
        </w:rPr>
        <w:t>)</w:t>
      </w:r>
      <w:r w:rsidRPr="00863252">
        <w:rPr>
          <w:rFonts w:ascii="Calibri" w:hAnsi="Calibri" w:cs="Calibri"/>
        </w:rPr>
        <w:t xml:space="preserve"> </w:t>
      </w:r>
      <w:r w:rsidR="004C34BB" w:rsidRPr="004C34BB">
        <w:rPr>
          <w:rFonts w:ascii="Calibri" w:hAnsi="Calibri" w:cs="Calibri"/>
        </w:rPr>
        <w:t>(</w:t>
      </w:r>
      <w:r w:rsidRPr="00863252">
        <w:rPr>
          <w:rFonts w:ascii="Calibri" w:hAnsi="Calibri" w:cs="Calibri"/>
        </w:rPr>
        <w:t>complete RPMI medium</w:t>
      </w:r>
      <w:r w:rsidR="004C34BB" w:rsidRPr="004C34BB">
        <w:rPr>
          <w:rFonts w:ascii="Calibri" w:hAnsi="Calibri" w:cs="Calibri"/>
        </w:rPr>
        <w:t>)</w:t>
      </w:r>
      <w:r w:rsidRPr="00863252">
        <w:rPr>
          <w:rFonts w:ascii="Calibri" w:hAnsi="Calibri" w:cs="Calibri"/>
        </w:rPr>
        <w:t xml:space="preserve"> for 7 days at 37 °C under 5% CO</w:t>
      </w:r>
      <w:r w:rsidRPr="00863252">
        <w:rPr>
          <w:rFonts w:ascii="Calibri" w:hAnsi="Calibri" w:cs="Calibri"/>
          <w:vertAlign w:val="subscript"/>
        </w:rPr>
        <w:t>2</w:t>
      </w:r>
      <w:r w:rsidRPr="00863252">
        <w:rPr>
          <w:rFonts w:ascii="Calibri" w:hAnsi="Calibri" w:cs="Calibri"/>
        </w:rPr>
        <w:t xml:space="preserve"> in a 24-well plate to allow monocytes to differentiate into macrophages by adhesion.</w:t>
      </w:r>
    </w:p>
    <w:p w14:paraId="60E5445F" w14:textId="77777777" w:rsidR="00F935C7" w:rsidRPr="00863252" w:rsidRDefault="00F935C7" w:rsidP="004C34BB">
      <w:pPr>
        <w:pStyle w:val="ListParagraph"/>
        <w:ind w:left="0"/>
        <w:jc w:val="both"/>
        <w:rPr>
          <w:rFonts w:ascii="Calibri" w:hAnsi="Calibri" w:cs="Calibri"/>
        </w:rPr>
      </w:pPr>
    </w:p>
    <w:p w14:paraId="567CEBD8" w14:textId="7B6C6CE4" w:rsidR="00F935C7" w:rsidRPr="00957B11" w:rsidRDefault="00F935C7" w:rsidP="004C34BB">
      <w:pPr>
        <w:pStyle w:val="ListParagraph"/>
        <w:numPr>
          <w:ilvl w:val="1"/>
          <w:numId w:val="14"/>
        </w:numPr>
        <w:ind w:left="0" w:firstLine="0"/>
        <w:jc w:val="both"/>
        <w:rPr>
          <w:rFonts w:ascii="Calibri" w:hAnsi="Calibri" w:cs="Calibri"/>
        </w:rPr>
      </w:pPr>
      <w:r w:rsidRPr="00957B11">
        <w:rPr>
          <w:rFonts w:ascii="Calibri" w:hAnsi="Calibri" w:cs="Calibri"/>
          <w:color w:val="000000"/>
          <w:shd w:val="clear" w:color="auto" w:fill="FFFFFF"/>
          <w:lang w:eastAsia="pt-BR"/>
        </w:rPr>
        <w:t>THP-1 cultures</w:t>
      </w:r>
      <w:r w:rsidRPr="00957B11">
        <w:rPr>
          <w:rFonts w:ascii="Calibri" w:hAnsi="Calibri" w:cs="Calibri"/>
          <w:color w:val="000000"/>
          <w:shd w:val="clear" w:color="auto" w:fill="FFFFFF"/>
          <w:vertAlign w:val="superscript"/>
          <w:lang w:eastAsia="pt-BR"/>
        </w:rPr>
        <w:t xml:space="preserve"> </w:t>
      </w:r>
    </w:p>
    <w:p w14:paraId="099A6682" w14:textId="77777777" w:rsidR="00957B11" w:rsidRPr="00863252" w:rsidRDefault="00957B11" w:rsidP="004C34BB">
      <w:pPr>
        <w:pStyle w:val="ListParagraph"/>
        <w:ind w:left="0"/>
        <w:jc w:val="both"/>
        <w:rPr>
          <w:rFonts w:ascii="Calibri" w:hAnsi="Calibri" w:cs="Calibri"/>
          <w:b/>
          <w:bCs/>
        </w:rPr>
      </w:pPr>
    </w:p>
    <w:p w14:paraId="11709690" w14:textId="4A284E90" w:rsidR="00F935C7" w:rsidRDefault="00F935C7" w:rsidP="004C34BB">
      <w:pPr>
        <w:widowControl/>
        <w:numPr>
          <w:ilvl w:val="2"/>
          <w:numId w:val="14"/>
        </w:numPr>
        <w:ind w:left="0" w:firstLine="0"/>
        <w:contextualSpacing/>
      </w:pPr>
      <w:r w:rsidRPr="00863252">
        <w:t xml:space="preserve"> Grow THP-1 cell line at a concentration of 2 × 10</w:t>
      </w:r>
      <w:r w:rsidRPr="00863252">
        <w:rPr>
          <w:vertAlign w:val="superscript"/>
        </w:rPr>
        <w:t>5</w:t>
      </w:r>
      <w:r w:rsidRPr="00863252">
        <w:t xml:space="preserve"> cells in 10 mL </w:t>
      </w:r>
      <w:r w:rsidR="00957B11">
        <w:t xml:space="preserve">of </w:t>
      </w:r>
      <w:r w:rsidRPr="00863252">
        <w:t>complete RPMI medium in 75 cm</w:t>
      </w:r>
      <w:r w:rsidRPr="00863252">
        <w:rPr>
          <w:vertAlign w:val="superscript"/>
        </w:rPr>
        <w:t>2</w:t>
      </w:r>
      <w:r w:rsidRPr="00863252">
        <w:t xml:space="preserve"> culture flask.”</w:t>
      </w:r>
    </w:p>
    <w:p w14:paraId="660CB73A" w14:textId="77777777" w:rsidR="00957B11" w:rsidRPr="00863252" w:rsidRDefault="00957B11" w:rsidP="004C34BB">
      <w:pPr>
        <w:widowControl/>
        <w:contextualSpacing/>
      </w:pPr>
    </w:p>
    <w:p w14:paraId="274CC4AB" w14:textId="7814654D" w:rsidR="00F935C7" w:rsidRDefault="00F935C7" w:rsidP="004C34BB">
      <w:pPr>
        <w:widowControl/>
        <w:numPr>
          <w:ilvl w:val="2"/>
          <w:numId w:val="14"/>
        </w:numPr>
        <w:ind w:left="0" w:firstLine="0"/>
        <w:contextualSpacing/>
      </w:pPr>
      <w:r w:rsidRPr="00863252">
        <w:t>Maintain cell cultures in an incubator at 37 °C under 5% CO</w:t>
      </w:r>
      <w:r w:rsidRPr="00863252">
        <w:rPr>
          <w:vertAlign w:val="subscript"/>
        </w:rPr>
        <w:t>2</w:t>
      </w:r>
      <w:r w:rsidRPr="00863252">
        <w:t xml:space="preserve"> for 7 days.</w:t>
      </w:r>
    </w:p>
    <w:p w14:paraId="417F44FE" w14:textId="77777777" w:rsidR="00957B11" w:rsidRPr="00863252" w:rsidRDefault="00957B11" w:rsidP="004C34BB">
      <w:pPr>
        <w:widowControl/>
        <w:contextualSpacing/>
      </w:pPr>
    </w:p>
    <w:p w14:paraId="472189FF" w14:textId="35298562" w:rsidR="00F935C7" w:rsidRDefault="00F935C7" w:rsidP="004C34BB">
      <w:pPr>
        <w:pStyle w:val="ListParagraph"/>
        <w:numPr>
          <w:ilvl w:val="2"/>
          <w:numId w:val="14"/>
        </w:numPr>
        <w:ind w:left="0" w:firstLine="0"/>
        <w:jc w:val="both"/>
        <w:rPr>
          <w:rFonts w:ascii="Calibri" w:hAnsi="Calibri" w:cs="Calibri"/>
        </w:rPr>
      </w:pPr>
      <w:r w:rsidRPr="00863252">
        <w:rPr>
          <w:rFonts w:ascii="Calibri" w:hAnsi="Calibri" w:cs="Calibri"/>
        </w:rPr>
        <w:t xml:space="preserve">Centrifuge cells at 720 </w:t>
      </w:r>
      <w:r w:rsidRPr="00863252">
        <w:rPr>
          <w:rFonts w:ascii="Calibri" w:eastAsia="Calibri" w:hAnsi="Calibri" w:cs="Calibri"/>
        </w:rPr>
        <w:t xml:space="preserve">× </w:t>
      </w:r>
      <w:r w:rsidRPr="00863252">
        <w:rPr>
          <w:rFonts w:ascii="Calibri" w:hAnsi="Calibri" w:cs="Calibri"/>
        </w:rPr>
        <w:t>g for 10 min at 4 °C and resuspend the pellet in complete RPMI medium.</w:t>
      </w:r>
    </w:p>
    <w:p w14:paraId="14EEC0AB" w14:textId="77777777" w:rsidR="00957B11" w:rsidRPr="00863252" w:rsidRDefault="00957B11" w:rsidP="004C34BB">
      <w:pPr>
        <w:pStyle w:val="ListParagraph"/>
        <w:ind w:left="0"/>
        <w:jc w:val="both"/>
        <w:rPr>
          <w:rFonts w:ascii="Calibri" w:hAnsi="Calibri" w:cs="Calibri"/>
        </w:rPr>
      </w:pPr>
    </w:p>
    <w:p w14:paraId="6CB7C61D" w14:textId="393E4829" w:rsidR="00F935C7" w:rsidRDefault="00F935C7" w:rsidP="004C34BB">
      <w:pPr>
        <w:pStyle w:val="ListParagraph"/>
        <w:numPr>
          <w:ilvl w:val="2"/>
          <w:numId w:val="14"/>
        </w:numPr>
        <w:ind w:left="0" w:firstLine="0"/>
        <w:jc w:val="both"/>
        <w:rPr>
          <w:rFonts w:ascii="Calibri" w:hAnsi="Calibri" w:cs="Calibri"/>
        </w:rPr>
      </w:pPr>
      <w:r w:rsidRPr="00863252">
        <w:rPr>
          <w:rFonts w:ascii="Calibri" w:hAnsi="Calibri" w:cs="Calibri"/>
        </w:rPr>
        <w:t>Count cells in a Neubauer chamber.</w:t>
      </w:r>
    </w:p>
    <w:p w14:paraId="256325B0" w14:textId="77777777" w:rsidR="00957B11" w:rsidRPr="00863252" w:rsidRDefault="00957B11" w:rsidP="004C34BB">
      <w:pPr>
        <w:pStyle w:val="ListParagraph"/>
        <w:ind w:left="0"/>
        <w:jc w:val="both"/>
        <w:rPr>
          <w:rFonts w:ascii="Calibri" w:hAnsi="Calibri" w:cs="Calibri"/>
        </w:rPr>
      </w:pPr>
    </w:p>
    <w:p w14:paraId="61383581" w14:textId="7620C48F" w:rsidR="00F935C7" w:rsidRDefault="00F935C7" w:rsidP="004C34BB">
      <w:pPr>
        <w:pStyle w:val="ListParagraph"/>
        <w:numPr>
          <w:ilvl w:val="2"/>
          <w:numId w:val="14"/>
        </w:numPr>
        <w:ind w:left="0" w:firstLine="0"/>
        <w:jc w:val="both"/>
        <w:rPr>
          <w:rFonts w:ascii="Calibri" w:hAnsi="Calibri" w:cs="Calibri"/>
        </w:rPr>
      </w:pPr>
      <w:r w:rsidRPr="00863252">
        <w:rPr>
          <w:rFonts w:ascii="Calibri" w:hAnsi="Calibri" w:cs="Calibri"/>
        </w:rPr>
        <w:t xml:space="preserve">Plate cells on 13 mm glass coverslips at a concentration of 2 </w:t>
      </w:r>
      <w:r w:rsidRPr="00863252">
        <w:rPr>
          <w:rFonts w:ascii="Calibri" w:eastAsia="Calibri" w:hAnsi="Calibri" w:cs="Calibri"/>
        </w:rPr>
        <w:t>×</w:t>
      </w:r>
      <w:r w:rsidRPr="00863252">
        <w:rPr>
          <w:rFonts w:ascii="Calibri" w:hAnsi="Calibri" w:cs="Calibri"/>
        </w:rPr>
        <w:t xml:space="preserve"> 10</w:t>
      </w:r>
      <w:r w:rsidRPr="00863252">
        <w:rPr>
          <w:rFonts w:ascii="Calibri" w:hAnsi="Calibri" w:cs="Calibri"/>
          <w:vertAlign w:val="superscript"/>
        </w:rPr>
        <w:t xml:space="preserve">5 </w:t>
      </w:r>
      <w:r w:rsidRPr="00863252">
        <w:rPr>
          <w:rFonts w:ascii="Calibri" w:hAnsi="Calibri" w:cs="Calibri"/>
        </w:rPr>
        <w:t xml:space="preserve">cells per well in 500 </w:t>
      </w:r>
      <w:r w:rsidRPr="00863252">
        <w:rPr>
          <w:rFonts w:ascii="Calibri" w:hAnsi="Calibri" w:cs="Calibri"/>
        </w:rPr>
        <w:sym w:font="Symbol" w:char="F06D"/>
      </w:r>
      <w:r w:rsidRPr="00863252">
        <w:rPr>
          <w:rFonts w:ascii="Calibri" w:hAnsi="Calibri" w:cs="Calibri"/>
        </w:rPr>
        <w:t xml:space="preserve">L of complete RPMI medium containing 100 nM phorbol myristate acetate </w:t>
      </w:r>
      <w:r w:rsidR="004C34BB" w:rsidRPr="004C34BB">
        <w:rPr>
          <w:rFonts w:ascii="Calibri" w:hAnsi="Calibri" w:cs="Calibri"/>
        </w:rPr>
        <w:t>(</w:t>
      </w:r>
      <w:r w:rsidRPr="00863252">
        <w:rPr>
          <w:rFonts w:ascii="Calibri" w:hAnsi="Calibri" w:cs="Calibri"/>
        </w:rPr>
        <w:t>PMA</w:t>
      </w:r>
      <w:r w:rsidR="004C34BB" w:rsidRPr="004C34BB">
        <w:rPr>
          <w:rFonts w:ascii="Calibri" w:hAnsi="Calibri" w:cs="Calibri"/>
        </w:rPr>
        <w:t>)</w:t>
      </w:r>
      <w:r w:rsidRPr="00863252">
        <w:rPr>
          <w:rFonts w:ascii="Calibri" w:hAnsi="Calibri" w:cs="Calibri"/>
        </w:rPr>
        <w:t xml:space="preserve"> at 37 °C under 5% CO</w:t>
      </w:r>
      <w:r w:rsidRPr="00863252">
        <w:rPr>
          <w:rFonts w:ascii="Calibri" w:hAnsi="Calibri" w:cs="Calibri"/>
          <w:vertAlign w:val="subscript"/>
        </w:rPr>
        <w:t>2</w:t>
      </w:r>
      <w:r w:rsidRPr="00863252">
        <w:rPr>
          <w:rFonts w:ascii="Calibri" w:hAnsi="Calibri" w:cs="Calibri"/>
        </w:rPr>
        <w:t xml:space="preserve"> to allow differentiation of THP1 cells into macrophages.</w:t>
      </w:r>
    </w:p>
    <w:p w14:paraId="2B1D3BC2" w14:textId="77777777" w:rsidR="00957B11" w:rsidRPr="00863252" w:rsidRDefault="00957B11" w:rsidP="004C34BB">
      <w:pPr>
        <w:pStyle w:val="ListParagraph"/>
        <w:ind w:left="0"/>
        <w:jc w:val="both"/>
        <w:rPr>
          <w:rFonts w:ascii="Calibri" w:hAnsi="Calibri" w:cs="Calibri"/>
        </w:rPr>
      </w:pPr>
    </w:p>
    <w:p w14:paraId="44697027" w14:textId="0003857C" w:rsidR="00F935C7" w:rsidRDefault="00F935C7" w:rsidP="004C34BB">
      <w:pPr>
        <w:pStyle w:val="ListParagraph"/>
        <w:numPr>
          <w:ilvl w:val="2"/>
          <w:numId w:val="14"/>
        </w:numPr>
        <w:ind w:left="0" w:firstLine="0"/>
        <w:jc w:val="both"/>
        <w:rPr>
          <w:rFonts w:ascii="Calibri" w:hAnsi="Calibri" w:cs="Calibri"/>
        </w:rPr>
      </w:pPr>
      <w:r w:rsidRPr="00863252">
        <w:rPr>
          <w:rFonts w:ascii="Calibri" w:hAnsi="Calibri" w:cs="Calibri"/>
        </w:rPr>
        <w:t>After three days, wash twice cells with 0.9% NaCl solution to remove medium containing PMA.</w:t>
      </w:r>
    </w:p>
    <w:p w14:paraId="22248F09" w14:textId="77777777" w:rsidR="00957B11" w:rsidRPr="00863252" w:rsidRDefault="00957B11" w:rsidP="004C34BB">
      <w:pPr>
        <w:pStyle w:val="ListParagraph"/>
        <w:ind w:left="0"/>
        <w:jc w:val="both"/>
        <w:rPr>
          <w:rFonts w:ascii="Calibri" w:hAnsi="Calibri" w:cs="Calibri"/>
        </w:rPr>
      </w:pPr>
    </w:p>
    <w:p w14:paraId="1C005D4A" w14:textId="74C52AE8" w:rsidR="00F935C7" w:rsidRDefault="00957B11" w:rsidP="004C34BB">
      <w:pPr>
        <w:pStyle w:val="ListParagraph"/>
        <w:numPr>
          <w:ilvl w:val="2"/>
          <w:numId w:val="14"/>
        </w:numPr>
        <w:ind w:left="0" w:firstLine="0"/>
        <w:jc w:val="both"/>
        <w:rPr>
          <w:rFonts w:ascii="Calibri" w:hAnsi="Calibri" w:cs="Calibri"/>
        </w:rPr>
      </w:pPr>
      <w:r>
        <w:rPr>
          <w:rFonts w:ascii="Calibri" w:hAnsi="Calibri" w:cs="Calibri"/>
        </w:rPr>
        <w:t>I</w:t>
      </w:r>
      <w:r w:rsidR="00F935C7" w:rsidRPr="00863252">
        <w:rPr>
          <w:rFonts w:ascii="Calibri" w:hAnsi="Calibri" w:cs="Calibri"/>
        </w:rPr>
        <w:t>ncubate differentiated THP-1 cells in PMA-free complete RPMI medium at 37 °C under 5% CO</w:t>
      </w:r>
      <w:r w:rsidR="00F935C7" w:rsidRPr="00863252">
        <w:rPr>
          <w:rFonts w:ascii="Calibri" w:hAnsi="Calibri" w:cs="Calibri"/>
          <w:vertAlign w:val="subscript"/>
        </w:rPr>
        <w:t>2</w:t>
      </w:r>
      <w:r w:rsidR="00F935C7" w:rsidRPr="00863252">
        <w:rPr>
          <w:rFonts w:ascii="Calibri" w:hAnsi="Calibri" w:cs="Calibri"/>
        </w:rPr>
        <w:t xml:space="preserve"> for an additional 2 days before starting experimentation.</w:t>
      </w:r>
    </w:p>
    <w:p w14:paraId="533A9DB6" w14:textId="77777777" w:rsidR="00957B11" w:rsidRPr="00863252" w:rsidRDefault="00957B11" w:rsidP="004C34BB">
      <w:pPr>
        <w:pStyle w:val="ListParagraph"/>
        <w:ind w:left="0"/>
        <w:jc w:val="both"/>
        <w:rPr>
          <w:rFonts w:ascii="Calibri" w:hAnsi="Calibri" w:cs="Calibri"/>
        </w:rPr>
      </w:pPr>
    </w:p>
    <w:p w14:paraId="5507A08C" w14:textId="68855453" w:rsidR="00F935C7" w:rsidRDefault="00F935C7" w:rsidP="004C34BB">
      <w:pPr>
        <w:pStyle w:val="NormalWeb"/>
        <w:numPr>
          <w:ilvl w:val="0"/>
          <w:numId w:val="13"/>
        </w:numPr>
        <w:spacing w:before="0" w:beforeAutospacing="0" w:after="0" w:afterAutospacing="0"/>
        <w:ind w:left="0" w:firstLine="0"/>
        <w:contextualSpacing/>
        <w:jc w:val="both"/>
        <w:rPr>
          <w:rFonts w:ascii="Calibri" w:hAnsi="Calibri" w:cs="Calibri"/>
          <w:b/>
          <w:bCs/>
        </w:rPr>
      </w:pPr>
      <w:r w:rsidRPr="00863252">
        <w:rPr>
          <w:rFonts w:ascii="Calibri" w:hAnsi="Calibri" w:cs="Calibri"/>
          <w:b/>
          <w:bCs/>
        </w:rPr>
        <w:t>Parasite cultures and CellTracker Red staining</w:t>
      </w:r>
    </w:p>
    <w:p w14:paraId="5E00E72A" w14:textId="77777777" w:rsidR="00957B11" w:rsidRPr="00863252" w:rsidRDefault="00957B11" w:rsidP="004C34BB">
      <w:pPr>
        <w:pStyle w:val="NormalWeb"/>
        <w:spacing w:before="0" w:beforeAutospacing="0" w:after="0" w:afterAutospacing="0"/>
        <w:contextualSpacing/>
        <w:jc w:val="both"/>
        <w:rPr>
          <w:rFonts w:ascii="Calibri" w:hAnsi="Calibri" w:cs="Calibri"/>
          <w:b/>
          <w:bCs/>
        </w:rPr>
      </w:pPr>
    </w:p>
    <w:p w14:paraId="06B597B4" w14:textId="408FD5BE" w:rsidR="00957B11" w:rsidRPr="00957B11" w:rsidRDefault="00F935C7" w:rsidP="004C34BB">
      <w:pPr>
        <w:pStyle w:val="ListParagraph"/>
        <w:ind w:left="0"/>
        <w:jc w:val="both"/>
        <w:rPr>
          <w:rFonts w:ascii="Calibri" w:hAnsi="Calibri" w:cs="Calibri"/>
        </w:rPr>
      </w:pPr>
      <w:r w:rsidRPr="00863252">
        <w:rPr>
          <w:rFonts w:ascii="Calibri" w:hAnsi="Calibri" w:cs="Calibri"/>
        </w:rPr>
        <w:t xml:space="preserve">NOTE: To visualize parasites through fluorescence microscopy, perform staining using CellTracker Red fluorescent dye </w:t>
      </w:r>
      <w:r w:rsidR="004C34BB" w:rsidRPr="004C34BB">
        <w:rPr>
          <w:rFonts w:ascii="Calibri" w:hAnsi="Calibri" w:cs="Calibri"/>
        </w:rPr>
        <w:t>(</w:t>
      </w:r>
      <w:r w:rsidRPr="00863252">
        <w:rPr>
          <w:rFonts w:ascii="Calibri" w:hAnsi="Calibri" w:cs="Calibri"/>
        </w:rPr>
        <w:t>CMTPX</w:t>
      </w:r>
      <w:r w:rsidR="004C34BB" w:rsidRPr="004C34BB">
        <w:rPr>
          <w:rFonts w:ascii="Calibri" w:hAnsi="Calibri" w:cs="Calibri"/>
        </w:rPr>
        <w:t>)</w:t>
      </w:r>
      <w:r w:rsidRPr="00863252">
        <w:rPr>
          <w:rFonts w:ascii="Calibri" w:hAnsi="Calibri" w:cs="Calibri"/>
        </w:rPr>
        <w:t>. Alternatively, other markers, including carboxyfluorescein</w:t>
      </w:r>
      <w:r w:rsidRPr="00863252" w:rsidDel="00164C5E">
        <w:rPr>
          <w:rFonts w:ascii="Calibri" w:hAnsi="Calibri" w:cs="Calibri"/>
        </w:rPr>
        <w:t xml:space="preserve"> </w:t>
      </w:r>
      <w:r w:rsidRPr="00863252">
        <w:rPr>
          <w:rFonts w:ascii="Calibri" w:hAnsi="Calibri" w:cs="Calibri"/>
        </w:rPr>
        <w:t>can be used in accordance with manufacturer instructions or promastigotes constitutively expressing GFP, RFP, or other fluorescent reporter genes.</w:t>
      </w:r>
      <w:r w:rsidR="00957B11">
        <w:rPr>
          <w:rFonts w:ascii="Calibri" w:hAnsi="Calibri" w:cs="Calibri"/>
        </w:rPr>
        <w:t xml:space="preserve"> </w:t>
      </w:r>
      <w:r w:rsidRPr="00863252">
        <w:rPr>
          <w:rFonts w:ascii="Calibri" w:eastAsia="Calibri" w:hAnsi="Calibri" w:cs="Calibri"/>
        </w:rPr>
        <w:t>Parasites used to infect cells are those at stationary phase of growth obtained from a promastigote axenic culture</w:t>
      </w:r>
      <w:r w:rsidRPr="00863252">
        <w:rPr>
          <w:rFonts w:ascii="Calibri" w:hAnsi="Calibri" w:cs="Calibri"/>
          <w:lang w:eastAsia="pt-BR"/>
        </w:rPr>
        <w:t xml:space="preserve"> of no more than 7 passages</w:t>
      </w:r>
      <w:r w:rsidRPr="00863252">
        <w:rPr>
          <w:rFonts w:ascii="Calibri" w:eastAsia="Calibri" w:hAnsi="Calibri" w:cs="Calibri"/>
        </w:rPr>
        <w:t xml:space="preserve">. </w:t>
      </w:r>
    </w:p>
    <w:p w14:paraId="213EFFFE" w14:textId="77777777" w:rsidR="00957B11" w:rsidRPr="00863252" w:rsidRDefault="00957B11" w:rsidP="004C34BB">
      <w:pPr>
        <w:pStyle w:val="NormalWeb"/>
        <w:spacing w:before="0" w:beforeAutospacing="0" w:after="0" w:afterAutospacing="0"/>
        <w:contextualSpacing/>
        <w:jc w:val="both"/>
        <w:rPr>
          <w:rFonts w:ascii="Calibri" w:eastAsia="Calibri" w:hAnsi="Calibri" w:cs="Calibri"/>
        </w:rPr>
      </w:pPr>
    </w:p>
    <w:p w14:paraId="73BE2015" w14:textId="439ECD4B" w:rsidR="00F935C7"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rPr>
      </w:pPr>
      <w:r w:rsidRPr="00863252">
        <w:rPr>
          <w:rFonts w:ascii="Calibri" w:hAnsi="Calibri" w:cs="Calibri"/>
          <w:lang w:eastAsia="pt-BR"/>
        </w:rPr>
        <w:t xml:space="preserve">Grow </w:t>
      </w:r>
      <w:r w:rsidRPr="00863252">
        <w:rPr>
          <w:rFonts w:ascii="Calibri" w:hAnsi="Calibri" w:cs="Calibri"/>
          <w:i/>
          <w:iCs/>
          <w:lang w:eastAsia="pt-BR"/>
        </w:rPr>
        <w:t xml:space="preserve">Leishmania </w:t>
      </w:r>
      <w:r w:rsidRPr="00863252">
        <w:rPr>
          <w:rFonts w:ascii="Calibri" w:hAnsi="Calibri" w:cs="Calibri"/>
          <w:lang w:eastAsia="pt-BR"/>
        </w:rPr>
        <w:t>spp</w:t>
      </w:r>
      <w:r w:rsidRPr="00863252">
        <w:rPr>
          <w:rFonts w:ascii="Calibri" w:hAnsi="Calibri" w:cs="Calibri"/>
          <w:i/>
          <w:iCs/>
          <w:lang w:eastAsia="pt-BR"/>
        </w:rPr>
        <w:t xml:space="preserve">. </w:t>
      </w:r>
      <w:r w:rsidRPr="00863252">
        <w:rPr>
          <w:rFonts w:ascii="Calibri" w:hAnsi="Calibri" w:cs="Calibri"/>
        </w:rPr>
        <w:t>p</w:t>
      </w:r>
      <w:r w:rsidRPr="00863252">
        <w:rPr>
          <w:rFonts w:ascii="Calibri" w:hAnsi="Calibri" w:cs="Calibri"/>
          <w:lang w:eastAsia="pt-BR"/>
        </w:rPr>
        <w:t>romastigotes at 1</w:t>
      </w:r>
      <w:r w:rsidR="00957B11">
        <w:rPr>
          <w:rFonts w:ascii="Calibri" w:eastAsia="Calibri" w:hAnsi="Calibri" w:cs="Calibri"/>
        </w:rPr>
        <w:t xml:space="preserve"> x </w:t>
      </w:r>
      <w:r w:rsidRPr="00863252">
        <w:rPr>
          <w:rFonts w:ascii="Calibri" w:hAnsi="Calibri" w:cs="Calibri"/>
          <w:lang w:eastAsia="pt-BR"/>
        </w:rPr>
        <w:t>10</w:t>
      </w:r>
      <w:r w:rsidRPr="00863252">
        <w:rPr>
          <w:rFonts w:ascii="Calibri" w:hAnsi="Calibri" w:cs="Calibri"/>
          <w:vertAlign w:val="superscript"/>
          <w:lang w:eastAsia="pt-BR"/>
        </w:rPr>
        <w:t xml:space="preserve">5 </w:t>
      </w:r>
      <w:r w:rsidRPr="00863252">
        <w:rPr>
          <w:rFonts w:ascii="Calibri" w:hAnsi="Calibri" w:cs="Calibri"/>
          <w:lang w:eastAsia="pt-BR"/>
        </w:rPr>
        <w:t xml:space="preserve">parasites per 1,000 </w:t>
      </w:r>
      <w:r w:rsidRPr="00863252">
        <w:rPr>
          <w:rFonts w:ascii="Calibri" w:hAnsi="Calibri" w:cs="Calibri"/>
        </w:rPr>
        <w:sym w:font="Symbol" w:char="F06D"/>
      </w:r>
      <w:r w:rsidRPr="00863252">
        <w:rPr>
          <w:rFonts w:ascii="Calibri" w:hAnsi="Calibri" w:cs="Calibri"/>
        </w:rPr>
        <w:t>L of medium</w:t>
      </w:r>
      <w:r w:rsidRPr="00863252">
        <w:rPr>
          <w:rFonts w:ascii="Calibri" w:hAnsi="Calibri" w:cs="Calibri"/>
          <w:lang w:eastAsia="pt-BR"/>
        </w:rPr>
        <w:t xml:space="preserve"> in a cell culture flask containing 5 mL of Schneider's medium supplemented with 50 </w:t>
      </w:r>
      <w:r w:rsidRPr="00863252">
        <w:rPr>
          <w:rFonts w:ascii="Calibri" w:hAnsi="Calibri" w:cs="Calibri"/>
          <w:lang w:eastAsia="pt-BR"/>
        </w:rPr>
        <w:sym w:font="Symbol" w:char="F06D"/>
      </w:r>
      <w:r w:rsidRPr="00863252">
        <w:rPr>
          <w:rFonts w:ascii="Calibri" w:hAnsi="Calibri" w:cs="Calibri"/>
          <w:lang w:eastAsia="pt-BR"/>
        </w:rPr>
        <w:t xml:space="preserve">g/mL gentamicin and 10% </w:t>
      </w:r>
      <w:r w:rsidRPr="00863252">
        <w:rPr>
          <w:rFonts w:ascii="Calibri" w:eastAsia="Calibri" w:hAnsi="Calibri" w:cs="Calibri"/>
        </w:rPr>
        <w:t>FBS.</w:t>
      </w:r>
    </w:p>
    <w:p w14:paraId="28EAEE32" w14:textId="77777777" w:rsidR="00957B11" w:rsidRPr="00863252" w:rsidRDefault="00957B11" w:rsidP="004C34BB">
      <w:pPr>
        <w:pStyle w:val="NormalWeb"/>
        <w:spacing w:before="0" w:beforeAutospacing="0" w:after="0" w:afterAutospacing="0"/>
        <w:contextualSpacing/>
        <w:jc w:val="both"/>
        <w:rPr>
          <w:rFonts w:ascii="Calibri" w:eastAsia="Calibri" w:hAnsi="Calibri" w:cs="Calibri"/>
        </w:rPr>
      </w:pPr>
    </w:p>
    <w:p w14:paraId="5FE1B1C0" w14:textId="5AA033E9" w:rsidR="00F935C7"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rPr>
      </w:pPr>
      <w:r w:rsidRPr="00863252">
        <w:rPr>
          <w:rFonts w:ascii="Calibri" w:eastAsia="Calibri" w:hAnsi="Calibri" w:cs="Calibri"/>
        </w:rPr>
        <w:t xml:space="preserve">After incubating parasite axenic cultures in a biochemical oxygen demand </w:t>
      </w:r>
      <w:r w:rsidR="004C34BB" w:rsidRPr="004C34BB">
        <w:rPr>
          <w:rFonts w:ascii="Calibri" w:eastAsia="Calibri" w:hAnsi="Calibri" w:cs="Calibri"/>
        </w:rPr>
        <w:t>(</w:t>
      </w:r>
      <w:r w:rsidRPr="00863252">
        <w:rPr>
          <w:rFonts w:ascii="Calibri" w:eastAsia="Calibri" w:hAnsi="Calibri" w:cs="Calibri"/>
        </w:rPr>
        <w:t>B.O.D.</w:t>
      </w:r>
      <w:r w:rsidR="004C34BB" w:rsidRPr="004C34BB">
        <w:rPr>
          <w:rFonts w:ascii="Calibri" w:eastAsia="Calibri" w:hAnsi="Calibri" w:cs="Calibri"/>
        </w:rPr>
        <w:t>)</w:t>
      </w:r>
      <w:r w:rsidRPr="00863252">
        <w:rPr>
          <w:rFonts w:ascii="Calibri" w:eastAsia="Calibri" w:hAnsi="Calibri" w:cs="Calibri"/>
        </w:rPr>
        <w:t xml:space="preserve"> </w:t>
      </w:r>
      <w:r w:rsidR="00A431D7">
        <w:rPr>
          <w:rFonts w:ascii="Calibri" w:eastAsia="Calibri" w:hAnsi="Calibri" w:cs="Calibri"/>
        </w:rPr>
        <w:t xml:space="preserve">at </w:t>
      </w:r>
      <w:r w:rsidRPr="00863252">
        <w:rPr>
          <w:rFonts w:ascii="Calibri" w:eastAsia="Calibri" w:hAnsi="Calibri" w:cs="Calibri"/>
        </w:rPr>
        <w:t xml:space="preserve">24 </w:t>
      </w:r>
      <w:r w:rsidR="00957B11">
        <w:rPr>
          <w:rFonts w:ascii="Calibri" w:eastAsia="Calibri" w:hAnsi="Calibri" w:cs="Calibri"/>
        </w:rPr>
        <w:t>°</w:t>
      </w:r>
      <w:r w:rsidRPr="00863252">
        <w:rPr>
          <w:rFonts w:ascii="Calibri" w:eastAsia="Calibri" w:hAnsi="Calibri" w:cs="Calibri"/>
        </w:rPr>
        <w:t>C, perform daily counting in a Neubauer chamber</w:t>
      </w:r>
      <w:r w:rsidR="00A431D7">
        <w:rPr>
          <w:rFonts w:ascii="Calibri" w:eastAsia="Calibri" w:hAnsi="Calibri" w:cs="Calibri"/>
        </w:rPr>
        <w:t>. C</w:t>
      </w:r>
      <w:r w:rsidRPr="00863252">
        <w:rPr>
          <w:rFonts w:ascii="Calibri" w:eastAsia="Calibri" w:hAnsi="Calibri" w:cs="Calibri"/>
        </w:rPr>
        <w:t>heck</w:t>
      </w:r>
      <w:r w:rsidR="00A431D7">
        <w:rPr>
          <w:rFonts w:ascii="Calibri" w:eastAsia="Calibri" w:hAnsi="Calibri" w:cs="Calibri"/>
        </w:rPr>
        <w:t xml:space="preserve"> </w:t>
      </w:r>
      <w:r w:rsidRPr="00863252">
        <w:rPr>
          <w:rFonts w:ascii="Calibri" w:eastAsia="Calibri" w:hAnsi="Calibri" w:cs="Calibri"/>
        </w:rPr>
        <w:t xml:space="preserve">for parasite form </w:t>
      </w:r>
      <w:r w:rsidR="004C34BB" w:rsidRPr="004C34BB">
        <w:rPr>
          <w:rFonts w:ascii="Calibri" w:eastAsia="Calibri" w:hAnsi="Calibri" w:cs="Calibri"/>
        </w:rPr>
        <w:t>(</w:t>
      </w:r>
      <w:r w:rsidRPr="00863252">
        <w:rPr>
          <w:rFonts w:ascii="Calibri" w:eastAsia="Calibri" w:hAnsi="Calibri" w:cs="Calibri"/>
        </w:rPr>
        <w:t>thin, elongated</w:t>
      </w:r>
      <w:r w:rsidR="004C34BB" w:rsidRPr="004C34BB">
        <w:rPr>
          <w:rFonts w:ascii="Calibri" w:eastAsia="Calibri" w:hAnsi="Calibri" w:cs="Calibri"/>
        </w:rPr>
        <w:t>)</w:t>
      </w:r>
      <w:r w:rsidRPr="00863252">
        <w:rPr>
          <w:rFonts w:ascii="Calibri" w:eastAsia="Calibri" w:hAnsi="Calibri" w:cs="Calibri"/>
        </w:rPr>
        <w:t xml:space="preserve"> and </w:t>
      </w:r>
      <w:r w:rsidRPr="00863252">
        <w:rPr>
          <w:rFonts w:ascii="Calibri" w:eastAsia="Calibri" w:hAnsi="Calibri" w:cs="Calibri"/>
        </w:rPr>
        <w:lastRenderedPageBreak/>
        <w:t xml:space="preserve">mobility </w:t>
      </w:r>
      <w:r w:rsidR="00A431D7" w:rsidRPr="00863252">
        <w:rPr>
          <w:rFonts w:ascii="Calibri" w:eastAsia="Calibri" w:hAnsi="Calibri" w:cs="Calibri"/>
        </w:rPr>
        <w:t>for</w:t>
      </w:r>
      <w:r w:rsidRPr="00863252">
        <w:rPr>
          <w:rFonts w:ascii="Calibri" w:eastAsia="Calibri" w:hAnsi="Calibri" w:cs="Calibri"/>
        </w:rPr>
        <w:t xml:space="preserve"> 5 days. Parasites are considered in stationary phase of growth when two consecutive counts with 8 hours of interval display similar amounts. </w:t>
      </w:r>
    </w:p>
    <w:p w14:paraId="28AE1CFB" w14:textId="77777777" w:rsidR="00957B11" w:rsidRPr="00863252" w:rsidRDefault="00957B11" w:rsidP="004C34BB">
      <w:pPr>
        <w:pStyle w:val="NormalWeb"/>
        <w:spacing w:before="0" w:beforeAutospacing="0" w:after="0" w:afterAutospacing="0"/>
        <w:contextualSpacing/>
        <w:jc w:val="both"/>
        <w:rPr>
          <w:rFonts w:ascii="Calibri" w:eastAsia="Calibri" w:hAnsi="Calibri" w:cs="Calibri"/>
        </w:rPr>
      </w:pPr>
    </w:p>
    <w:p w14:paraId="706CF0C8" w14:textId="3FC785F7" w:rsidR="00F935C7" w:rsidRDefault="00F935C7" w:rsidP="004C34BB">
      <w:pPr>
        <w:pStyle w:val="NormalWeb"/>
        <w:numPr>
          <w:ilvl w:val="1"/>
          <w:numId w:val="13"/>
        </w:numPr>
        <w:spacing w:before="0" w:beforeAutospacing="0" w:after="0" w:afterAutospacing="0"/>
        <w:ind w:left="0" w:firstLine="0"/>
        <w:contextualSpacing/>
        <w:jc w:val="both"/>
        <w:rPr>
          <w:rFonts w:ascii="Calibri" w:hAnsi="Calibri" w:cs="Calibri"/>
        </w:rPr>
      </w:pPr>
      <w:r w:rsidRPr="00863252">
        <w:rPr>
          <w:rFonts w:ascii="Calibri" w:hAnsi="Calibri" w:cs="Calibri"/>
        </w:rPr>
        <w:t>Upon reaching the stationary phase</w:t>
      </w:r>
      <w:r w:rsidRPr="00863252">
        <w:rPr>
          <w:rFonts w:ascii="Calibri" w:hAnsi="Calibri" w:cs="Calibri"/>
          <w:lang w:eastAsia="pt-BR"/>
        </w:rPr>
        <w:t xml:space="preserve"> of growth</w:t>
      </w:r>
      <w:r w:rsidRPr="00863252">
        <w:rPr>
          <w:rFonts w:ascii="Calibri" w:hAnsi="Calibri" w:cs="Calibri"/>
        </w:rPr>
        <w:t xml:space="preserve">, incubate the parasites in 4 mL of 0.9% NaCl solution with 1 </w:t>
      </w:r>
      <w:r w:rsidRPr="00863252">
        <w:rPr>
          <w:rFonts w:ascii="Calibri" w:hAnsi="Calibri" w:cs="Calibri"/>
        </w:rPr>
        <w:sym w:font="Symbol" w:char="F06D"/>
      </w:r>
      <w:r w:rsidRPr="00863252">
        <w:rPr>
          <w:rFonts w:ascii="Calibri" w:hAnsi="Calibri" w:cs="Calibri"/>
        </w:rPr>
        <w:t xml:space="preserve">M CMTPX for 15 min at 37 </w:t>
      </w:r>
      <w:r w:rsidR="00A431D7">
        <w:rPr>
          <w:rFonts w:ascii="Calibri" w:eastAsia="Calibri" w:hAnsi="Calibri" w:cs="Calibri"/>
        </w:rPr>
        <w:t>°</w:t>
      </w:r>
      <w:r w:rsidRPr="00863252">
        <w:rPr>
          <w:rFonts w:ascii="Calibri" w:eastAsia="Calibri" w:hAnsi="Calibri" w:cs="Calibri"/>
        </w:rPr>
        <w:t>C</w:t>
      </w:r>
      <w:r w:rsidRPr="00863252">
        <w:rPr>
          <w:rFonts w:ascii="Calibri" w:hAnsi="Calibri" w:cs="Calibri"/>
        </w:rPr>
        <w:t xml:space="preserve"> under 5% CO</w:t>
      </w:r>
      <w:r w:rsidRPr="00863252">
        <w:rPr>
          <w:rFonts w:ascii="Calibri" w:hAnsi="Calibri" w:cs="Calibri"/>
          <w:vertAlign w:val="subscript"/>
        </w:rPr>
        <w:t>2</w:t>
      </w:r>
      <w:r w:rsidRPr="00863252">
        <w:rPr>
          <w:rFonts w:ascii="Calibri" w:hAnsi="Calibri" w:cs="Calibri"/>
        </w:rPr>
        <w:t xml:space="preserve"> avoiding contact with light.</w:t>
      </w:r>
    </w:p>
    <w:p w14:paraId="646B1E15" w14:textId="77777777" w:rsidR="00A431D7" w:rsidRPr="00863252" w:rsidRDefault="00A431D7" w:rsidP="004C34BB">
      <w:pPr>
        <w:pStyle w:val="NormalWeb"/>
        <w:spacing w:before="0" w:beforeAutospacing="0" w:after="0" w:afterAutospacing="0"/>
        <w:contextualSpacing/>
        <w:jc w:val="both"/>
        <w:rPr>
          <w:rFonts w:ascii="Calibri" w:hAnsi="Calibri" w:cs="Calibri"/>
        </w:rPr>
      </w:pPr>
    </w:p>
    <w:p w14:paraId="1E5E274A" w14:textId="7538B7F4" w:rsidR="00F935C7" w:rsidRDefault="00F935C7" w:rsidP="004C34BB">
      <w:pPr>
        <w:pStyle w:val="NormalWeb"/>
        <w:numPr>
          <w:ilvl w:val="1"/>
          <w:numId w:val="13"/>
        </w:numPr>
        <w:spacing w:before="0" w:beforeAutospacing="0" w:after="0" w:afterAutospacing="0"/>
        <w:ind w:left="0" w:firstLine="0"/>
        <w:contextualSpacing/>
        <w:jc w:val="both"/>
        <w:rPr>
          <w:rFonts w:ascii="Calibri" w:hAnsi="Calibri" w:cs="Calibri"/>
        </w:rPr>
      </w:pPr>
      <w:r w:rsidRPr="00863252">
        <w:rPr>
          <w:rFonts w:ascii="Calibri" w:hAnsi="Calibri" w:cs="Calibri"/>
        </w:rPr>
        <w:t>Add FBS at a 1:1 proportion and incubate parasite suspension for an additional 1 min.</w:t>
      </w:r>
    </w:p>
    <w:p w14:paraId="1BF5F584" w14:textId="77777777" w:rsidR="00A431D7" w:rsidRPr="00863252" w:rsidRDefault="00A431D7" w:rsidP="004C34BB">
      <w:pPr>
        <w:pStyle w:val="NormalWeb"/>
        <w:spacing w:before="0" w:beforeAutospacing="0" w:after="0" w:afterAutospacing="0"/>
        <w:contextualSpacing/>
        <w:jc w:val="both"/>
        <w:rPr>
          <w:rFonts w:ascii="Calibri" w:hAnsi="Calibri" w:cs="Calibri"/>
        </w:rPr>
      </w:pPr>
    </w:p>
    <w:p w14:paraId="1D15F476" w14:textId="129FAC52" w:rsidR="00F935C7" w:rsidRDefault="00F935C7" w:rsidP="004C34BB">
      <w:pPr>
        <w:pStyle w:val="NormalWeb"/>
        <w:numPr>
          <w:ilvl w:val="1"/>
          <w:numId w:val="13"/>
        </w:numPr>
        <w:spacing w:before="0" w:beforeAutospacing="0" w:after="0" w:afterAutospacing="0"/>
        <w:ind w:left="0" w:firstLine="0"/>
        <w:contextualSpacing/>
        <w:jc w:val="both"/>
        <w:rPr>
          <w:rFonts w:ascii="Calibri" w:hAnsi="Calibri" w:cs="Calibri"/>
        </w:rPr>
      </w:pPr>
      <w:r w:rsidRPr="00863252">
        <w:rPr>
          <w:rFonts w:ascii="Calibri" w:hAnsi="Calibri" w:cs="Calibri"/>
        </w:rPr>
        <w:t xml:space="preserve">Wash parasites thrice with PBS, followed by centrifugation at 1,781 </w:t>
      </w:r>
      <w:r w:rsidRPr="00863252">
        <w:rPr>
          <w:rFonts w:ascii="Calibri" w:eastAsia="Calibri" w:hAnsi="Calibri" w:cs="Calibri"/>
        </w:rPr>
        <w:t xml:space="preserve">× </w:t>
      </w:r>
      <w:r w:rsidRPr="00863252">
        <w:rPr>
          <w:rFonts w:ascii="Calibri" w:hAnsi="Calibri" w:cs="Calibri"/>
        </w:rPr>
        <w:t>g for 10 min.</w:t>
      </w:r>
    </w:p>
    <w:p w14:paraId="12A2931E" w14:textId="77777777" w:rsidR="00A431D7" w:rsidRPr="00863252" w:rsidRDefault="00A431D7" w:rsidP="004C34BB">
      <w:pPr>
        <w:pStyle w:val="NormalWeb"/>
        <w:spacing w:before="0" w:beforeAutospacing="0" w:after="0" w:afterAutospacing="0"/>
        <w:contextualSpacing/>
        <w:jc w:val="both"/>
        <w:rPr>
          <w:rFonts w:ascii="Calibri" w:hAnsi="Calibri" w:cs="Calibri"/>
        </w:rPr>
      </w:pPr>
    </w:p>
    <w:p w14:paraId="6E501DA5" w14:textId="63D6C7F7" w:rsidR="00F935C7" w:rsidRDefault="00F935C7" w:rsidP="004C34BB">
      <w:pPr>
        <w:pStyle w:val="ListParagraph"/>
        <w:numPr>
          <w:ilvl w:val="1"/>
          <w:numId w:val="13"/>
        </w:numPr>
        <w:ind w:left="0" w:firstLine="0"/>
        <w:jc w:val="both"/>
        <w:rPr>
          <w:rFonts w:ascii="Calibri" w:hAnsi="Calibri" w:cs="Calibri"/>
        </w:rPr>
      </w:pPr>
      <w:r w:rsidRPr="00863252">
        <w:rPr>
          <w:rFonts w:ascii="Calibri" w:hAnsi="Calibri" w:cs="Calibri"/>
        </w:rPr>
        <w:t xml:space="preserve">Ressuspend parasite pellet in 1,000 </w:t>
      </w:r>
      <w:r w:rsidRPr="00863252">
        <w:rPr>
          <w:rFonts w:ascii="Calibri" w:hAnsi="Calibri" w:cs="Calibri"/>
        </w:rPr>
        <w:sym w:font="Symbol" w:char="F06D"/>
      </w:r>
      <w:r w:rsidRPr="00863252">
        <w:rPr>
          <w:rFonts w:ascii="Calibri" w:hAnsi="Calibri" w:cs="Calibri"/>
        </w:rPr>
        <w:t xml:space="preserve">L of </w:t>
      </w:r>
      <w:r w:rsidRPr="00863252">
        <w:rPr>
          <w:rFonts w:ascii="Calibri" w:hAnsi="Calibri" w:cs="Calibri"/>
          <w:lang w:eastAsia="pt-BR"/>
        </w:rPr>
        <w:t>RPMI complete medium.</w:t>
      </w:r>
    </w:p>
    <w:p w14:paraId="41C24D31" w14:textId="77777777" w:rsidR="00A431D7" w:rsidRPr="00863252" w:rsidRDefault="00A431D7" w:rsidP="004C34BB">
      <w:pPr>
        <w:pStyle w:val="ListParagraph"/>
        <w:ind w:left="0"/>
        <w:jc w:val="both"/>
        <w:rPr>
          <w:rFonts w:ascii="Calibri" w:hAnsi="Calibri" w:cs="Calibri"/>
        </w:rPr>
      </w:pPr>
    </w:p>
    <w:p w14:paraId="128E276C" w14:textId="77777777" w:rsidR="00F935C7" w:rsidRPr="00863252" w:rsidRDefault="00F935C7" w:rsidP="004C34BB">
      <w:pPr>
        <w:pStyle w:val="ListParagraph"/>
        <w:numPr>
          <w:ilvl w:val="1"/>
          <w:numId w:val="13"/>
        </w:numPr>
        <w:ind w:left="0" w:firstLine="0"/>
        <w:jc w:val="both"/>
        <w:rPr>
          <w:rFonts w:ascii="Calibri" w:hAnsi="Calibri" w:cs="Calibri"/>
        </w:rPr>
      </w:pPr>
      <w:r w:rsidRPr="00863252">
        <w:rPr>
          <w:rFonts w:ascii="Calibri" w:hAnsi="Calibri" w:cs="Calibri"/>
        </w:rPr>
        <w:t>Count parasites in a Neubauer chamber.</w:t>
      </w:r>
    </w:p>
    <w:p w14:paraId="5EF26A40" w14:textId="24E9D598" w:rsidR="00F935C7" w:rsidRPr="00863252" w:rsidRDefault="00F935C7" w:rsidP="004C34BB">
      <w:pPr>
        <w:pStyle w:val="ListParagraph"/>
        <w:ind w:left="0"/>
        <w:jc w:val="both"/>
        <w:rPr>
          <w:rFonts w:ascii="Calibri" w:hAnsi="Calibri" w:cs="Calibri"/>
        </w:rPr>
      </w:pPr>
      <w:r w:rsidRPr="00863252">
        <w:rPr>
          <w:rFonts w:ascii="Calibri" w:hAnsi="Calibri" w:cs="Calibri"/>
        </w:rPr>
        <w:t xml:space="preserve"> </w:t>
      </w:r>
    </w:p>
    <w:p w14:paraId="14E2F231" w14:textId="7EF42ED2" w:rsidR="00F935C7" w:rsidRDefault="00F935C7" w:rsidP="004C34BB">
      <w:pPr>
        <w:pStyle w:val="ListParagraph"/>
        <w:numPr>
          <w:ilvl w:val="0"/>
          <w:numId w:val="13"/>
        </w:numPr>
        <w:ind w:left="0" w:firstLine="0"/>
        <w:jc w:val="both"/>
        <w:rPr>
          <w:rFonts w:ascii="Calibri" w:hAnsi="Calibri" w:cs="Calibri"/>
          <w:b/>
          <w:bCs/>
        </w:rPr>
      </w:pPr>
      <w:r w:rsidRPr="00863252">
        <w:rPr>
          <w:rFonts w:ascii="Calibri" w:hAnsi="Calibri" w:cs="Calibri"/>
          <w:b/>
          <w:bCs/>
        </w:rPr>
        <w:t xml:space="preserve">Assessment of </w:t>
      </w:r>
      <w:r w:rsidRPr="00863252">
        <w:rPr>
          <w:rFonts w:ascii="Calibri" w:hAnsi="Calibri" w:cs="Calibri"/>
          <w:b/>
          <w:bCs/>
          <w:i/>
          <w:iCs/>
        </w:rPr>
        <w:t>Leishmania</w:t>
      </w:r>
      <w:r w:rsidRPr="00863252">
        <w:rPr>
          <w:rFonts w:ascii="Calibri" w:hAnsi="Calibri" w:cs="Calibri"/>
          <w:b/>
          <w:bCs/>
        </w:rPr>
        <w:t xml:space="preserve"> binding to macrophages</w:t>
      </w:r>
    </w:p>
    <w:p w14:paraId="78B53768" w14:textId="77777777" w:rsidR="00A431D7" w:rsidRPr="00863252" w:rsidRDefault="00A431D7" w:rsidP="004C34BB">
      <w:pPr>
        <w:pStyle w:val="ListParagraph"/>
        <w:ind w:left="0"/>
        <w:jc w:val="both"/>
        <w:rPr>
          <w:rFonts w:ascii="Calibri" w:hAnsi="Calibri" w:cs="Calibri"/>
          <w:b/>
          <w:bCs/>
        </w:rPr>
      </w:pPr>
    </w:p>
    <w:p w14:paraId="61720C94" w14:textId="1A69B73F" w:rsidR="00F935C7"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rPr>
      </w:pPr>
      <w:r w:rsidRPr="00863252">
        <w:rPr>
          <w:rFonts w:ascii="Calibri" w:eastAsia="Calibri" w:hAnsi="Calibri" w:cs="Calibri"/>
        </w:rPr>
        <w:t>Seed 2 × 10</w:t>
      </w:r>
      <w:r w:rsidRPr="00863252">
        <w:rPr>
          <w:rFonts w:ascii="Calibri" w:eastAsia="Calibri" w:hAnsi="Calibri" w:cs="Calibri"/>
          <w:vertAlign w:val="superscript"/>
        </w:rPr>
        <w:t>5</w:t>
      </w:r>
      <w:r w:rsidRPr="00863252">
        <w:rPr>
          <w:rFonts w:ascii="Calibri" w:eastAsia="Calibri" w:hAnsi="Calibri" w:cs="Calibri"/>
        </w:rPr>
        <w:t xml:space="preserve"> THP-1 cells or human monocyte-derived macrophages in 500 </w:t>
      </w:r>
      <w:r w:rsidRPr="00863252">
        <w:rPr>
          <w:rFonts w:ascii="Calibri" w:hAnsi="Calibri" w:cs="Calibri"/>
        </w:rPr>
        <w:sym w:font="Symbol" w:char="F06D"/>
      </w:r>
      <w:r w:rsidRPr="00863252">
        <w:rPr>
          <w:rFonts w:ascii="Calibri" w:hAnsi="Calibri" w:cs="Calibri"/>
        </w:rPr>
        <w:t>L</w:t>
      </w:r>
      <w:r w:rsidRPr="00863252">
        <w:rPr>
          <w:rFonts w:ascii="Calibri" w:eastAsia="Calibri" w:hAnsi="Calibri" w:cs="Calibri"/>
        </w:rPr>
        <w:t xml:space="preserve"> </w:t>
      </w:r>
      <w:r w:rsidR="0096001B">
        <w:rPr>
          <w:rFonts w:ascii="Calibri" w:eastAsia="Calibri" w:hAnsi="Calibri" w:cs="Calibri"/>
        </w:rPr>
        <w:t xml:space="preserve">of </w:t>
      </w:r>
      <w:r w:rsidRPr="00863252">
        <w:rPr>
          <w:rFonts w:ascii="Calibri" w:eastAsia="Calibri" w:hAnsi="Calibri" w:cs="Calibri"/>
        </w:rPr>
        <w:t>complete RPMI medium per well on a 24-well plate with 13 mm glass coverslips.</w:t>
      </w:r>
    </w:p>
    <w:p w14:paraId="09BA5717" w14:textId="77777777" w:rsidR="00A431D7" w:rsidRPr="00863252" w:rsidRDefault="00A431D7" w:rsidP="004C34BB">
      <w:pPr>
        <w:pStyle w:val="NormalWeb"/>
        <w:spacing w:before="0" w:beforeAutospacing="0" w:after="0" w:afterAutospacing="0"/>
        <w:contextualSpacing/>
        <w:jc w:val="both"/>
        <w:rPr>
          <w:rFonts w:ascii="Calibri" w:eastAsia="Calibri" w:hAnsi="Calibri" w:cs="Calibri"/>
        </w:rPr>
      </w:pPr>
    </w:p>
    <w:p w14:paraId="6F596E3E" w14:textId="75DF599D" w:rsidR="00F935C7" w:rsidRDefault="00F935C7" w:rsidP="004C34BB">
      <w:pPr>
        <w:pStyle w:val="ListParagraph"/>
        <w:numPr>
          <w:ilvl w:val="1"/>
          <w:numId w:val="13"/>
        </w:numPr>
        <w:ind w:left="0" w:firstLine="0"/>
        <w:jc w:val="both"/>
        <w:rPr>
          <w:rFonts w:ascii="Calibri" w:hAnsi="Calibri" w:cs="Calibri"/>
        </w:rPr>
      </w:pPr>
      <w:r w:rsidRPr="00863252">
        <w:rPr>
          <w:rFonts w:ascii="Calibri" w:hAnsi="Calibri" w:cs="Calibri"/>
        </w:rPr>
        <w:t>Cultivate cells at 37 °C under 5% CO</w:t>
      </w:r>
      <w:r w:rsidRPr="00863252">
        <w:rPr>
          <w:rFonts w:ascii="Calibri" w:hAnsi="Calibri" w:cs="Calibri"/>
          <w:vertAlign w:val="subscript"/>
        </w:rPr>
        <w:t>2</w:t>
      </w:r>
      <w:r w:rsidRPr="00863252">
        <w:rPr>
          <w:rFonts w:ascii="Calibri" w:hAnsi="Calibri" w:cs="Calibri"/>
        </w:rPr>
        <w:t xml:space="preserve"> for 24 h.</w:t>
      </w:r>
    </w:p>
    <w:p w14:paraId="147DCF0E" w14:textId="77777777" w:rsidR="00A431D7" w:rsidRPr="00863252" w:rsidRDefault="00A431D7" w:rsidP="004C34BB">
      <w:pPr>
        <w:pStyle w:val="ListParagraph"/>
        <w:ind w:left="0"/>
        <w:jc w:val="both"/>
        <w:rPr>
          <w:rFonts w:ascii="Calibri" w:hAnsi="Calibri" w:cs="Calibri"/>
        </w:rPr>
      </w:pPr>
    </w:p>
    <w:p w14:paraId="54E7309D" w14:textId="08BEFB77" w:rsidR="00F935C7" w:rsidRPr="00A431D7" w:rsidRDefault="00F935C7" w:rsidP="004C34BB">
      <w:pPr>
        <w:pStyle w:val="ListParagraph"/>
        <w:numPr>
          <w:ilvl w:val="1"/>
          <w:numId w:val="13"/>
        </w:numPr>
        <w:ind w:left="0" w:firstLine="0"/>
        <w:jc w:val="both"/>
        <w:rPr>
          <w:rFonts w:ascii="Calibri" w:hAnsi="Calibri" w:cs="Calibri"/>
        </w:rPr>
      </w:pPr>
      <w:r w:rsidRPr="00863252">
        <w:rPr>
          <w:rFonts w:ascii="Calibri" w:hAnsi="Calibri" w:cs="Calibri"/>
        </w:rPr>
        <w:t>Wash the cells twice with 0.9% NaCl solution and incubate in complete RPMI medium at 4</w:t>
      </w:r>
      <w:r w:rsidR="00A431D7">
        <w:rPr>
          <w:rFonts w:ascii="Calibri" w:eastAsia="Calibri" w:hAnsi="Calibri" w:cs="Calibri"/>
          <w:vertAlign w:val="superscript"/>
        </w:rPr>
        <w:t xml:space="preserve"> </w:t>
      </w:r>
      <w:r w:rsidR="00A431D7">
        <w:rPr>
          <w:rFonts w:ascii="Calibri" w:eastAsia="Calibri" w:hAnsi="Calibri" w:cs="Calibri"/>
        </w:rPr>
        <w:t>°</w:t>
      </w:r>
      <w:r w:rsidRPr="00863252">
        <w:rPr>
          <w:rFonts w:ascii="Calibri" w:eastAsia="Calibri" w:hAnsi="Calibri" w:cs="Calibri"/>
        </w:rPr>
        <w:t>C for 10 min.</w:t>
      </w:r>
    </w:p>
    <w:p w14:paraId="01E5AD5E" w14:textId="77777777" w:rsidR="00A431D7" w:rsidRPr="00863252" w:rsidRDefault="00A431D7" w:rsidP="004C34BB">
      <w:pPr>
        <w:pStyle w:val="ListParagraph"/>
        <w:ind w:left="0"/>
        <w:jc w:val="both"/>
        <w:rPr>
          <w:rFonts w:ascii="Calibri" w:hAnsi="Calibri" w:cs="Calibri"/>
        </w:rPr>
      </w:pPr>
    </w:p>
    <w:p w14:paraId="4440ED0C" w14:textId="617F3777" w:rsidR="00F935C7" w:rsidRPr="00A431D7" w:rsidRDefault="00F935C7" w:rsidP="004C34BB">
      <w:pPr>
        <w:pStyle w:val="NormalWeb"/>
        <w:numPr>
          <w:ilvl w:val="1"/>
          <w:numId w:val="13"/>
        </w:numPr>
        <w:spacing w:before="0" w:beforeAutospacing="0" w:after="0" w:afterAutospacing="0"/>
        <w:ind w:left="0" w:firstLine="0"/>
        <w:contextualSpacing/>
        <w:jc w:val="both"/>
        <w:rPr>
          <w:rFonts w:ascii="Calibri" w:hAnsi="Calibri" w:cs="Calibri"/>
        </w:rPr>
      </w:pPr>
      <w:r w:rsidRPr="00863252">
        <w:rPr>
          <w:rFonts w:ascii="Calibri" w:eastAsia="Calibri" w:hAnsi="Calibri" w:cs="Calibri"/>
        </w:rPr>
        <w:t xml:space="preserve">Add stationary phase promastigotes as described by </w:t>
      </w:r>
      <w:r w:rsidRPr="00863252">
        <w:rPr>
          <w:rFonts w:ascii="Calibri" w:eastAsia="Calibri" w:hAnsi="Calibri" w:cs="Calibri"/>
          <w:noProof/>
        </w:rPr>
        <w:t>A. L. Petersen</w:t>
      </w:r>
      <w:r w:rsidRPr="00863252">
        <w:rPr>
          <w:rFonts w:ascii="Calibri" w:eastAsia="Calibri" w:hAnsi="Calibri" w:cs="Calibri"/>
          <w:noProof/>
          <w:vertAlign w:val="superscript"/>
        </w:rPr>
        <w:t>22</w:t>
      </w:r>
      <w:r w:rsidRPr="00863252">
        <w:rPr>
          <w:rFonts w:ascii="Calibri" w:eastAsia="Calibri" w:hAnsi="Calibri" w:cs="Calibri"/>
        </w:rPr>
        <w:t xml:space="preserve"> at a 10:1 ratio to well plates, and then centrifuge at 720 × g for 5 min under 4 </w:t>
      </w:r>
      <w:r w:rsidR="00A431D7">
        <w:rPr>
          <w:rFonts w:ascii="Calibri" w:eastAsia="Calibri" w:hAnsi="Calibri" w:cs="Calibri"/>
        </w:rPr>
        <w:t>°</w:t>
      </w:r>
      <w:r w:rsidRPr="00863252">
        <w:rPr>
          <w:rFonts w:ascii="Calibri" w:eastAsia="Calibri" w:hAnsi="Calibri" w:cs="Calibri"/>
        </w:rPr>
        <w:t>C.</w:t>
      </w:r>
    </w:p>
    <w:p w14:paraId="4BB71476" w14:textId="77777777" w:rsidR="00A431D7" w:rsidRPr="00863252" w:rsidRDefault="00A431D7" w:rsidP="004C34BB">
      <w:pPr>
        <w:pStyle w:val="NormalWeb"/>
        <w:spacing w:before="0" w:beforeAutospacing="0" w:after="0" w:afterAutospacing="0"/>
        <w:contextualSpacing/>
        <w:jc w:val="both"/>
        <w:rPr>
          <w:rFonts w:ascii="Calibri" w:hAnsi="Calibri" w:cs="Calibri"/>
        </w:rPr>
      </w:pPr>
    </w:p>
    <w:p w14:paraId="09D2C26D" w14:textId="2FCA9494" w:rsidR="00F935C7"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rPr>
      </w:pPr>
      <w:r w:rsidRPr="00863252">
        <w:rPr>
          <w:rFonts w:ascii="Calibri" w:eastAsia="Calibri" w:hAnsi="Calibri" w:cs="Calibri"/>
        </w:rPr>
        <w:t xml:space="preserve">Incubate at 4 </w:t>
      </w:r>
      <w:r w:rsidR="00A431D7">
        <w:rPr>
          <w:rFonts w:ascii="Calibri" w:eastAsia="Calibri" w:hAnsi="Calibri" w:cs="Calibri"/>
        </w:rPr>
        <w:t>°</w:t>
      </w:r>
      <w:r w:rsidRPr="00863252">
        <w:rPr>
          <w:rFonts w:ascii="Calibri" w:eastAsia="Calibri" w:hAnsi="Calibri" w:cs="Calibri"/>
        </w:rPr>
        <w:t>C for 5 min.</w:t>
      </w:r>
    </w:p>
    <w:p w14:paraId="09B2B9ED" w14:textId="77777777" w:rsidR="00A431D7" w:rsidRPr="00863252" w:rsidRDefault="00A431D7" w:rsidP="004C34BB">
      <w:pPr>
        <w:pStyle w:val="NormalWeb"/>
        <w:spacing w:before="0" w:beforeAutospacing="0" w:after="0" w:afterAutospacing="0"/>
        <w:contextualSpacing/>
        <w:jc w:val="both"/>
        <w:rPr>
          <w:rFonts w:ascii="Calibri" w:eastAsia="Calibri" w:hAnsi="Calibri" w:cs="Calibri"/>
        </w:rPr>
      </w:pPr>
    </w:p>
    <w:p w14:paraId="757973A3" w14:textId="34F72FED" w:rsidR="00F935C7"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rPr>
      </w:pPr>
      <w:r w:rsidRPr="00863252">
        <w:rPr>
          <w:rFonts w:ascii="Calibri" w:eastAsia="Calibri" w:hAnsi="Calibri" w:cs="Calibri"/>
        </w:rPr>
        <w:t>Wash the cells twice with 0.9% NaCl solution to remove any non-internalized promastigotes.</w:t>
      </w:r>
    </w:p>
    <w:p w14:paraId="09F66028" w14:textId="77777777" w:rsidR="00A431D7" w:rsidRPr="00863252" w:rsidRDefault="00A431D7" w:rsidP="004C34BB">
      <w:pPr>
        <w:pStyle w:val="NormalWeb"/>
        <w:spacing w:before="0" w:beforeAutospacing="0" w:after="0" w:afterAutospacing="0"/>
        <w:contextualSpacing/>
        <w:jc w:val="both"/>
        <w:rPr>
          <w:rFonts w:ascii="Calibri" w:eastAsia="Calibri" w:hAnsi="Calibri" w:cs="Calibri"/>
        </w:rPr>
      </w:pPr>
    </w:p>
    <w:p w14:paraId="4F561C37" w14:textId="4923E78C" w:rsidR="00F935C7"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rPr>
      </w:pPr>
      <w:r w:rsidRPr="00863252">
        <w:rPr>
          <w:rFonts w:ascii="Calibri" w:eastAsia="Calibri" w:hAnsi="Calibri" w:cs="Calibri"/>
        </w:rPr>
        <w:t xml:space="preserve">Fix the cells in 4% paraformaldehyde for 15 min at room temperature. </w:t>
      </w:r>
    </w:p>
    <w:p w14:paraId="0176C133" w14:textId="77777777" w:rsidR="00EC57D9" w:rsidRPr="00863252" w:rsidRDefault="00EC57D9" w:rsidP="004C34BB">
      <w:pPr>
        <w:pStyle w:val="NormalWeb"/>
        <w:spacing w:before="0" w:beforeAutospacing="0" w:after="0" w:afterAutospacing="0"/>
        <w:contextualSpacing/>
        <w:jc w:val="both"/>
        <w:rPr>
          <w:rFonts w:ascii="Calibri" w:eastAsia="Calibri" w:hAnsi="Calibri" w:cs="Calibri"/>
        </w:rPr>
      </w:pPr>
    </w:p>
    <w:p w14:paraId="35854851" w14:textId="29F0693B" w:rsidR="00F935C7" w:rsidRDefault="00F935C7" w:rsidP="004C34BB">
      <w:pPr>
        <w:pStyle w:val="ListParagraph"/>
        <w:numPr>
          <w:ilvl w:val="1"/>
          <w:numId w:val="13"/>
        </w:numPr>
        <w:ind w:left="0" w:firstLine="0"/>
        <w:jc w:val="both"/>
        <w:rPr>
          <w:rFonts w:ascii="Calibri" w:hAnsi="Calibri" w:cs="Calibri"/>
        </w:rPr>
      </w:pPr>
      <w:r w:rsidRPr="00863252">
        <w:rPr>
          <w:rFonts w:ascii="Calibri" w:hAnsi="Calibri" w:cs="Calibri"/>
        </w:rPr>
        <w:t>Incubate the coverslips with 15 mM NH</w:t>
      </w:r>
      <w:r w:rsidRPr="00863252">
        <w:rPr>
          <w:rFonts w:ascii="Calibri" w:hAnsi="Calibri" w:cs="Calibri"/>
          <w:vertAlign w:val="subscript"/>
        </w:rPr>
        <w:t>4</w:t>
      </w:r>
      <w:r w:rsidRPr="00863252">
        <w:rPr>
          <w:rFonts w:ascii="Calibri" w:hAnsi="Calibri" w:cs="Calibri"/>
        </w:rPr>
        <w:t>Cl for 15 min at room temperature.</w:t>
      </w:r>
    </w:p>
    <w:p w14:paraId="0701CF9C" w14:textId="77777777" w:rsidR="00EC57D9" w:rsidRPr="00863252" w:rsidRDefault="00EC57D9" w:rsidP="004C34BB">
      <w:pPr>
        <w:pStyle w:val="ListParagraph"/>
        <w:ind w:left="0"/>
        <w:jc w:val="both"/>
        <w:rPr>
          <w:rFonts w:ascii="Calibri" w:hAnsi="Calibri" w:cs="Calibri"/>
        </w:rPr>
      </w:pPr>
    </w:p>
    <w:p w14:paraId="55341933" w14:textId="1954B98B" w:rsidR="00F935C7"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rPr>
      </w:pPr>
      <w:r w:rsidRPr="00863252">
        <w:rPr>
          <w:rFonts w:ascii="Calibri" w:eastAsia="Calibri" w:hAnsi="Calibri" w:cs="Calibri"/>
        </w:rPr>
        <w:t xml:space="preserve">Wash thrice with PBS 0.15% bovine serum albumin </w:t>
      </w:r>
      <w:r w:rsidR="004C34BB" w:rsidRPr="004C34BB">
        <w:rPr>
          <w:rFonts w:ascii="Calibri" w:eastAsia="Calibri" w:hAnsi="Calibri" w:cs="Calibri"/>
        </w:rPr>
        <w:t>(</w:t>
      </w:r>
      <w:r w:rsidRPr="00863252">
        <w:rPr>
          <w:rFonts w:ascii="Calibri" w:eastAsia="Calibri" w:hAnsi="Calibri" w:cs="Calibri"/>
        </w:rPr>
        <w:t>BSA</w:t>
      </w:r>
      <w:r w:rsidR="004C34BB" w:rsidRPr="004C34BB">
        <w:rPr>
          <w:rFonts w:ascii="Calibri" w:eastAsia="Calibri" w:hAnsi="Calibri" w:cs="Calibri"/>
        </w:rPr>
        <w:t>)</w:t>
      </w:r>
      <w:r w:rsidRPr="00863252">
        <w:rPr>
          <w:rFonts w:ascii="Calibri" w:eastAsia="Calibri" w:hAnsi="Calibri" w:cs="Calibri"/>
        </w:rPr>
        <w:t xml:space="preserve">. Incubate with blocking solution </w:t>
      </w:r>
      <w:r w:rsidR="004C34BB" w:rsidRPr="004C34BB">
        <w:rPr>
          <w:rFonts w:ascii="Calibri" w:eastAsia="Calibri" w:hAnsi="Calibri" w:cs="Calibri"/>
        </w:rPr>
        <w:t>(</w:t>
      </w:r>
      <w:r w:rsidRPr="00863252">
        <w:rPr>
          <w:rFonts w:ascii="Calibri" w:eastAsia="Calibri" w:hAnsi="Calibri" w:cs="Calibri"/>
        </w:rPr>
        <w:t>3% BSA in PBS</w:t>
      </w:r>
      <w:r w:rsidR="004C34BB" w:rsidRPr="004C34BB">
        <w:rPr>
          <w:rFonts w:ascii="Calibri" w:eastAsia="Calibri" w:hAnsi="Calibri" w:cs="Calibri"/>
        </w:rPr>
        <w:t>)</w:t>
      </w:r>
      <w:r w:rsidRPr="00863252">
        <w:rPr>
          <w:rFonts w:ascii="Calibri" w:eastAsia="Calibri" w:hAnsi="Calibri" w:cs="Calibri"/>
        </w:rPr>
        <w:t xml:space="preserve"> for 1 h at room temperature. </w:t>
      </w:r>
    </w:p>
    <w:p w14:paraId="1BAEBB34" w14:textId="77777777" w:rsidR="00EC57D9" w:rsidRPr="00863252" w:rsidRDefault="00EC57D9" w:rsidP="004C34BB">
      <w:pPr>
        <w:pStyle w:val="NormalWeb"/>
        <w:spacing w:before="0" w:beforeAutospacing="0" w:after="0" w:afterAutospacing="0"/>
        <w:contextualSpacing/>
        <w:jc w:val="both"/>
        <w:rPr>
          <w:rFonts w:ascii="Calibri" w:eastAsia="Calibri" w:hAnsi="Calibri" w:cs="Calibri"/>
        </w:rPr>
      </w:pPr>
    </w:p>
    <w:p w14:paraId="4AB7A832" w14:textId="28B0B1C0" w:rsidR="00F935C7"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rPr>
      </w:pPr>
      <w:r w:rsidRPr="00863252">
        <w:rPr>
          <w:rFonts w:ascii="Calibri" w:eastAsia="Calibri" w:hAnsi="Calibri" w:cs="Calibri"/>
        </w:rPr>
        <w:t xml:space="preserve"> Wash thrice with PBS and then permeabilize with 0.15% PBS-Saponin for 15 min at room temperature.</w:t>
      </w:r>
    </w:p>
    <w:p w14:paraId="1D9FE8B2" w14:textId="77777777" w:rsidR="00EC57D9" w:rsidRPr="00863252" w:rsidRDefault="00EC57D9" w:rsidP="004C34BB">
      <w:pPr>
        <w:pStyle w:val="NormalWeb"/>
        <w:spacing w:before="0" w:beforeAutospacing="0" w:after="0" w:afterAutospacing="0"/>
        <w:contextualSpacing/>
        <w:jc w:val="both"/>
        <w:rPr>
          <w:rFonts w:ascii="Calibri" w:eastAsia="Calibri" w:hAnsi="Calibri" w:cs="Calibri"/>
        </w:rPr>
      </w:pPr>
    </w:p>
    <w:p w14:paraId="02BC6ADF" w14:textId="66B57770" w:rsidR="00F935C7" w:rsidRPr="00863252"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rPr>
      </w:pPr>
      <w:r w:rsidRPr="00863252">
        <w:rPr>
          <w:rFonts w:ascii="Calibri" w:eastAsia="Calibri" w:hAnsi="Calibri" w:cs="Calibri"/>
        </w:rPr>
        <w:t xml:space="preserve">Add phalloidin </w:t>
      </w:r>
      <w:r w:rsidR="004C34BB" w:rsidRPr="004C34BB">
        <w:rPr>
          <w:rFonts w:ascii="Calibri" w:eastAsia="Calibri" w:hAnsi="Calibri" w:cs="Calibri"/>
        </w:rPr>
        <w:t>(</w:t>
      </w:r>
      <w:r w:rsidRPr="00863252">
        <w:rPr>
          <w:rFonts w:ascii="Calibri" w:eastAsia="Calibri" w:hAnsi="Calibri" w:cs="Calibri"/>
        </w:rPr>
        <w:t>diluted 1:1,200</w:t>
      </w:r>
      <w:r w:rsidR="004C34BB" w:rsidRPr="004C34BB">
        <w:rPr>
          <w:rFonts w:ascii="Calibri" w:eastAsia="Calibri" w:hAnsi="Calibri" w:cs="Calibri"/>
        </w:rPr>
        <w:t>)</w:t>
      </w:r>
      <w:r w:rsidRPr="00863252">
        <w:rPr>
          <w:rFonts w:ascii="Calibri" w:eastAsia="Calibri" w:hAnsi="Calibri" w:cs="Calibri"/>
        </w:rPr>
        <w:t xml:space="preserve"> for 1 h at room temperature and protect from light.</w:t>
      </w:r>
    </w:p>
    <w:p w14:paraId="716C7F54" w14:textId="77777777" w:rsidR="00EC57D9" w:rsidRPr="00EC57D9" w:rsidRDefault="00EC57D9" w:rsidP="004C34BB">
      <w:pPr>
        <w:pStyle w:val="NormalWeb"/>
        <w:spacing w:before="0" w:beforeAutospacing="0" w:after="0" w:afterAutospacing="0"/>
        <w:contextualSpacing/>
        <w:jc w:val="both"/>
        <w:rPr>
          <w:rFonts w:ascii="Calibri" w:eastAsia="Calibri" w:hAnsi="Calibri" w:cs="Calibri"/>
        </w:rPr>
      </w:pPr>
    </w:p>
    <w:p w14:paraId="115CA549" w14:textId="0AAEDD4D" w:rsidR="00F935C7" w:rsidRPr="00863252"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rPr>
      </w:pPr>
      <w:r w:rsidRPr="00863252">
        <w:rPr>
          <w:rFonts w:ascii="Calibri" w:eastAsia="Calibri" w:hAnsi="Calibri" w:cs="Calibri"/>
        </w:rPr>
        <w:lastRenderedPageBreak/>
        <w:t>Mount coverslips using mounting media.</w:t>
      </w:r>
    </w:p>
    <w:p w14:paraId="4BA3BE59" w14:textId="77777777" w:rsidR="00EC57D9" w:rsidRPr="00EC57D9" w:rsidRDefault="00EC57D9" w:rsidP="004C34BB">
      <w:pPr>
        <w:pStyle w:val="NormalWeb"/>
        <w:spacing w:before="0" w:beforeAutospacing="0" w:after="0" w:afterAutospacing="0"/>
        <w:contextualSpacing/>
        <w:jc w:val="both"/>
        <w:rPr>
          <w:rFonts w:ascii="Calibri" w:eastAsia="Calibri" w:hAnsi="Calibri" w:cs="Calibri"/>
        </w:rPr>
      </w:pPr>
    </w:p>
    <w:p w14:paraId="2A3DA4CF" w14:textId="4DC47336" w:rsidR="00F935C7"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rPr>
      </w:pPr>
      <w:r w:rsidRPr="00863252">
        <w:rPr>
          <w:rFonts w:ascii="Calibri" w:eastAsia="Calibri" w:hAnsi="Calibri" w:cs="Calibri"/>
        </w:rPr>
        <w:t>Acquire images via a confocal fluorescence microscope using a 63×/1.4 objective.</w:t>
      </w:r>
    </w:p>
    <w:p w14:paraId="0484AE0C" w14:textId="77777777" w:rsidR="00EC57D9" w:rsidRPr="00863252" w:rsidRDefault="00EC57D9" w:rsidP="004C34BB">
      <w:pPr>
        <w:pStyle w:val="NormalWeb"/>
        <w:spacing w:before="0" w:beforeAutospacing="0" w:after="0" w:afterAutospacing="0"/>
        <w:contextualSpacing/>
        <w:jc w:val="both"/>
        <w:rPr>
          <w:rFonts w:ascii="Calibri" w:eastAsia="Calibri" w:hAnsi="Calibri" w:cs="Calibri"/>
        </w:rPr>
      </w:pPr>
    </w:p>
    <w:p w14:paraId="19E86807" w14:textId="577E7338" w:rsidR="00F935C7" w:rsidRDefault="00F935C7" w:rsidP="004C34BB">
      <w:pPr>
        <w:pStyle w:val="ListParagraph"/>
        <w:numPr>
          <w:ilvl w:val="0"/>
          <w:numId w:val="13"/>
        </w:numPr>
        <w:ind w:left="0" w:firstLine="0"/>
        <w:jc w:val="both"/>
        <w:rPr>
          <w:rFonts w:ascii="Calibri" w:hAnsi="Calibri" w:cs="Calibri"/>
          <w:b/>
          <w:bCs/>
        </w:rPr>
      </w:pPr>
      <w:r w:rsidRPr="00863252">
        <w:rPr>
          <w:rFonts w:ascii="Calibri" w:hAnsi="Calibri" w:cs="Calibri"/>
          <w:b/>
          <w:bCs/>
        </w:rPr>
        <w:t xml:space="preserve">Assessment of </w:t>
      </w:r>
      <w:r w:rsidRPr="00863252">
        <w:rPr>
          <w:rFonts w:ascii="Calibri" w:hAnsi="Calibri" w:cs="Calibri"/>
          <w:b/>
          <w:bCs/>
          <w:i/>
          <w:iCs/>
        </w:rPr>
        <w:t>Leishmania</w:t>
      </w:r>
      <w:r w:rsidRPr="00863252">
        <w:rPr>
          <w:rFonts w:ascii="Calibri" w:hAnsi="Calibri" w:cs="Calibri"/>
          <w:b/>
          <w:bCs/>
        </w:rPr>
        <w:t xml:space="preserve"> phagocytosis by macrophages</w:t>
      </w:r>
    </w:p>
    <w:p w14:paraId="2917003D" w14:textId="77777777" w:rsidR="00EC57D9" w:rsidRPr="00863252" w:rsidRDefault="00EC57D9" w:rsidP="004C34BB">
      <w:pPr>
        <w:pStyle w:val="ListParagraph"/>
        <w:ind w:left="0"/>
        <w:jc w:val="both"/>
        <w:rPr>
          <w:rFonts w:ascii="Calibri" w:hAnsi="Calibri" w:cs="Calibri"/>
          <w:b/>
          <w:bCs/>
        </w:rPr>
      </w:pPr>
    </w:p>
    <w:p w14:paraId="03EB8B52" w14:textId="6AC2CEA7" w:rsidR="00F935C7"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rPr>
      </w:pPr>
      <w:r w:rsidRPr="00863252">
        <w:rPr>
          <w:rFonts w:ascii="Calibri" w:eastAsia="Calibri" w:hAnsi="Calibri" w:cs="Calibri"/>
        </w:rPr>
        <w:t>Seed 2 × 10</w:t>
      </w:r>
      <w:r w:rsidRPr="00863252">
        <w:rPr>
          <w:rFonts w:ascii="Calibri" w:eastAsia="Calibri" w:hAnsi="Calibri" w:cs="Calibri"/>
          <w:vertAlign w:val="superscript"/>
        </w:rPr>
        <w:t>5</w:t>
      </w:r>
      <w:r w:rsidRPr="00863252">
        <w:rPr>
          <w:rFonts w:ascii="Calibri" w:eastAsia="Calibri" w:hAnsi="Calibri" w:cs="Calibri"/>
        </w:rPr>
        <w:t xml:space="preserve"> THP-1 cells or human monocyte-derived macrophages in 500 </w:t>
      </w:r>
      <w:r w:rsidRPr="00863252">
        <w:rPr>
          <w:rFonts w:ascii="Calibri" w:hAnsi="Calibri" w:cs="Calibri"/>
        </w:rPr>
        <w:sym w:font="Symbol" w:char="F06D"/>
      </w:r>
      <w:r w:rsidRPr="00863252">
        <w:rPr>
          <w:rFonts w:ascii="Calibri" w:hAnsi="Calibri" w:cs="Calibri"/>
        </w:rPr>
        <w:t>L</w:t>
      </w:r>
      <w:r w:rsidRPr="00863252">
        <w:rPr>
          <w:rFonts w:ascii="Calibri" w:eastAsia="Calibri" w:hAnsi="Calibri" w:cs="Calibri"/>
        </w:rPr>
        <w:t xml:space="preserve"> </w:t>
      </w:r>
      <w:r w:rsidR="00EC57D9">
        <w:rPr>
          <w:rFonts w:ascii="Calibri" w:eastAsia="Calibri" w:hAnsi="Calibri" w:cs="Calibri"/>
        </w:rPr>
        <w:t xml:space="preserve">of </w:t>
      </w:r>
      <w:r w:rsidRPr="00863252">
        <w:rPr>
          <w:rFonts w:ascii="Calibri" w:eastAsia="Calibri" w:hAnsi="Calibri" w:cs="Calibri"/>
        </w:rPr>
        <w:t>complete RPMI medium per well on a 24-well plate with 13 mm glass coverslips.</w:t>
      </w:r>
    </w:p>
    <w:p w14:paraId="750E58A3" w14:textId="77777777" w:rsidR="00EC57D9" w:rsidRPr="00863252" w:rsidRDefault="00EC57D9" w:rsidP="004C34BB">
      <w:pPr>
        <w:pStyle w:val="NormalWeb"/>
        <w:spacing w:before="0" w:beforeAutospacing="0" w:after="0" w:afterAutospacing="0"/>
        <w:contextualSpacing/>
        <w:jc w:val="both"/>
        <w:rPr>
          <w:rFonts w:ascii="Calibri" w:eastAsia="Calibri" w:hAnsi="Calibri" w:cs="Calibri"/>
        </w:rPr>
      </w:pPr>
    </w:p>
    <w:p w14:paraId="7E4C73CB" w14:textId="078800F9" w:rsidR="00F935C7" w:rsidRDefault="00F935C7" w:rsidP="004C34BB">
      <w:pPr>
        <w:pStyle w:val="ListParagraph"/>
        <w:numPr>
          <w:ilvl w:val="1"/>
          <w:numId w:val="13"/>
        </w:numPr>
        <w:ind w:left="0" w:firstLine="0"/>
        <w:jc w:val="both"/>
        <w:rPr>
          <w:rFonts w:ascii="Calibri" w:hAnsi="Calibri" w:cs="Calibri"/>
        </w:rPr>
      </w:pPr>
      <w:r w:rsidRPr="00863252">
        <w:rPr>
          <w:rFonts w:ascii="Calibri" w:hAnsi="Calibri" w:cs="Calibri"/>
        </w:rPr>
        <w:t xml:space="preserve">Cultivate cells for 24 h at </w:t>
      </w:r>
      <w:r w:rsidRPr="00863252">
        <w:rPr>
          <w:rFonts w:ascii="Calibri" w:hAnsi="Calibri" w:cs="Calibri"/>
          <w:color w:val="000000"/>
          <w:shd w:val="clear" w:color="auto" w:fill="FFFFFF"/>
          <w:lang w:eastAsia="pt-BR"/>
        </w:rPr>
        <w:t>37 °C under 5% CO</w:t>
      </w:r>
      <w:r w:rsidRPr="00863252">
        <w:rPr>
          <w:rFonts w:ascii="Calibri" w:hAnsi="Calibri" w:cs="Calibri"/>
          <w:color w:val="000000"/>
          <w:shd w:val="clear" w:color="auto" w:fill="FFFFFF"/>
          <w:vertAlign w:val="subscript"/>
          <w:lang w:eastAsia="pt-BR"/>
        </w:rPr>
        <w:t>2</w:t>
      </w:r>
      <w:r w:rsidRPr="00863252">
        <w:rPr>
          <w:rFonts w:ascii="Calibri" w:hAnsi="Calibri" w:cs="Calibri"/>
        </w:rPr>
        <w:t>.</w:t>
      </w:r>
    </w:p>
    <w:p w14:paraId="079A0CA1" w14:textId="77777777" w:rsidR="00EC57D9" w:rsidRPr="00863252" w:rsidRDefault="00EC57D9" w:rsidP="004C34BB">
      <w:pPr>
        <w:pStyle w:val="ListParagraph"/>
        <w:ind w:left="0"/>
        <w:jc w:val="both"/>
        <w:rPr>
          <w:rFonts w:ascii="Calibri" w:hAnsi="Calibri" w:cs="Calibri"/>
        </w:rPr>
      </w:pPr>
    </w:p>
    <w:p w14:paraId="56033CFD" w14:textId="67E59617" w:rsidR="00F935C7"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rPr>
      </w:pPr>
      <w:r w:rsidRPr="00863252">
        <w:rPr>
          <w:rFonts w:ascii="Calibri" w:eastAsia="Calibri" w:hAnsi="Calibri" w:cs="Calibri"/>
        </w:rPr>
        <w:t xml:space="preserve">Wash cells twice in 0.9% NaCl solution and incubate in complete RPMI medium in 24-well plate at 4 </w:t>
      </w:r>
      <w:r w:rsidR="00EC57D9">
        <w:rPr>
          <w:rFonts w:ascii="Calibri" w:eastAsia="Calibri" w:hAnsi="Calibri" w:cs="Calibri"/>
        </w:rPr>
        <w:t>°</w:t>
      </w:r>
      <w:r w:rsidRPr="00863252">
        <w:rPr>
          <w:rFonts w:ascii="Calibri" w:eastAsia="Calibri" w:hAnsi="Calibri" w:cs="Calibri"/>
        </w:rPr>
        <w:t>C for 10 min.</w:t>
      </w:r>
    </w:p>
    <w:p w14:paraId="6DBBDDF9" w14:textId="77777777" w:rsidR="00EC57D9" w:rsidRPr="00863252" w:rsidRDefault="00EC57D9" w:rsidP="004C34BB">
      <w:pPr>
        <w:pStyle w:val="NormalWeb"/>
        <w:spacing w:before="0" w:beforeAutospacing="0" w:after="0" w:afterAutospacing="0"/>
        <w:contextualSpacing/>
        <w:jc w:val="both"/>
        <w:rPr>
          <w:rFonts w:ascii="Calibri" w:eastAsia="Calibri" w:hAnsi="Calibri" w:cs="Calibri"/>
        </w:rPr>
      </w:pPr>
    </w:p>
    <w:p w14:paraId="2A906F87" w14:textId="456DE5DD" w:rsidR="00EC57D9" w:rsidRDefault="00F935C7" w:rsidP="004C34BB">
      <w:pPr>
        <w:pStyle w:val="NormalWeb"/>
        <w:numPr>
          <w:ilvl w:val="1"/>
          <w:numId w:val="13"/>
        </w:numPr>
        <w:spacing w:before="0" w:beforeAutospacing="0" w:after="0" w:afterAutospacing="0"/>
        <w:ind w:left="0" w:firstLine="0"/>
        <w:contextualSpacing/>
        <w:jc w:val="both"/>
        <w:rPr>
          <w:rFonts w:ascii="Calibri" w:hAnsi="Calibri" w:cs="Calibri"/>
        </w:rPr>
      </w:pPr>
      <w:r w:rsidRPr="00863252">
        <w:rPr>
          <w:rFonts w:ascii="Calibri" w:eastAsia="Calibri" w:hAnsi="Calibri" w:cs="Calibri"/>
        </w:rPr>
        <w:t xml:space="preserve">Add stationary phase </w:t>
      </w:r>
      <w:r w:rsidRPr="00863252">
        <w:rPr>
          <w:rFonts w:ascii="Calibri" w:eastAsia="Calibri" w:hAnsi="Calibri" w:cs="Calibri"/>
          <w:i/>
          <w:iCs/>
        </w:rPr>
        <w:t>Leishmania</w:t>
      </w:r>
      <w:r w:rsidRPr="00863252">
        <w:rPr>
          <w:rFonts w:ascii="Calibri" w:eastAsia="Calibri" w:hAnsi="Calibri" w:cs="Calibri"/>
        </w:rPr>
        <w:t xml:space="preserve"> spp. as described by </w:t>
      </w:r>
      <w:r w:rsidRPr="00863252">
        <w:rPr>
          <w:rFonts w:ascii="Calibri" w:eastAsia="Calibri" w:hAnsi="Calibri" w:cs="Calibri"/>
          <w:noProof/>
        </w:rPr>
        <w:t>A. L. Petersen</w:t>
      </w:r>
      <w:r w:rsidRPr="00863252">
        <w:rPr>
          <w:rFonts w:ascii="Calibri" w:eastAsia="Calibri" w:hAnsi="Calibri" w:cs="Calibri"/>
          <w:noProof/>
          <w:vertAlign w:val="superscript"/>
        </w:rPr>
        <w:t>22</w:t>
      </w:r>
      <w:r w:rsidRPr="00863252">
        <w:rPr>
          <w:rFonts w:ascii="Calibri" w:eastAsia="Calibri" w:hAnsi="Calibri" w:cs="Calibri"/>
        </w:rPr>
        <w:t xml:space="preserve"> at a 10:1 </w:t>
      </w:r>
      <w:r w:rsidR="004C34BB" w:rsidRPr="004C34BB">
        <w:rPr>
          <w:rFonts w:ascii="Calibri" w:eastAsia="Calibri" w:hAnsi="Calibri" w:cs="Calibri"/>
        </w:rPr>
        <w:t>(</w:t>
      </w:r>
      <w:r w:rsidRPr="00863252">
        <w:rPr>
          <w:rFonts w:ascii="Calibri" w:eastAsia="Calibri" w:hAnsi="Calibri" w:cs="Calibri"/>
        </w:rPr>
        <w:t>parasite:host cell</w:t>
      </w:r>
      <w:r w:rsidR="004C34BB" w:rsidRPr="004C34BB">
        <w:rPr>
          <w:rFonts w:ascii="Calibri" w:eastAsia="Calibri" w:hAnsi="Calibri" w:cs="Calibri"/>
        </w:rPr>
        <w:t>)</w:t>
      </w:r>
      <w:r w:rsidRPr="00863252">
        <w:rPr>
          <w:rFonts w:ascii="Calibri" w:eastAsia="Calibri" w:hAnsi="Calibri" w:cs="Calibri"/>
        </w:rPr>
        <w:t xml:space="preserve"> ratio, and then centrifuge at 720 × g for 10 min under 4 </w:t>
      </w:r>
      <w:r w:rsidR="00EC57D9">
        <w:rPr>
          <w:rFonts w:ascii="Calibri" w:eastAsia="Calibri" w:hAnsi="Calibri" w:cs="Calibri"/>
        </w:rPr>
        <w:t>°</w:t>
      </w:r>
      <w:r w:rsidRPr="00863252">
        <w:rPr>
          <w:rFonts w:ascii="Calibri" w:eastAsia="Calibri" w:hAnsi="Calibri" w:cs="Calibri"/>
        </w:rPr>
        <w:t>C.</w:t>
      </w:r>
    </w:p>
    <w:p w14:paraId="5CC38379" w14:textId="77777777" w:rsidR="00EC57D9" w:rsidRPr="00EC57D9" w:rsidRDefault="00EC57D9" w:rsidP="004C34BB">
      <w:pPr>
        <w:pStyle w:val="NormalWeb"/>
        <w:spacing w:before="0" w:beforeAutospacing="0" w:after="0" w:afterAutospacing="0"/>
        <w:contextualSpacing/>
        <w:jc w:val="both"/>
        <w:rPr>
          <w:rFonts w:ascii="Calibri" w:hAnsi="Calibri" w:cs="Calibri"/>
        </w:rPr>
      </w:pPr>
    </w:p>
    <w:p w14:paraId="362041E3" w14:textId="74DDF6FC" w:rsidR="00F935C7"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rPr>
      </w:pPr>
      <w:r w:rsidRPr="00863252">
        <w:rPr>
          <w:rFonts w:ascii="Calibri" w:eastAsia="Calibri" w:hAnsi="Calibri" w:cs="Calibri"/>
        </w:rPr>
        <w:t xml:space="preserve">Incubate cells at 4 </w:t>
      </w:r>
      <w:r w:rsidR="00EC57D9">
        <w:rPr>
          <w:rFonts w:ascii="Calibri" w:eastAsia="Calibri" w:hAnsi="Calibri" w:cs="Calibri"/>
        </w:rPr>
        <w:t>°</w:t>
      </w:r>
      <w:r w:rsidRPr="00863252">
        <w:rPr>
          <w:rFonts w:ascii="Calibri" w:eastAsia="Calibri" w:hAnsi="Calibri" w:cs="Calibri"/>
        </w:rPr>
        <w:t>C for 5 min.</w:t>
      </w:r>
    </w:p>
    <w:p w14:paraId="6203A759" w14:textId="77777777" w:rsidR="00EC57D9" w:rsidRPr="00863252" w:rsidRDefault="00EC57D9" w:rsidP="004C34BB">
      <w:pPr>
        <w:pStyle w:val="NormalWeb"/>
        <w:spacing w:before="0" w:beforeAutospacing="0" w:after="0" w:afterAutospacing="0"/>
        <w:contextualSpacing/>
        <w:jc w:val="both"/>
        <w:rPr>
          <w:rFonts w:ascii="Calibri" w:eastAsia="Calibri" w:hAnsi="Calibri" w:cs="Calibri"/>
        </w:rPr>
      </w:pPr>
    </w:p>
    <w:p w14:paraId="0E8C7769" w14:textId="77D7B5E2" w:rsidR="00F935C7"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rPr>
      </w:pPr>
      <w:r w:rsidRPr="00863252">
        <w:rPr>
          <w:rFonts w:ascii="Calibri" w:eastAsia="Calibri" w:hAnsi="Calibri" w:cs="Calibri"/>
        </w:rPr>
        <w:t>Wash the cells twice with 0.9% NaCl solution to remove any non-internalized promastigotes.</w:t>
      </w:r>
    </w:p>
    <w:p w14:paraId="2969A9A5" w14:textId="77777777" w:rsidR="00EC57D9" w:rsidRPr="00863252" w:rsidRDefault="00EC57D9" w:rsidP="004C34BB">
      <w:pPr>
        <w:pStyle w:val="NormalWeb"/>
        <w:spacing w:before="0" w:beforeAutospacing="0" w:after="0" w:afterAutospacing="0"/>
        <w:contextualSpacing/>
        <w:jc w:val="both"/>
        <w:rPr>
          <w:rFonts w:ascii="Calibri" w:eastAsia="Calibri" w:hAnsi="Calibri" w:cs="Calibri"/>
        </w:rPr>
      </w:pPr>
    </w:p>
    <w:p w14:paraId="3DCDB7BC" w14:textId="7F0775CD" w:rsidR="00F935C7" w:rsidRDefault="00EC57D9" w:rsidP="004C34BB">
      <w:pPr>
        <w:pStyle w:val="NormalWeb"/>
        <w:numPr>
          <w:ilvl w:val="1"/>
          <w:numId w:val="13"/>
        </w:numPr>
        <w:spacing w:before="0" w:beforeAutospacing="0" w:after="0" w:afterAutospacing="0"/>
        <w:ind w:left="0" w:firstLine="0"/>
        <w:contextualSpacing/>
        <w:jc w:val="both"/>
        <w:rPr>
          <w:rFonts w:ascii="Calibri" w:eastAsia="Calibri" w:hAnsi="Calibri" w:cs="Calibri"/>
        </w:rPr>
      </w:pPr>
      <w:r>
        <w:rPr>
          <w:rFonts w:ascii="Calibri" w:eastAsia="Calibri" w:hAnsi="Calibri" w:cs="Calibri"/>
        </w:rPr>
        <w:t>I</w:t>
      </w:r>
      <w:r w:rsidR="00F935C7" w:rsidRPr="00863252">
        <w:rPr>
          <w:rFonts w:ascii="Calibri" w:eastAsia="Calibri" w:hAnsi="Calibri" w:cs="Calibri"/>
        </w:rPr>
        <w:t xml:space="preserve">ncubate the cells in supplemented RPMI medium at 37 </w:t>
      </w:r>
      <w:r>
        <w:rPr>
          <w:rFonts w:ascii="Calibri" w:eastAsia="Calibri" w:hAnsi="Calibri" w:cs="Calibri"/>
        </w:rPr>
        <w:t>°</w:t>
      </w:r>
      <w:r w:rsidR="00F935C7" w:rsidRPr="00863252">
        <w:rPr>
          <w:rFonts w:ascii="Calibri" w:eastAsia="Calibri" w:hAnsi="Calibri" w:cs="Calibri"/>
        </w:rPr>
        <w:t>C for 1 h.</w:t>
      </w:r>
    </w:p>
    <w:p w14:paraId="5C3F33FB" w14:textId="77777777" w:rsidR="00EC57D9" w:rsidRPr="00863252" w:rsidRDefault="00EC57D9" w:rsidP="004C34BB">
      <w:pPr>
        <w:pStyle w:val="NormalWeb"/>
        <w:spacing w:before="0" w:beforeAutospacing="0" w:after="0" w:afterAutospacing="0"/>
        <w:contextualSpacing/>
        <w:jc w:val="both"/>
        <w:rPr>
          <w:rFonts w:ascii="Calibri" w:eastAsia="Calibri" w:hAnsi="Calibri" w:cs="Calibri"/>
        </w:rPr>
      </w:pPr>
    </w:p>
    <w:p w14:paraId="180E70CE" w14:textId="45838DEE" w:rsidR="00F935C7"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rPr>
      </w:pPr>
      <w:r w:rsidRPr="00863252">
        <w:rPr>
          <w:rFonts w:ascii="Calibri" w:eastAsia="Calibri" w:hAnsi="Calibri" w:cs="Calibri"/>
        </w:rPr>
        <w:t xml:space="preserve">Fix the cells with 4% paraformaldehyde for 15 min. </w:t>
      </w:r>
    </w:p>
    <w:p w14:paraId="62E8C371" w14:textId="77777777" w:rsidR="00EC57D9" w:rsidRPr="00863252" w:rsidRDefault="00EC57D9" w:rsidP="004C34BB">
      <w:pPr>
        <w:pStyle w:val="NormalWeb"/>
        <w:spacing w:before="0" w:beforeAutospacing="0" w:after="0" w:afterAutospacing="0"/>
        <w:contextualSpacing/>
        <w:jc w:val="both"/>
        <w:rPr>
          <w:rFonts w:ascii="Calibri" w:eastAsia="Calibri" w:hAnsi="Calibri" w:cs="Calibri"/>
        </w:rPr>
      </w:pPr>
    </w:p>
    <w:p w14:paraId="7D0A4994" w14:textId="64C65AFE" w:rsidR="00F935C7"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rPr>
      </w:pPr>
      <w:r w:rsidRPr="00863252">
        <w:rPr>
          <w:rFonts w:ascii="Calibri" w:eastAsia="Calibri" w:hAnsi="Calibri" w:cs="Calibri"/>
        </w:rPr>
        <w:t>Mount coverslips using preferred mounting media.</w:t>
      </w:r>
    </w:p>
    <w:p w14:paraId="441A4A2F" w14:textId="77777777" w:rsidR="00EC57D9" w:rsidRPr="00863252" w:rsidRDefault="00EC57D9" w:rsidP="004C34BB">
      <w:pPr>
        <w:pStyle w:val="NormalWeb"/>
        <w:spacing w:before="0" w:beforeAutospacing="0" w:after="0" w:afterAutospacing="0"/>
        <w:contextualSpacing/>
        <w:jc w:val="both"/>
        <w:rPr>
          <w:rFonts w:ascii="Calibri" w:eastAsia="Calibri" w:hAnsi="Calibri" w:cs="Calibri"/>
        </w:rPr>
      </w:pPr>
    </w:p>
    <w:p w14:paraId="0EB59C31" w14:textId="77777777" w:rsidR="00F935C7" w:rsidRPr="00863252"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rPr>
      </w:pPr>
      <w:r w:rsidRPr="00863252">
        <w:rPr>
          <w:rFonts w:ascii="Calibri" w:hAnsi="Calibri" w:cs="Calibri"/>
        </w:rPr>
        <w:t xml:space="preserve"> Count no less than 400 cells in random fields under a fluorescence microscope using a 100</w:t>
      </w:r>
      <w:r w:rsidRPr="00863252">
        <w:rPr>
          <w:rFonts w:ascii="Calibri" w:eastAsia="Calibri" w:hAnsi="Calibri" w:cs="Calibri"/>
        </w:rPr>
        <w:t>×</w:t>
      </w:r>
      <w:r w:rsidRPr="00863252">
        <w:rPr>
          <w:rFonts w:ascii="Calibri" w:hAnsi="Calibri" w:cs="Calibri"/>
        </w:rPr>
        <w:t xml:space="preserve">/1.4 objective. </w:t>
      </w:r>
    </w:p>
    <w:p w14:paraId="6835CD27" w14:textId="77777777" w:rsidR="00F935C7" w:rsidRPr="00863252" w:rsidRDefault="00F935C7" w:rsidP="004C34BB">
      <w:pPr>
        <w:pStyle w:val="NormalWeb"/>
        <w:spacing w:before="0" w:beforeAutospacing="0" w:after="0" w:afterAutospacing="0"/>
        <w:contextualSpacing/>
        <w:jc w:val="both"/>
        <w:rPr>
          <w:rFonts w:ascii="Calibri" w:eastAsia="Calibri" w:hAnsi="Calibri" w:cs="Calibri"/>
        </w:rPr>
      </w:pPr>
    </w:p>
    <w:p w14:paraId="730C4AB3" w14:textId="2ED20BC4" w:rsidR="00F935C7" w:rsidRDefault="00F935C7" w:rsidP="004C34BB">
      <w:pPr>
        <w:pStyle w:val="NormalWeb"/>
        <w:numPr>
          <w:ilvl w:val="0"/>
          <w:numId w:val="13"/>
        </w:numPr>
        <w:spacing w:before="0" w:beforeAutospacing="0" w:after="0" w:afterAutospacing="0"/>
        <w:ind w:left="0" w:firstLine="0"/>
        <w:contextualSpacing/>
        <w:jc w:val="both"/>
        <w:rPr>
          <w:rFonts w:ascii="Calibri" w:eastAsia="Calibri" w:hAnsi="Calibri" w:cs="Calibri"/>
          <w:b/>
          <w:bCs/>
        </w:rPr>
      </w:pPr>
      <w:r w:rsidRPr="00863252">
        <w:rPr>
          <w:rFonts w:ascii="Calibri" w:eastAsia="Calibri" w:hAnsi="Calibri" w:cs="Calibri"/>
          <w:b/>
          <w:bCs/>
        </w:rPr>
        <w:t xml:space="preserve">Evaluation of </w:t>
      </w:r>
      <w:r w:rsidRPr="00863252">
        <w:rPr>
          <w:rFonts w:ascii="Calibri" w:eastAsia="Calibri" w:hAnsi="Calibri" w:cs="Calibri"/>
          <w:b/>
          <w:bCs/>
          <w:i/>
          <w:iCs/>
        </w:rPr>
        <w:t>Leishmania</w:t>
      </w:r>
      <w:r w:rsidRPr="00863252">
        <w:rPr>
          <w:rFonts w:ascii="Calibri" w:eastAsia="Calibri" w:hAnsi="Calibri" w:cs="Calibri"/>
          <w:b/>
          <w:bCs/>
        </w:rPr>
        <w:t xml:space="preserve">-induced vacuole maturation </w:t>
      </w:r>
    </w:p>
    <w:p w14:paraId="4B1A1C2B" w14:textId="77777777" w:rsidR="00EC57D9" w:rsidRPr="00863252" w:rsidRDefault="00EC57D9" w:rsidP="004C34BB">
      <w:pPr>
        <w:pStyle w:val="NormalWeb"/>
        <w:spacing w:before="0" w:beforeAutospacing="0" w:after="0" w:afterAutospacing="0"/>
        <w:contextualSpacing/>
        <w:jc w:val="both"/>
        <w:rPr>
          <w:rFonts w:ascii="Calibri" w:eastAsia="Calibri" w:hAnsi="Calibri" w:cs="Calibri"/>
          <w:b/>
          <w:bCs/>
        </w:rPr>
      </w:pPr>
    </w:p>
    <w:p w14:paraId="7CF9C344" w14:textId="21D8ACE8" w:rsidR="00F935C7" w:rsidRPr="00863252" w:rsidRDefault="00F935C7" w:rsidP="004C34BB">
      <w:pPr>
        <w:pStyle w:val="ListParagraph"/>
        <w:ind w:left="0"/>
        <w:jc w:val="both"/>
        <w:rPr>
          <w:rFonts w:ascii="Calibri" w:eastAsia="Calibri" w:hAnsi="Calibri" w:cs="Calibri"/>
        </w:rPr>
      </w:pPr>
      <w:r w:rsidRPr="00863252">
        <w:rPr>
          <w:rFonts w:ascii="Calibri" w:eastAsia="Calibri" w:hAnsi="Calibri" w:cs="Calibri"/>
        </w:rPr>
        <w:t xml:space="preserve">NOTE: THP-1 cell transfection should be performed as described by </w:t>
      </w:r>
      <w:r w:rsidRPr="00863252">
        <w:rPr>
          <w:rFonts w:ascii="Calibri" w:eastAsia="Calibri" w:hAnsi="Calibri" w:cs="Calibri"/>
          <w:noProof/>
        </w:rPr>
        <w:t xml:space="preserve">M. B. Maess, B. Wittig and S. Lorkowski </w:t>
      </w:r>
      <w:r w:rsidRPr="00863252">
        <w:rPr>
          <w:rFonts w:ascii="Calibri" w:eastAsia="Calibri" w:hAnsi="Calibri" w:cs="Calibri"/>
          <w:noProof/>
          <w:vertAlign w:val="superscript"/>
        </w:rPr>
        <w:t>23</w:t>
      </w:r>
      <w:r w:rsidRPr="00863252">
        <w:rPr>
          <w:rFonts w:ascii="Calibri" w:eastAsia="Calibri" w:hAnsi="Calibri" w:cs="Calibri"/>
        </w:rPr>
        <w:t>. Here we summarize this protocol, with minimal modifications.</w:t>
      </w:r>
      <w:r w:rsidR="00EC57D9">
        <w:rPr>
          <w:rFonts w:ascii="Calibri" w:eastAsia="Calibri" w:hAnsi="Calibri" w:cs="Calibri"/>
        </w:rPr>
        <w:t xml:space="preserve"> </w:t>
      </w:r>
      <w:r w:rsidRPr="00863252">
        <w:rPr>
          <w:rFonts w:ascii="Calibri" w:eastAsia="Calibri" w:hAnsi="Calibri" w:cs="Calibri"/>
        </w:rPr>
        <w:t>Nucleofection is a specific transfection method that requires a nucleofector. As an alternative method, cells can be transfected using lipofectamine</w:t>
      </w:r>
      <w:r w:rsidRPr="00863252">
        <w:rPr>
          <w:rFonts w:ascii="Calibri" w:eastAsia="Calibri" w:hAnsi="Calibri" w:cs="Calibri"/>
          <w:noProof/>
          <w:vertAlign w:val="superscript"/>
        </w:rPr>
        <w:t>24</w:t>
      </w:r>
      <w:r w:rsidRPr="00863252">
        <w:rPr>
          <w:rFonts w:ascii="Calibri" w:eastAsia="Calibri" w:hAnsi="Calibri" w:cs="Calibri"/>
          <w:vertAlign w:val="superscript"/>
        </w:rPr>
        <w:t xml:space="preserve"> </w:t>
      </w:r>
      <w:r w:rsidRPr="00863252">
        <w:rPr>
          <w:rFonts w:ascii="Calibri" w:eastAsia="Calibri" w:hAnsi="Calibri" w:cs="Calibri"/>
        </w:rPr>
        <w:t>and lentivirus transduction</w:t>
      </w:r>
      <w:r w:rsidRPr="00863252">
        <w:rPr>
          <w:rFonts w:ascii="Calibri" w:eastAsia="Calibri" w:hAnsi="Calibri" w:cs="Calibri"/>
          <w:noProof/>
          <w:vertAlign w:val="superscript"/>
        </w:rPr>
        <w:t>25</w:t>
      </w:r>
      <w:r w:rsidRPr="00863252">
        <w:rPr>
          <w:rFonts w:ascii="Calibri" w:eastAsia="Calibri" w:hAnsi="Calibri" w:cs="Calibri"/>
        </w:rPr>
        <w:t xml:space="preserve">. </w:t>
      </w:r>
    </w:p>
    <w:p w14:paraId="03065DDA" w14:textId="77777777" w:rsidR="00EC57D9" w:rsidRDefault="00EC57D9" w:rsidP="004C34BB">
      <w:pPr>
        <w:contextualSpacing/>
      </w:pPr>
    </w:p>
    <w:p w14:paraId="14C50848" w14:textId="677961B8" w:rsidR="00F935C7" w:rsidRDefault="00F935C7" w:rsidP="004C34BB">
      <w:pPr>
        <w:pStyle w:val="ListParagraph"/>
        <w:numPr>
          <w:ilvl w:val="1"/>
          <w:numId w:val="13"/>
        </w:numPr>
        <w:ind w:left="0" w:firstLine="0"/>
        <w:jc w:val="both"/>
      </w:pPr>
      <w:r w:rsidRPr="00863252">
        <w:rPr>
          <w:rFonts w:ascii="Calibri" w:hAnsi="Calibri" w:cs="Calibri"/>
        </w:rPr>
        <w:t xml:space="preserve">To investigate the biogenesis of </w:t>
      </w:r>
      <w:r w:rsidRPr="00863252">
        <w:rPr>
          <w:rFonts w:ascii="Calibri" w:hAnsi="Calibri" w:cs="Calibri"/>
          <w:i/>
          <w:iCs/>
        </w:rPr>
        <w:t>Leishmania</w:t>
      </w:r>
      <w:r w:rsidRPr="00863252">
        <w:rPr>
          <w:rFonts w:ascii="Calibri" w:hAnsi="Calibri" w:cs="Calibri"/>
        </w:rPr>
        <w:t>-induced PV, transfect THP1 cells with PLC</w:t>
      </w:r>
      <w:r w:rsidRPr="00863252">
        <w:rPr>
          <w:rFonts w:ascii="Calibri" w:hAnsi="Calibri" w:cs="Calibri"/>
          <w:noProof/>
          <w:vertAlign w:val="superscript"/>
        </w:rPr>
        <w:t>26,27</w:t>
      </w:r>
      <w:r w:rsidRPr="00863252">
        <w:rPr>
          <w:rFonts w:ascii="Calibri" w:hAnsi="Calibri" w:cs="Calibri"/>
        </w:rPr>
        <w:t>, Akt</w:t>
      </w:r>
      <w:r w:rsidRPr="00863252">
        <w:rPr>
          <w:rFonts w:ascii="Calibri" w:hAnsi="Calibri" w:cs="Calibri"/>
          <w:noProof/>
          <w:vertAlign w:val="superscript"/>
        </w:rPr>
        <w:t>26,27</w:t>
      </w:r>
      <w:r w:rsidRPr="00863252">
        <w:rPr>
          <w:rFonts w:ascii="Calibri" w:hAnsi="Calibri" w:cs="Calibri"/>
        </w:rPr>
        <w:t>, Rab 5</w:t>
      </w:r>
      <w:r w:rsidRPr="00863252">
        <w:rPr>
          <w:rFonts w:ascii="Calibri" w:hAnsi="Calibri" w:cs="Calibri"/>
          <w:noProof/>
          <w:vertAlign w:val="superscript"/>
        </w:rPr>
        <w:t>28-30</w:t>
      </w:r>
      <w:r w:rsidRPr="00863252">
        <w:rPr>
          <w:rFonts w:ascii="Calibri" w:hAnsi="Calibri" w:cs="Calibri"/>
        </w:rPr>
        <w:t xml:space="preserve"> or Rab 7</w:t>
      </w:r>
      <w:r w:rsidRPr="00863252">
        <w:rPr>
          <w:rFonts w:ascii="Calibri" w:hAnsi="Calibri" w:cs="Calibri"/>
          <w:noProof/>
          <w:vertAlign w:val="superscript"/>
        </w:rPr>
        <w:t>28,29,31</w:t>
      </w:r>
      <w:r w:rsidRPr="00863252">
        <w:rPr>
          <w:rFonts w:ascii="Calibri" w:hAnsi="Calibri" w:cs="Calibri"/>
        </w:rPr>
        <w:t xml:space="preserve"> plasmids.</w:t>
      </w:r>
      <w:r w:rsidR="00863252">
        <w:t xml:space="preserve"> </w:t>
      </w:r>
    </w:p>
    <w:p w14:paraId="4AFB8358" w14:textId="77777777" w:rsidR="00EC57D9" w:rsidRPr="00863252" w:rsidRDefault="00EC57D9" w:rsidP="004C34BB">
      <w:pPr>
        <w:contextualSpacing/>
      </w:pPr>
    </w:p>
    <w:p w14:paraId="65DB804E" w14:textId="77777777" w:rsidR="00F935C7" w:rsidRPr="00863252" w:rsidRDefault="00F935C7" w:rsidP="004C34BB">
      <w:pPr>
        <w:contextualSpacing/>
      </w:pPr>
      <w:r w:rsidRPr="00863252">
        <w:t>NOTE: This methodology can be used to transfect THP-1 cells with other genes than those listed above.</w:t>
      </w:r>
      <w:r w:rsidRPr="00863252" w:rsidDel="00011226">
        <w:t xml:space="preserve"> </w:t>
      </w:r>
    </w:p>
    <w:p w14:paraId="30D61B7C" w14:textId="77777777" w:rsidR="00F935C7" w:rsidRPr="00863252" w:rsidRDefault="00F935C7" w:rsidP="004C34BB">
      <w:pPr>
        <w:pStyle w:val="ListParagraph"/>
        <w:ind w:left="0"/>
        <w:jc w:val="both"/>
        <w:rPr>
          <w:rFonts w:ascii="Calibri" w:eastAsia="Calibri" w:hAnsi="Calibri" w:cs="Calibri"/>
        </w:rPr>
      </w:pPr>
    </w:p>
    <w:p w14:paraId="20E93426" w14:textId="2AA3DA41" w:rsidR="00F935C7" w:rsidRDefault="00F935C7" w:rsidP="004C34BB">
      <w:pPr>
        <w:pStyle w:val="ListParagraph"/>
        <w:numPr>
          <w:ilvl w:val="1"/>
          <w:numId w:val="13"/>
        </w:numPr>
        <w:ind w:left="0" w:firstLine="0"/>
        <w:jc w:val="both"/>
        <w:rPr>
          <w:rFonts w:ascii="Calibri" w:hAnsi="Calibri" w:cs="Calibri"/>
        </w:rPr>
      </w:pPr>
      <w:r w:rsidRPr="00863252">
        <w:rPr>
          <w:rFonts w:ascii="Calibri" w:eastAsia="Calibri" w:hAnsi="Calibri" w:cs="Calibri"/>
        </w:rPr>
        <w:lastRenderedPageBreak/>
        <w:t>Seed THP-1 cells at 1.5 x 10</w:t>
      </w:r>
      <w:r w:rsidRPr="00863252">
        <w:rPr>
          <w:rFonts w:ascii="Calibri" w:eastAsia="Calibri" w:hAnsi="Calibri" w:cs="Calibri"/>
          <w:vertAlign w:val="superscript"/>
        </w:rPr>
        <w:t>7</w:t>
      </w:r>
      <w:r w:rsidRPr="00863252">
        <w:rPr>
          <w:rFonts w:ascii="Calibri" w:eastAsia="Calibri" w:hAnsi="Calibri" w:cs="Calibri"/>
        </w:rPr>
        <w:t xml:space="preserve"> </w:t>
      </w:r>
      <w:r w:rsidRPr="00863252">
        <w:rPr>
          <w:rFonts w:ascii="Calibri" w:hAnsi="Calibri" w:cs="Calibri"/>
        </w:rPr>
        <w:t xml:space="preserve">in </w:t>
      </w:r>
      <w:r w:rsidRPr="00863252">
        <w:rPr>
          <w:rFonts w:ascii="Calibri" w:eastAsia="Calibri" w:hAnsi="Calibri" w:cs="Calibri"/>
        </w:rPr>
        <w:t>75 cm² tissue culture flasks </w:t>
      </w:r>
      <w:r w:rsidRPr="00863252">
        <w:rPr>
          <w:rFonts w:ascii="Calibri" w:hAnsi="Calibri" w:cs="Calibri"/>
        </w:rPr>
        <w:t xml:space="preserve">containing 10 mL complete RPMI medium </w:t>
      </w:r>
      <w:r w:rsidRPr="00863252">
        <w:rPr>
          <w:rFonts w:ascii="Calibri" w:eastAsia="Calibri" w:hAnsi="Calibri" w:cs="Calibri"/>
        </w:rPr>
        <w:t>supplemented with</w:t>
      </w:r>
      <w:r w:rsidRPr="00863252">
        <w:rPr>
          <w:rFonts w:ascii="Calibri" w:hAnsi="Calibri" w:cs="Calibri"/>
        </w:rPr>
        <w:t xml:space="preserve"> 100 ng/mL PMA and 50 </w:t>
      </w:r>
      <w:r w:rsidRPr="00863252">
        <w:rPr>
          <w:rFonts w:ascii="Calibri" w:eastAsia="Calibri" w:hAnsi="Calibri" w:cs="Calibri"/>
        </w:rPr>
        <w:t>µM</w:t>
      </w:r>
      <w:r w:rsidRPr="00863252">
        <w:rPr>
          <w:rFonts w:ascii="Calibri" w:hAnsi="Calibri" w:cs="Calibri"/>
        </w:rPr>
        <w:t xml:space="preserve"> 2-mercaptoethanol for 48 h.</w:t>
      </w:r>
    </w:p>
    <w:p w14:paraId="6AF8BA8A" w14:textId="77777777" w:rsidR="00EC57D9" w:rsidRPr="00863252" w:rsidRDefault="00EC57D9" w:rsidP="004C34BB">
      <w:pPr>
        <w:pStyle w:val="ListParagraph"/>
        <w:ind w:left="0"/>
        <w:jc w:val="both"/>
        <w:rPr>
          <w:rFonts w:ascii="Calibri" w:hAnsi="Calibri" w:cs="Calibri"/>
        </w:rPr>
      </w:pPr>
    </w:p>
    <w:p w14:paraId="2D824FF3" w14:textId="6B06D48C" w:rsidR="00F935C7" w:rsidRDefault="00F935C7" w:rsidP="004C34BB">
      <w:pPr>
        <w:pStyle w:val="ListParagraph"/>
        <w:numPr>
          <w:ilvl w:val="1"/>
          <w:numId w:val="13"/>
        </w:numPr>
        <w:ind w:left="0" w:firstLine="0"/>
        <w:jc w:val="both"/>
        <w:rPr>
          <w:rFonts w:ascii="Calibri" w:eastAsia="Calibri" w:hAnsi="Calibri" w:cs="Calibri"/>
        </w:rPr>
      </w:pPr>
      <w:r w:rsidRPr="00863252">
        <w:rPr>
          <w:rFonts w:ascii="Calibri" w:eastAsia="Calibri" w:hAnsi="Calibri" w:cs="Calibri"/>
        </w:rPr>
        <w:t>Wash cells once in 0.9% NaCl solution.</w:t>
      </w:r>
    </w:p>
    <w:p w14:paraId="0014F82C" w14:textId="77777777" w:rsidR="00EC57D9" w:rsidRPr="00863252" w:rsidRDefault="00EC57D9" w:rsidP="004C34BB">
      <w:pPr>
        <w:pStyle w:val="ListParagraph"/>
        <w:ind w:left="0"/>
        <w:jc w:val="both"/>
        <w:rPr>
          <w:rFonts w:ascii="Calibri" w:eastAsia="Calibri" w:hAnsi="Calibri" w:cs="Calibri"/>
        </w:rPr>
      </w:pPr>
    </w:p>
    <w:p w14:paraId="7B41F551" w14:textId="4F52F243" w:rsidR="00F935C7" w:rsidRDefault="00F935C7" w:rsidP="004C34BB">
      <w:pPr>
        <w:pStyle w:val="ListParagraph"/>
        <w:numPr>
          <w:ilvl w:val="1"/>
          <w:numId w:val="13"/>
        </w:numPr>
        <w:ind w:left="0" w:firstLine="0"/>
        <w:jc w:val="both"/>
        <w:rPr>
          <w:rFonts w:ascii="Calibri" w:eastAsia="Calibri" w:hAnsi="Calibri" w:cs="Calibri"/>
        </w:rPr>
      </w:pPr>
      <w:r w:rsidRPr="00863252">
        <w:rPr>
          <w:rFonts w:ascii="Calibri" w:eastAsia="Calibri" w:hAnsi="Calibri" w:cs="Calibri"/>
        </w:rPr>
        <w:t xml:space="preserve">Detach cells using a non-enzymatic cell dissociation solution and centrifuge </w:t>
      </w:r>
      <w:r w:rsidR="004C34BB" w:rsidRPr="004C34BB">
        <w:rPr>
          <w:rFonts w:ascii="Calibri" w:eastAsia="Calibri" w:hAnsi="Calibri" w:cs="Calibri"/>
        </w:rPr>
        <w:t>(</w:t>
      </w:r>
      <w:r w:rsidRPr="00863252">
        <w:rPr>
          <w:rFonts w:ascii="Calibri" w:eastAsia="Calibri" w:hAnsi="Calibri" w:cs="Calibri"/>
        </w:rPr>
        <w:t>250 × g</w:t>
      </w:r>
      <w:r w:rsidR="004C34BB" w:rsidRPr="004C34BB">
        <w:rPr>
          <w:rFonts w:ascii="Calibri" w:eastAsia="Calibri" w:hAnsi="Calibri" w:cs="Calibri"/>
        </w:rPr>
        <w:t>)</w:t>
      </w:r>
      <w:r w:rsidRPr="00863252">
        <w:rPr>
          <w:rFonts w:ascii="Calibri" w:eastAsia="Calibri" w:hAnsi="Calibri" w:cs="Calibri"/>
        </w:rPr>
        <w:t xml:space="preserve"> for 5 min at room temperature.</w:t>
      </w:r>
    </w:p>
    <w:p w14:paraId="230C5B82" w14:textId="77777777" w:rsidR="00EC57D9" w:rsidRPr="00863252" w:rsidRDefault="00EC57D9" w:rsidP="004C34BB">
      <w:pPr>
        <w:pStyle w:val="ListParagraph"/>
        <w:ind w:left="0"/>
        <w:jc w:val="both"/>
        <w:rPr>
          <w:rFonts w:ascii="Calibri" w:eastAsia="Calibri" w:hAnsi="Calibri" w:cs="Calibri"/>
        </w:rPr>
      </w:pPr>
    </w:p>
    <w:p w14:paraId="2C6D0EAD" w14:textId="665182C8" w:rsidR="00F935C7" w:rsidRDefault="00F935C7" w:rsidP="004C34BB">
      <w:pPr>
        <w:pStyle w:val="ListParagraph"/>
        <w:numPr>
          <w:ilvl w:val="1"/>
          <w:numId w:val="13"/>
        </w:numPr>
        <w:ind w:left="0" w:firstLine="0"/>
        <w:jc w:val="both"/>
        <w:rPr>
          <w:rFonts w:ascii="Calibri" w:eastAsia="Calibri" w:hAnsi="Calibri" w:cs="Calibri"/>
        </w:rPr>
      </w:pPr>
      <w:r w:rsidRPr="00863252">
        <w:rPr>
          <w:rFonts w:ascii="Calibri" w:eastAsia="Calibri" w:hAnsi="Calibri" w:cs="Calibri"/>
        </w:rPr>
        <w:t xml:space="preserve">Resuspend THP-1 cells in 1 mL </w:t>
      </w:r>
      <w:r w:rsidR="00EC57D9">
        <w:rPr>
          <w:rFonts w:ascii="Calibri" w:eastAsia="Calibri" w:hAnsi="Calibri" w:cs="Calibri"/>
        </w:rPr>
        <w:t xml:space="preserve">of </w:t>
      </w:r>
      <w:r w:rsidRPr="00863252">
        <w:rPr>
          <w:rFonts w:ascii="Calibri" w:eastAsia="Calibri" w:hAnsi="Calibri" w:cs="Calibri"/>
        </w:rPr>
        <w:t>RPMI medium and perform counts in a Neubauer chamber.</w:t>
      </w:r>
    </w:p>
    <w:p w14:paraId="61F51DCA" w14:textId="77777777" w:rsidR="00EC57D9" w:rsidRPr="00863252" w:rsidRDefault="00EC57D9" w:rsidP="004C34BB">
      <w:pPr>
        <w:pStyle w:val="ListParagraph"/>
        <w:ind w:left="0"/>
        <w:jc w:val="both"/>
        <w:rPr>
          <w:rFonts w:ascii="Calibri" w:eastAsia="Calibri" w:hAnsi="Calibri" w:cs="Calibri"/>
        </w:rPr>
      </w:pPr>
    </w:p>
    <w:p w14:paraId="6ED8CC33" w14:textId="0C0F992F" w:rsidR="00F935C7" w:rsidRDefault="00F935C7" w:rsidP="004C34BB">
      <w:pPr>
        <w:pStyle w:val="ListParagraph"/>
        <w:numPr>
          <w:ilvl w:val="1"/>
          <w:numId w:val="13"/>
        </w:numPr>
        <w:ind w:left="0" w:firstLine="0"/>
        <w:jc w:val="both"/>
        <w:rPr>
          <w:rFonts w:ascii="Calibri" w:eastAsia="Calibri" w:hAnsi="Calibri" w:cs="Calibri"/>
        </w:rPr>
      </w:pPr>
      <w:r w:rsidRPr="00863252">
        <w:rPr>
          <w:rFonts w:ascii="Calibri" w:eastAsia="Calibri" w:hAnsi="Calibri" w:cs="Calibri"/>
        </w:rPr>
        <w:t xml:space="preserve">Centrifuge THP-1 cells again at 250 × g for 10 min at room temperature. </w:t>
      </w:r>
      <w:r w:rsidR="00EC57D9">
        <w:rPr>
          <w:rFonts w:ascii="Calibri" w:eastAsia="Calibri" w:hAnsi="Calibri" w:cs="Calibri"/>
        </w:rPr>
        <w:t>Discard the supernatant.</w:t>
      </w:r>
    </w:p>
    <w:p w14:paraId="2A1F59F2" w14:textId="77777777" w:rsidR="00EC57D9" w:rsidRPr="00863252" w:rsidRDefault="00EC57D9" w:rsidP="004C34BB">
      <w:pPr>
        <w:pStyle w:val="ListParagraph"/>
        <w:ind w:left="0"/>
        <w:jc w:val="both"/>
        <w:rPr>
          <w:rFonts w:ascii="Calibri" w:eastAsia="Calibri" w:hAnsi="Calibri" w:cs="Calibri"/>
        </w:rPr>
      </w:pPr>
    </w:p>
    <w:p w14:paraId="0E1EBA10" w14:textId="4AB7DE52" w:rsidR="00F935C7" w:rsidRDefault="00F935C7" w:rsidP="004C34BB">
      <w:pPr>
        <w:pStyle w:val="ListParagraph"/>
        <w:numPr>
          <w:ilvl w:val="1"/>
          <w:numId w:val="13"/>
        </w:numPr>
        <w:ind w:left="0" w:firstLine="0"/>
        <w:jc w:val="both"/>
        <w:rPr>
          <w:rFonts w:ascii="Calibri" w:eastAsia="Calibri" w:hAnsi="Calibri" w:cs="Calibri"/>
        </w:rPr>
      </w:pPr>
      <w:r w:rsidRPr="00863252">
        <w:rPr>
          <w:rFonts w:ascii="Calibri" w:eastAsia="Calibri" w:hAnsi="Calibri" w:cs="Calibri"/>
        </w:rPr>
        <w:t>Resuspend 2 × 10</w:t>
      </w:r>
      <w:r w:rsidRPr="00863252">
        <w:rPr>
          <w:rFonts w:ascii="Calibri" w:eastAsia="Calibri" w:hAnsi="Calibri" w:cs="Calibri"/>
          <w:vertAlign w:val="superscript"/>
        </w:rPr>
        <w:t>6</w:t>
      </w:r>
      <w:r w:rsidRPr="00863252">
        <w:rPr>
          <w:rFonts w:ascii="Calibri" w:eastAsia="Calibri" w:hAnsi="Calibri" w:cs="Calibri"/>
        </w:rPr>
        <w:t xml:space="preserve"> cells in 100 μL of Nucleofector solution and incubate with 0.5 μg of the plasmid coding for the protein of interest, tagged with a fluorescent protein.</w:t>
      </w:r>
    </w:p>
    <w:p w14:paraId="0AD8D5EB" w14:textId="77777777" w:rsidR="00EC57D9" w:rsidRPr="00863252" w:rsidRDefault="00EC57D9" w:rsidP="004C34BB">
      <w:pPr>
        <w:pStyle w:val="ListParagraph"/>
        <w:ind w:left="0"/>
        <w:jc w:val="both"/>
        <w:rPr>
          <w:rFonts w:ascii="Calibri" w:eastAsia="Calibri" w:hAnsi="Calibri" w:cs="Calibri"/>
        </w:rPr>
      </w:pPr>
    </w:p>
    <w:p w14:paraId="4BD4C344" w14:textId="4B371D8F" w:rsidR="00F935C7" w:rsidRDefault="00F935C7" w:rsidP="004C34BB">
      <w:pPr>
        <w:pStyle w:val="ListParagraph"/>
        <w:numPr>
          <w:ilvl w:val="1"/>
          <w:numId w:val="13"/>
        </w:numPr>
        <w:ind w:left="0" w:firstLine="0"/>
        <w:jc w:val="both"/>
        <w:rPr>
          <w:rFonts w:ascii="Calibri" w:eastAsia="Calibri" w:hAnsi="Calibri" w:cs="Calibri"/>
        </w:rPr>
      </w:pPr>
      <w:r w:rsidRPr="00863252">
        <w:rPr>
          <w:rFonts w:ascii="Calibri" w:eastAsia="Calibri" w:hAnsi="Calibri" w:cs="Calibri"/>
        </w:rPr>
        <w:t>Transfer the suspension containing THP-1 cells and nucleic acid to the Nucleofector cuvette</w:t>
      </w:r>
      <w:r w:rsidR="00EC57D9">
        <w:rPr>
          <w:rFonts w:ascii="Calibri" w:eastAsia="Calibri" w:hAnsi="Calibri" w:cs="Calibri"/>
        </w:rPr>
        <w:t>.</w:t>
      </w:r>
    </w:p>
    <w:p w14:paraId="1C75E313" w14:textId="77777777" w:rsidR="00EC57D9" w:rsidRPr="00863252" w:rsidRDefault="00EC57D9" w:rsidP="004C34BB">
      <w:pPr>
        <w:pStyle w:val="ListParagraph"/>
        <w:ind w:left="0"/>
        <w:jc w:val="both"/>
        <w:rPr>
          <w:rFonts w:ascii="Calibri" w:eastAsia="Calibri" w:hAnsi="Calibri" w:cs="Calibri"/>
        </w:rPr>
      </w:pPr>
    </w:p>
    <w:p w14:paraId="3C53DE2C" w14:textId="5504F4A2" w:rsidR="00F935C7" w:rsidRPr="00EC57D9" w:rsidRDefault="00F935C7" w:rsidP="004C34BB">
      <w:pPr>
        <w:pStyle w:val="ListParagraph"/>
        <w:numPr>
          <w:ilvl w:val="1"/>
          <w:numId w:val="13"/>
        </w:numPr>
        <w:ind w:left="0" w:firstLine="0"/>
        <w:jc w:val="both"/>
        <w:rPr>
          <w:rFonts w:ascii="Calibri" w:eastAsia="Calibri" w:hAnsi="Calibri" w:cs="Calibri"/>
        </w:rPr>
      </w:pPr>
      <w:r w:rsidRPr="00863252">
        <w:rPr>
          <w:rFonts w:ascii="Calibri" w:hAnsi="Calibri" w:cs="Calibri"/>
        </w:rPr>
        <w:t>Transfect THP1 cells using Nucleofecto</w:t>
      </w:r>
      <w:r w:rsidRPr="00EC57D9">
        <w:rPr>
          <w:rFonts w:ascii="Calibri" w:hAnsi="Calibri" w:cs="Calibri"/>
        </w:rPr>
        <w:t>r Program Y-001.</w:t>
      </w:r>
    </w:p>
    <w:p w14:paraId="3A29DB65" w14:textId="77777777" w:rsidR="00EC57D9" w:rsidRPr="00EC57D9" w:rsidRDefault="00EC57D9" w:rsidP="004C34BB">
      <w:pPr>
        <w:pStyle w:val="ListParagraph"/>
        <w:ind w:left="0"/>
        <w:jc w:val="both"/>
        <w:rPr>
          <w:rFonts w:ascii="Calibri" w:eastAsia="Calibri" w:hAnsi="Calibri" w:cs="Calibri"/>
        </w:rPr>
      </w:pPr>
    </w:p>
    <w:p w14:paraId="787F08FC" w14:textId="691DE25E" w:rsidR="00F935C7" w:rsidRDefault="00F935C7" w:rsidP="004C34BB">
      <w:pPr>
        <w:pStyle w:val="ListParagraph"/>
        <w:numPr>
          <w:ilvl w:val="1"/>
          <w:numId w:val="13"/>
        </w:numPr>
        <w:ind w:left="0" w:firstLine="0"/>
        <w:jc w:val="both"/>
        <w:rPr>
          <w:rFonts w:ascii="Calibri" w:eastAsia="Calibri" w:hAnsi="Calibri" w:cs="Calibri"/>
        </w:rPr>
      </w:pPr>
      <w:r w:rsidRPr="00863252">
        <w:rPr>
          <w:rFonts w:ascii="Calibri" w:eastAsia="Calibri" w:hAnsi="Calibri" w:cs="Calibri"/>
        </w:rPr>
        <w:t xml:space="preserve">Recover the transfected cells </w:t>
      </w:r>
      <w:r w:rsidR="004C34BB" w:rsidRPr="004C34BB">
        <w:rPr>
          <w:rFonts w:ascii="Calibri" w:eastAsia="Calibri" w:hAnsi="Calibri" w:cs="Calibri"/>
        </w:rPr>
        <w:t>(</w:t>
      </w:r>
      <w:r w:rsidRPr="00863252">
        <w:rPr>
          <w:rFonts w:ascii="Calibri" w:eastAsia="Calibri" w:hAnsi="Calibri" w:cs="Calibri"/>
        </w:rPr>
        <w:t>2x10</w:t>
      </w:r>
      <w:r w:rsidRPr="00863252">
        <w:rPr>
          <w:rFonts w:ascii="Calibri" w:eastAsia="Calibri" w:hAnsi="Calibri" w:cs="Calibri"/>
          <w:vertAlign w:val="superscript"/>
        </w:rPr>
        <w:t>6</w:t>
      </w:r>
      <w:r w:rsidR="004C34BB" w:rsidRPr="004C34BB">
        <w:rPr>
          <w:rFonts w:ascii="Calibri" w:eastAsia="Calibri" w:hAnsi="Calibri" w:cs="Calibri"/>
        </w:rPr>
        <w:t>)</w:t>
      </w:r>
      <w:r w:rsidRPr="00863252">
        <w:rPr>
          <w:rFonts w:ascii="Calibri" w:eastAsia="Calibri" w:hAnsi="Calibri" w:cs="Calibri"/>
        </w:rPr>
        <w:t xml:space="preserve"> and seed in 500 </w:t>
      </w:r>
      <w:r w:rsidRPr="00863252">
        <w:rPr>
          <w:rFonts w:ascii="Calibri" w:hAnsi="Calibri" w:cs="Calibri"/>
        </w:rPr>
        <w:sym w:font="Symbol" w:char="F06D"/>
      </w:r>
      <w:r w:rsidRPr="00863252">
        <w:rPr>
          <w:rFonts w:ascii="Calibri" w:hAnsi="Calibri" w:cs="Calibri"/>
        </w:rPr>
        <w:t>L</w:t>
      </w:r>
      <w:r w:rsidRPr="00863252">
        <w:rPr>
          <w:rFonts w:ascii="Calibri" w:eastAsia="Calibri" w:hAnsi="Calibri" w:cs="Calibri"/>
        </w:rPr>
        <w:t xml:space="preserve"> RPMI medium on 24-well plates with 13 mm glass coverslips </w:t>
      </w:r>
    </w:p>
    <w:p w14:paraId="656BB54A" w14:textId="77777777" w:rsidR="00EC57D9" w:rsidRPr="00863252" w:rsidRDefault="00EC57D9" w:rsidP="004C34BB">
      <w:pPr>
        <w:pStyle w:val="ListParagraph"/>
        <w:ind w:left="0"/>
        <w:jc w:val="both"/>
        <w:rPr>
          <w:rFonts w:ascii="Calibri" w:eastAsia="Calibri" w:hAnsi="Calibri" w:cs="Calibri"/>
        </w:rPr>
      </w:pPr>
    </w:p>
    <w:p w14:paraId="3C88A4EE" w14:textId="6FCFD2A5" w:rsidR="00F935C7" w:rsidRDefault="00F935C7" w:rsidP="004C34BB">
      <w:pPr>
        <w:pStyle w:val="ListParagraph"/>
        <w:numPr>
          <w:ilvl w:val="1"/>
          <w:numId w:val="13"/>
        </w:numPr>
        <w:ind w:left="0" w:firstLine="0"/>
        <w:jc w:val="both"/>
        <w:rPr>
          <w:rFonts w:ascii="Calibri" w:eastAsia="Calibri" w:hAnsi="Calibri" w:cs="Calibri"/>
        </w:rPr>
      </w:pPr>
      <w:r w:rsidRPr="00863252">
        <w:rPr>
          <w:rFonts w:ascii="Calibri" w:eastAsia="Calibri" w:hAnsi="Calibri" w:cs="Calibri"/>
        </w:rPr>
        <w:t xml:space="preserve"> Incubate THP-1 cells in complete RPMI medium at 37 </w:t>
      </w:r>
      <w:r w:rsidR="00EC57D9">
        <w:rPr>
          <w:rFonts w:ascii="Calibri" w:eastAsia="Calibri" w:hAnsi="Calibri" w:cs="Calibri"/>
        </w:rPr>
        <w:t>°</w:t>
      </w:r>
      <w:r w:rsidRPr="00863252">
        <w:rPr>
          <w:rFonts w:ascii="Calibri" w:eastAsia="Calibri" w:hAnsi="Calibri" w:cs="Calibri"/>
        </w:rPr>
        <w:t>C for 0.5, 2, 4, 6, 12 and 24 h.</w:t>
      </w:r>
    </w:p>
    <w:p w14:paraId="12D10605" w14:textId="77777777" w:rsidR="00EC57D9" w:rsidRPr="00863252" w:rsidRDefault="00EC57D9" w:rsidP="004C34BB">
      <w:pPr>
        <w:pStyle w:val="ListParagraph"/>
        <w:ind w:left="0"/>
        <w:jc w:val="both"/>
        <w:rPr>
          <w:rFonts w:ascii="Calibri" w:eastAsia="Calibri" w:hAnsi="Calibri" w:cs="Calibri"/>
        </w:rPr>
      </w:pPr>
    </w:p>
    <w:p w14:paraId="612C2230" w14:textId="47C09636" w:rsidR="00F935C7" w:rsidRDefault="00F935C7" w:rsidP="004C34BB">
      <w:pPr>
        <w:pStyle w:val="ListParagraph"/>
        <w:numPr>
          <w:ilvl w:val="1"/>
          <w:numId w:val="13"/>
        </w:numPr>
        <w:ind w:left="0" w:firstLine="0"/>
        <w:jc w:val="both"/>
        <w:rPr>
          <w:rFonts w:ascii="Calibri" w:eastAsia="Calibri" w:hAnsi="Calibri" w:cs="Calibri"/>
        </w:rPr>
      </w:pPr>
      <w:r w:rsidRPr="00863252">
        <w:rPr>
          <w:rFonts w:ascii="Calibri" w:eastAsia="Calibri" w:hAnsi="Calibri" w:cs="Calibri"/>
        </w:rPr>
        <w:t>Repeat steps 3.13 and 3.1</w:t>
      </w:r>
      <w:r w:rsidR="00EC57D9">
        <w:rPr>
          <w:rFonts w:ascii="Calibri" w:eastAsia="Calibri" w:hAnsi="Calibri" w:cs="Calibri"/>
        </w:rPr>
        <w:t>3.</w:t>
      </w:r>
    </w:p>
    <w:p w14:paraId="75288292" w14:textId="77777777" w:rsidR="00F935C7" w:rsidRPr="00863252" w:rsidRDefault="00F935C7" w:rsidP="004C34BB">
      <w:pPr>
        <w:contextualSpacing/>
      </w:pPr>
    </w:p>
    <w:p w14:paraId="2E2613E6" w14:textId="4FC256F0" w:rsidR="00F935C7" w:rsidRDefault="00F935C7" w:rsidP="004C34BB">
      <w:pPr>
        <w:widowControl/>
        <w:numPr>
          <w:ilvl w:val="0"/>
          <w:numId w:val="13"/>
        </w:numPr>
        <w:ind w:left="0" w:firstLine="0"/>
        <w:contextualSpacing/>
        <w:rPr>
          <w:b/>
          <w:bCs/>
        </w:rPr>
      </w:pPr>
      <w:r w:rsidRPr="00863252">
        <w:rPr>
          <w:b/>
          <w:bCs/>
        </w:rPr>
        <w:t xml:space="preserve">Evaluation of the recruitment of LC3 to </w:t>
      </w:r>
      <w:r w:rsidRPr="00863252">
        <w:rPr>
          <w:b/>
          <w:bCs/>
          <w:i/>
          <w:iCs/>
        </w:rPr>
        <w:t>Leishmania</w:t>
      </w:r>
      <w:r w:rsidRPr="00863252">
        <w:rPr>
          <w:b/>
          <w:bCs/>
        </w:rPr>
        <w:t xml:space="preserve"> spp. PVs</w:t>
      </w:r>
    </w:p>
    <w:p w14:paraId="6D8E09EE" w14:textId="77777777" w:rsidR="00EC57D9" w:rsidRPr="00863252" w:rsidRDefault="00EC57D9" w:rsidP="004C34BB">
      <w:pPr>
        <w:widowControl/>
        <w:contextualSpacing/>
        <w:rPr>
          <w:b/>
          <w:bCs/>
        </w:rPr>
      </w:pPr>
    </w:p>
    <w:p w14:paraId="51547AB7" w14:textId="6D53E4EE" w:rsidR="00EC57D9" w:rsidRDefault="00F935C7" w:rsidP="004C34BB">
      <w:pPr>
        <w:contextualSpacing/>
      </w:pPr>
      <w:r w:rsidRPr="00863252">
        <w:t xml:space="preserve">NOTE: The autophagic membrane marker LC3 can be used to investigate whether phagosomes present autophagic features. LC3 recruitment to </w:t>
      </w:r>
      <w:r w:rsidRPr="00863252">
        <w:rPr>
          <w:i/>
          <w:iCs/>
        </w:rPr>
        <w:t>Leishmania</w:t>
      </w:r>
      <w:r w:rsidRPr="00863252">
        <w:t xml:space="preserve">-induced PVs can be assessed during infection by immunolabelling cells with the anti-LC3 antibody, as previously described by </w:t>
      </w:r>
      <w:r w:rsidRPr="00863252">
        <w:rPr>
          <w:noProof/>
        </w:rPr>
        <w:t>C. Matte</w:t>
      </w:r>
      <w:r w:rsidRPr="00863252">
        <w:rPr>
          <w:noProof/>
          <w:vertAlign w:val="superscript"/>
        </w:rPr>
        <w:t>32</w:t>
      </w:r>
      <w:r w:rsidRPr="00863252">
        <w:t xml:space="preserve"> and </w:t>
      </w:r>
      <w:r w:rsidRPr="00863252">
        <w:rPr>
          <w:noProof/>
        </w:rPr>
        <w:t>B. R. S. Dias</w:t>
      </w:r>
      <w:r w:rsidRPr="00863252">
        <w:rPr>
          <w:noProof/>
          <w:vertAlign w:val="superscript"/>
        </w:rPr>
        <w:t>33</w:t>
      </w:r>
      <w:r w:rsidRPr="00863252">
        <w:t>.</w:t>
      </w:r>
    </w:p>
    <w:p w14:paraId="4387B35F" w14:textId="77777777" w:rsidR="00EC57D9" w:rsidRPr="00EC57D9" w:rsidRDefault="00EC57D9" w:rsidP="004C34BB">
      <w:pPr>
        <w:contextualSpacing/>
      </w:pPr>
    </w:p>
    <w:p w14:paraId="062D0D25" w14:textId="4239A01A" w:rsidR="00F935C7"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rPr>
      </w:pPr>
      <w:r w:rsidRPr="00863252">
        <w:rPr>
          <w:rFonts w:ascii="Calibri" w:eastAsia="Calibri" w:hAnsi="Calibri" w:cs="Calibri"/>
        </w:rPr>
        <w:t>Seed 2 × 10</w:t>
      </w:r>
      <w:r w:rsidRPr="00863252">
        <w:rPr>
          <w:rFonts w:ascii="Calibri" w:eastAsia="Calibri" w:hAnsi="Calibri" w:cs="Calibri"/>
          <w:vertAlign w:val="superscript"/>
        </w:rPr>
        <w:t>5</w:t>
      </w:r>
      <w:r w:rsidRPr="00863252">
        <w:rPr>
          <w:rFonts w:ascii="Calibri" w:eastAsia="Calibri" w:hAnsi="Calibri" w:cs="Calibri"/>
        </w:rPr>
        <w:t xml:space="preserve"> THP-1 cells or human monocyte-derived macrophages in 500 </w:t>
      </w:r>
      <w:r w:rsidRPr="00863252">
        <w:rPr>
          <w:rFonts w:ascii="Calibri" w:hAnsi="Calibri" w:cs="Calibri"/>
        </w:rPr>
        <w:sym w:font="Symbol" w:char="F06D"/>
      </w:r>
      <w:r w:rsidRPr="00863252">
        <w:rPr>
          <w:rFonts w:ascii="Calibri" w:hAnsi="Calibri" w:cs="Calibri"/>
        </w:rPr>
        <w:t xml:space="preserve">L </w:t>
      </w:r>
      <w:r w:rsidRPr="00863252">
        <w:rPr>
          <w:rFonts w:ascii="Calibri" w:eastAsia="Calibri" w:hAnsi="Calibri" w:cs="Calibri"/>
        </w:rPr>
        <w:t>complete RPMI medium on a 24-well plate with 13 mm glass coverslips.</w:t>
      </w:r>
    </w:p>
    <w:p w14:paraId="37BFE85A" w14:textId="77777777" w:rsidR="00EC57D9" w:rsidRPr="00863252" w:rsidRDefault="00EC57D9" w:rsidP="004C34BB">
      <w:pPr>
        <w:pStyle w:val="NormalWeb"/>
        <w:spacing w:before="0" w:beforeAutospacing="0" w:after="0" w:afterAutospacing="0"/>
        <w:contextualSpacing/>
        <w:jc w:val="both"/>
        <w:rPr>
          <w:rFonts w:ascii="Calibri" w:eastAsia="Calibri" w:hAnsi="Calibri" w:cs="Calibri"/>
        </w:rPr>
      </w:pPr>
    </w:p>
    <w:p w14:paraId="095DE9D6" w14:textId="57CA982F" w:rsidR="00F935C7" w:rsidRDefault="00F935C7" w:rsidP="004C34BB">
      <w:pPr>
        <w:pStyle w:val="ListParagraph"/>
        <w:numPr>
          <w:ilvl w:val="1"/>
          <w:numId w:val="13"/>
        </w:numPr>
        <w:ind w:left="0" w:firstLine="0"/>
        <w:jc w:val="both"/>
        <w:rPr>
          <w:rFonts w:ascii="Calibri" w:hAnsi="Calibri" w:cs="Calibri"/>
        </w:rPr>
      </w:pPr>
      <w:r w:rsidRPr="00863252">
        <w:rPr>
          <w:rFonts w:ascii="Calibri" w:hAnsi="Calibri" w:cs="Calibri"/>
        </w:rPr>
        <w:t xml:space="preserve">Cultivate cells for 24 h at </w:t>
      </w:r>
      <w:r w:rsidRPr="00863252">
        <w:rPr>
          <w:rFonts w:ascii="Calibri" w:hAnsi="Calibri" w:cs="Calibri"/>
          <w:color w:val="000000"/>
          <w:shd w:val="clear" w:color="auto" w:fill="FFFFFF"/>
          <w:lang w:eastAsia="pt-BR"/>
        </w:rPr>
        <w:t>37 °C under 5% CO</w:t>
      </w:r>
      <w:r w:rsidRPr="00863252">
        <w:rPr>
          <w:rFonts w:ascii="Calibri" w:hAnsi="Calibri" w:cs="Calibri"/>
          <w:color w:val="000000"/>
          <w:shd w:val="clear" w:color="auto" w:fill="FFFFFF"/>
          <w:vertAlign w:val="subscript"/>
          <w:lang w:eastAsia="pt-BR"/>
        </w:rPr>
        <w:t>2</w:t>
      </w:r>
      <w:r w:rsidRPr="00863252">
        <w:rPr>
          <w:rFonts w:ascii="Calibri" w:hAnsi="Calibri" w:cs="Calibri"/>
        </w:rPr>
        <w:t>.</w:t>
      </w:r>
    </w:p>
    <w:p w14:paraId="123D25FC" w14:textId="77777777" w:rsidR="00EC57D9" w:rsidRPr="00863252" w:rsidRDefault="00EC57D9" w:rsidP="004C34BB">
      <w:pPr>
        <w:pStyle w:val="ListParagraph"/>
        <w:ind w:left="0"/>
        <w:jc w:val="both"/>
        <w:rPr>
          <w:rFonts w:ascii="Calibri" w:hAnsi="Calibri" w:cs="Calibri"/>
        </w:rPr>
      </w:pPr>
    </w:p>
    <w:p w14:paraId="72E05C5A" w14:textId="77926262" w:rsidR="00F935C7"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rPr>
      </w:pPr>
      <w:r w:rsidRPr="00863252">
        <w:rPr>
          <w:rFonts w:ascii="Calibri" w:eastAsia="Calibri" w:hAnsi="Calibri" w:cs="Calibri"/>
        </w:rPr>
        <w:t>Wash cells twice in 0.9% NaCl solution and incubate in complete RPMI medium.</w:t>
      </w:r>
    </w:p>
    <w:p w14:paraId="45D52F94" w14:textId="77777777" w:rsidR="00EC57D9" w:rsidRPr="00863252" w:rsidRDefault="00EC57D9" w:rsidP="004C34BB">
      <w:pPr>
        <w:pStyle w:val="NormalWeb"/>
        <w:spacing w:before="0" w:beforeAutospacing="0" w:after="0" w:afterAutospacing="0"/>
        <w:contextualSpacing/>
        <w:jc w:val="both"/>
        <w:rPr>
          <w:rFonts w:ascii="Calibri" w:eastAsia="Calibri" w:hAnsi="Calibri" w:cs="Calibri"/>
        </w:rPr>
      </w:pPr>
    </w:p>
    <w:p w14:paraId="2443EFF1" w14:textId="2B35F008" w:rsidR="00F935C7" w:rsidRPr="00EC57D9" w:rsidRDefault="00F935C7" w:rsidP="004C34BB">
      <w:pPr>
        <w:pStyle w:val="NormalWeb"/>
        <w:numPr>
          <w:ilvl w:val="1"/>
          <w:numId w:val="13"/>
        </w:numPr>
        <w:spacing w:before="0" w:beforeAutospacing="0" w:after="0" w:afterAutospacing="0"/>
        <w:ind w:left="0" w:firstLine="0"/>
        <w:contextualSpacing/>
        <w:jc w:val="both"/>
        <w:rPr>
          <w:rFonts w:ascii="Calibri" w:hAnsi="Calibri" w:cs="Calibri"/>
        </w:rPr>
      </w:pPr>
      <w:r w:rsidRPr="00863252">
        <w:rPr>
          <w:rFonts w:ascii="Calibri" w:eastAsia="Calibri" w:hAnsi="Calibri" w:cs="Calibri"/>
        </w:rPr>
        <w:lastRenderedPageBreak/>
        <w:t xml:space="preserve">Add stationary phase </w:t>
      </w:r>
      <w:r w:rsidRPr="00863252">
        <w:rPr>
          <w:rFonts w:ascii="Calibri" w:eastAsia="Calibri" w:hAnsi="Calibri" w:cs="Calibri"/>
          <w:i/>
          <w:iCs/>
        </w:rPr>
        <w:t>Leishmania</w:t>
      </w:r>
      <w:r w:rsidRPr="00863252">
        <w:rPr>
          <w:rFonts w:ascii="Calibri" w:eastAsia="Calibri" w:hAnsi="Calibri" w:cs="Calibri"/>
        </w:rPr>
        <w:t xml:space="preserve"> spp. promastigotes as described by </w:t>
      </w:r>
      <w:r w:rsidRPr="00863252">
        <w:rPr>
          <w:rFonts w:ascii="Calibri" w:eastAsia="Calibri" w:hAnsi="Calibri" w:cs="Calibri"/>
          <w:noProof/>
        </w:rPr>
        <w:t>A. L. Petersen</w:t>
      </w:r>
      <w:r w:rsidRPr="00863252">
        <w:rPr>
          <w:rFonts w:ascii="Calibri" w:eastAsia="Calibri" w:hAnsi="Calibri" w:cs="Calibri"/>
          <w:noProof/>
          <w:vertAlign w:val="superscript"/>
        </w:rPr>
        <w:t>22</w:t>
      </w:r>
      <w:r w:rsidRPr="00863252">
        <w:rPr>
          <w:rFonts w:ascii="Calibri" w:eastAsia="Calibri" w:hAnsi="Calibri" w:cs="Calibri"/>
        </w:rPr>
        <w:t xml:space="preserve"> at a </w:t>
      </w:r>
      <w:r w:rsidRPr="00863252">
        <w:rPr>
          <w:rFonts w:ascii="Calibri" w:hAnsi="Calibri" w:cs="Calibri"/>
        </w:rPr>
        <w:t>10:1</w:t>
      </w:r>
      <w:r w:rsidRPr="00863252">
        <w:rPr>
          <w:rFonts w:ascii="Calibri" w:eastAsia="Calibri" w:hAnsi="Calibri" w:cs="Calibri"/>
        </w:rPr>
        <w:t xml:space="preserve"> </w:t>
      </w:r>
      <w:r w:rsidR="004C34BB" w:rsidRPr="004C34BB">
        <w:rPr>
          <w:rFonts w:ascii="Calibri" w:eastAsia="Calibri" w:hAnsi="Calibri" w:cs="Calibri"/>
        </w:rPr>
        <w:t>(</w:t>
      </w:r>
      <w:r w:rsidRPr="00863252">
        <w:rPr>
          <w:rFonts w:ascii="Calibri" w:eastAsia="Calibri" w:hAnsi="Calibri" w:cs="Calibri"/>
        </w:rPr>
        <w:t>parasite: host cells</w:t>
      </w:r>
      <w:r w:rsidR="004C34BB" w:rsidRPr="004C34BB">
        <w:rPr>
          <w:rFonts w:ascii="Calibri" w:eastAsia="Calibri" w:hAnsi="Calibri" w:cs="Calibri"/>
        </w:rPr>
        <w:t>)</w:t>
      </w:r>
      <w:r w:rsidRPr="00863252">
        <w:rPr>
          <w:rFonts w:ascii="Calibri" w:eastAsia="Calibri" w:hAnsi="Calibri" w:cs="Calibri"/>
        </w:rPr>
        <w:t xml:space="preserve"> ratio and centrifuge cells at 720 × g for 5 min under 4 </w:t>
      </w:r>
      <w:r w:rsidR="00EC57D9">
        <w:rPr>
          <w:rFonts w:ascii="Calibri" w:eastAsia="Calibri" w:hAnsi="Calibri" w:cs="Calibri"/>
        </w:rPr>
        <w:t>°</w:t>
      </w:r>
      <w:r w:rsidRPr="00863252">
        <w:rPr>
          <w:rFonts w:ascii="Calibri" w:eastAsia="Calibri" w:hAnsi="Calibri" w:cs="Calibri"/>
        </w:rPr>
        <w:t>C.</w:t>
      </w:r>
    </w:p>
    <w:p w14:paraId="64D3B4B1" w14:textId="77777777" w:rsidR="00EC57D9" w:rsidRPr="00863252" w:rsidRDefault="00EC57D9" w:rsidP="004C34BB">
      <w:pPr>
        <w:pStyle w:val="NormalWeb"/>
        <w:spacing w:before="0" w:beforeAutospacing="0" w:after="0" w:afterAutospacing="0"/>
        <w:contextualSpacing/>
        <w:jc w:val="both"/>
        <w:rPr>
          <w:rFonts w:ascii="Calibri" w:hAnsi="Calibri" w:cs="Calibri"/>
        </w:rPr>
      </w:pPr>
    </w:p>
    <w:p w14:paraId="424DBF92" w14:textId="77777777" w:rsidR="004C34BB" w:rsidRPr="004C34BB" w:rsidRDefault="004C34BB" w:rsidP="004C34BB">
      <w:pPr>
        <w:pStyle w:val="NormalWeb"/>
        <w:numPr>
          <w:ilvl w:val="1"/>
          <w:numId w:val="13"/>
        </w:numPr>
        <w:spacing w:before="0" w:beforeAutospacing="0" w:after="0" w:afterAutospacing="0"/>
        <w:ind w:left="0" w:firstLine="0"/>
        <w:contextualSpacing/>
        <w:jc w:val="both"/>
        <w:rPr>
          <w:rFonts w:ascii="Calibri" w:hAnsi="Calibri" w:cs="Calibri"/>
        </w:rPr>
      </w:pPr>
      <w:r>
        <w:rPr>
          <w:rFonts w:ascii="Calibri" w:eastAsia="Calibri" w:hAnsi="Calibri" w:cs="Calibri"/>
        </w:rPr>
        <w:t>I</w:t>
      </w:r>
      <w:r w:rsidR="00F935C7" w:rsidRPr="00863252">
        <w:rPr>
          <w:rFonts w:ascii="Calibri" w:eastAsia="Calibri" w:hAnsi="Calibri" w:cs="Calibri"/>
        </w:rPr>
        <w:t xml:space="preserve">ncubate at 37 </w:t>
      </w:r>
      <w:r w:rsidR="00EC57D9">
        <w:rPr>
          <w:rFonts w:ascii="Calibri" w:eastAsia="Calibri" w:hAnsi="Calibri" w:cs="Calibri"/>
        </w:rPr>
        <w:t>°</w:t>
      </w:r>
      <w:r w:rsidR="00F935C7" w:rsidRPr="00863252">
        <w:rPr>
          <w:rFonts w:ascii="Calibri" w:eastAsia="Calibri" w:hAnsi="Calibri" w:cs="Calibri"/>
        </w:rPr>
        <w:t xml:space="preserve">C for 30 min or 4 h. Then wash twice and fix the cells to evaluate the LC3 recruitment to </w:t>
      </w:r>
      <w:r w:rsidR="00F935C7" w:rsidRPr="00863252">
        <w:rPr>
          <w:rFonts w:ascii="Calibri" w:eastAsia="Calibri" w:hAnsi="Calibri" w:cs="Calibri"/>
          <w:i/>
          <w:iCs/>
        </w:rPr>
        <w:t>Leishmania</w:t>
      </w:r>
      <w:r w:rsidR="00F935C7" w:rsidRPr="00863252">
        <w:rPr>
          <w:rFonts w:ascii="Calibri" w:eastAsia="Calibri" w:hAnsi="Calibri" w:cs="Calibri"/>
        </w:rPr>
        <w:t xml:space="preserve">-induced PV membranes at the early stages of infection. </w:t>
      </w:r>
    </w:p>
    <w:p w14:paraId="29D95CFB" w14:textId="77777777" w:rsidR="004C34BB" w:rsidRDefault="004C34BB" w:rsidP="004C34BB">
      <w:pPr>
        <w:pStyle w:val="ListParagraph"/>
        <w:ind w:left="0"/>
        <w:rPr>
          <w:rFonts w:ascii="Calibri" w:eastAsia="Calibri" w:hAnsi="Calibri" w:cs="Calibri"/>
        </w:rPr>
      </w:pPr>
    </w:p>
    <w:p w14:paraId="5D58C525" w14:textId="11C065A4" w:rsidR="00F935C7" w:rsidRPr="00EC57D9" w:rsidRDefault="00F935C7" w:rsidP="004C34BB">
      <w:pPr>
        <w:pStyle w:val="NormalWeb"/>
        <w:numPr>
          <w:ilvl w:val="2"/>
          <w:numId w:val="19"/>
        </w:numPr>
        <w:spacing w:before="0" w:beforeAutospacing="0" w:after="0" w:afterAutospacing="0"/>
        <w:ind w:left="0" w:firstLine="0"/>
        <w:contextualSpacing/>
        <w:jc w:val="both"/>
        <w:rPr>
          <w:rFonts w:ascii="Calibri" w:hAnsi="Calibri" w:cs="Calibri"/>
        </w:rPr>
      </w:pPr>
      <w:r w:rsidRPr="00863252">
        <w:rPr>
          <w:rFonts w:ascii="Calibri" w:eastAsia="Calibri" w:hAnsi="Calibri" w:cs="Calibri"/>
        </w:rPr>
        <w:t xml:space="preserve">Alternatively, to assess LC3 recruitment to PV membranes at later stages of infection, wash twice another macrophage group at 4 h of infection to remove any non-internalized promastigotes. </w:t>
      </w:r>
      <w:r w:rsidR="004C34BB">
        <w:rPr>
          <w:rFonts w:ascii="Calibri" w:eastAsia="Calibri" w:hAnsi="Calibri" w:cs="Calibri"/>
        </w:rPr>
        <w:t>I</w:t>
      </w:r>
      <w:r w:rsidRPr="00863252">
        <w:rPr>
          <w:rFonts w:ascii="Calibri" w:eastAsia="Calibri" w:hAnsi="Calibri" w:cs="Calibri"/>
        </w:rPr>
        <w:t>ncubate infected cells in complete RPMI medium for an additional 12 h and 24 h, to finally wash twice and fix.</w:t>
      </w:r>
    </w:p>
    <w:p w14:paraId="78EC73AB" w14:textId="77777777" w:rsidR="00EC57D9" w:rsidRPr="00863252" w:rsidRDefault="00EC57D9" w:rsidP="004C34BB">
      <w:pPr>
        <w:pStyle w:val="NormalWeb"/>
        <w:spacing w:before="0" w:beforeAutospacing="0" w:after="0" w:afterAutospacing="0"/>
        <w:contextualSpacing/>
        <w:jc w:val="both"/>
        <w:rPr>
          <w:rFonts w:ascii="Calibri" w:hAnsi="Calibri" w:cs="Calibri"/>
        </w:rPr>
      </w:pPr>
    </w:p>
    <w:p w14:paraId="5745C599" w14:textId="59AEE007" w:rsidR="004C34BB" w:rsidRDefault="00F935C7" w:rsidP="004C34BB">
      <w:pPr>
        <w:pStyle w:val="NormalWeb"/>
        <w:spacing w:before="0" w:beforeAutospacing="0" w:after="0" w:afterAutospacing="0"/>
        <w:contextualSpacing/>
        <w:jc w:val="both"/>
        <w:rPr>
          <w:rFonts w:ascii="Calibri" w:eastAsia="Calibri" w:hAnsi="Calibri" w:cs="Calibri"/>
        </w:rPr>
      </w:pPr>
      <w:r w:rsidRPr="00863252">
        <w:rPr>
          <w:rFonts w:ascii="Calibri" w:eastAsia="Calibri" w:hAnsi="Calibri" w:cs="Calibri"/>
        </w:rPr>
        <w:t xml:space="preserve">NOTE: Fixed cells can be kept in PBS or 0.9% NaCl solution at 4 </w:t>
      </w:r>
      <w:r w:rsidR="004C34BB">
        <w:rPr>
          <w:rFonts w:ascii="Calibri" w:eastAsia="Calibri" w:hAnsi="Calibri" w:cs="Calibri"/>
        </w:rPr>
        <w:t>°</w:t>
      </w:r>
      <w:r w:rsidRPr="00863252">
        <w:rPr>
          <w:rFonts w:ascii="Calibri" w:eastAsia="Calibri" w:hAnsi="Calibri" w:cs="Calibri"/>
        </w:rPr>
        <w:t>C until labeling.</w:t>
      </w:r>
    </w:p>
    <w:p w14:paraId="4C87E1A0" w14:textId="77777777" w:rsidR="004C34BB" w:rsidRPr="00863252" w:rsidRDefault="004C34BB" w:rsidP="004C34BB">
      <w:pPr>
        <w:pStyle w:val="NormalWeb"/>
        <w:spacing w:before="0" w:beforeAutospacing="0" w:after="0" w:afterAutospacing="0"/>
        <w:contextualSpacing/>
        <w:jc w:val="both"/>
        <w:rPr>
          <w:rFonts w:ascii="Calibri" w:eastAsia="Calibri" w:hAnsi="Calibri" w:cs="Calibri"/>
        </w:rPr>
      </w:pPr>
    </w:p>
    <w:p w14:paraId="7B52550A" w14:textId="36A4F68C" w:rsidR="00F935C7"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rPr>
      </w:pPr>
      <w:r w:rsidRPr="00863252">
        <w:rPr>
          <w:rFonts w:ascii="Calibri" w:eastAsia="Calibri" w:hAnsi="Calibri" w:cs="Calibri"/>
        </w:rPr>
        <w:t xml:space="preserve">Simultaneously block and permeabilize the fixed cells in 0.1% Triton X-100, 1% BSA, 20% normal goat serum, 6% non-fat dry milk, and 50% FBS for 20 min at room temperature. </w:t>
      </w:r>
    </w:p>
    <w:p w14:paraId="7193171F" w14:textId="77777777" w:rsidR="004C34BB" w:rsidRPr="00863252" w:rsidRDefault="004C34BB" w:rsidP="004C34BB">
      <w:pPr>
        <w:pStyle w:val="NormalWeb"/>
        <w:spacing w:before="0" w:beforeAutospacing="0" w:after="0" w:afterAutospacing="0"/>
        <w:contextualSpacing/>
        <w:jc w:val="both"/>
        <w:rPr>
          <w:rFonts w:ascii="Calibri" w:eastAsia="Calibri" w:hAnsi="Calibri" w:cs="Calibri"/>
        </w:rPr>
      </w:pPr>
    </w:p>
    <w:p w14:paraId="2095615D" w14:textId="50342F7F" w:rsidR="00F935C7"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rPr>
      </w:pPr>
      <w:r w:rsidRPr="00863252">
        <w:rPr>
          <w:rFonts w:ascii="Calibri" w:eastAsia="Calibri" w:hAnsi="Calibri" w:cs="Calibri"/>
        </w:rPr>
        <w:t xml:space="preserve">Incubate the cells with anti-LC3 antibody </w:t>
      </w:r>
      <w:r w:rsidR="004C34BB" w:rsidRPr="004C34BB">
        <w:rPr>
          <w:rFonts w:ascii="Calibri" w:eastAsia="Calibri" w:hAnsi="Calibri" w:cs="Calibri"/>
        </w:rPr>
        <w:t>(</w:t>
      </w:r>
      <w:r w:rsidRPr="00863252">
        <w:rPr>
          <w:rFonts w:ascii="Calibri" w:eastAsia="Calibri" w:hAnsi="Calibri" w:cs="Calibri"/>
        </w:rPr>
        <w:t>1: 200</w:t>
      </w:r>
      <w:r w:rsidR="004C34BB" w:rsidRPr="004C34BB">
        <w:rPr>
          <w:rFonts w:ascii="Calibri" w:eastAsia="Calibri" w:hAnsi="Calibri" w:cs="Calibri"/>
        </w:rPr>
        <w:t>)</w:t>
      </w:r>
      <w:r w:rsidRPr="00863252">
        <w:rPr>
          <w:rFonts w:ascii="Calibri" w:eastAsia="Calibri" w:hAnsi="Calibri" w:cs="Calibri"/>
        </w:rPr>
        <w:t xml:space="preserve"> diluted in PBS for 2 h at room temperature.</w:t>
      </w:r>
    </w:p>
    <w:p w14:paraId="6EC74EB3" w14:textId="77777777" w:rsidR="004C34BB" w:rsidRPr="00863252" w:rsidRDefault="004C34BB" w:rsidP="004C34BB">
      <w:pPr>
        <w:pStyle w:val="NormalWeb"/>
        <w:spacing w:before="0" w:beforeAutospacing="0" w:after="0" w:afterAutospacing="0"/>
        <w:contextualSpacing/>
        <w:jc w:val="both"/>
        <w:rPr>
          <w:rFonts w:ascii="Calibri" w:eastAsia="Calibri" w:hAnsi="Calibri" w:cs="Calibri"/>
        </w:rPr>
      </w:pPr>
    </w:p>
    <w:p w14:paraId="0F75970A" w14:textId="412C7441" w:rsidR="004C34BB" w:rsidRDefault="00F935C7" w:rsidP="004C34BB">
      <w:pPr>
        <w:contextualSpacing/>
      </w:pPr>
      <w:r w:rsidRPr="00863252">
        <w:t xml:space="preserve">NOTE: As a negative control of the immunostaining, a group of cells should be incubated with immunoglobulin G </w:t>
      </w:r>
      <w:r w:rsidR="004C34BB" w:rsidRPr="004C34BB">
        <w:t>(</w:t>
      </w:r>
      <w:r w:rsidRPr="00863252">
        <w:t>IgG</w:t>
      </w:r>
      <w:r w:rsidR="004C34BB" w:rsidRPr="004C34BB">
        <w:t>)</w:t>
      </w:r>
      <w:r w:rsidRPr="00863252">
        <w:t xml:space="preserve"> from the animal of primary antibody origin in a concentration equivalent to that used for the primary antibody.</w:t>
      </w:r>
    </w:p>
    <w:p w14:paraId="4B6E2295" w14:textId="77777777" w:rsidR="004C34BB" w:rsidRPr="00863252" w:rsidRDefault="004C34BB" w:rsidP="004C34BB">
      <w:pPr>
        <w:contextualSpacing/>
      </w:pPr>
    </w:p>
    <w:p w14:paraId="253837E0" w14:textId="71965F82" w:rsidR="00F935C7"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rPr>
      </w:pPr>
      <w:r w:rsidRPr="00863252">
        <w:rPr>
          <w:rFonts w:ascii="Calibri" w:eastAsia="Calibri" w:hAnsi="Calibri" w:cs="Calibri"/>
        </w:rPr>
        <w:t>Wash the cells thrice with 0.9% NaCl solution at room temperature.</w:t>
      </w:r>
    </w:p>
    <w:p w14:paraId="30DAEE3F" w14:textId="77777777" w:rsidR="004C34BB" w:rsidRPr="00863252" w:rsidRDefault="004C34BB" w:rsidP="004C34BB">
      <w:pPr>
        <w:pStyle w:val="NormalWeb"/>
        <w:spacing w:before="0" w:beforeAutospacing="0" w:after="0" w:afterAutospacing="0"/>
        <w:contextualSpacing/>
        <w:jc w:val="both"/>
        <w:rPr>
          <w:rFonts w:ascii="Calibri" w:eastAsia="Calibri" w:hAnsi="Calibri" w:cs="Calibri"/>
        </w:rPr>
      </w:pPr>
    </w:p>
    <w:p w14:paraId="78C454FA" w14:textId="530C480F" w:rsidR="00F935C7"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rPr>
      </w:pPr>
      <w:r w:rsidRPr="00863252">
        <w:rPr>
          <w:rFonts w:ascii="Calibri" w:eastAsia="Calibri" w:hAnsi="Calibri" w:cs="Calibri"/>
        </w:rPr>
        <w:t xml:space="preserve"> Incubate the cells with AlexaFluor 488-conjugated goat anti-rabbit IgG </w:t>
      </w:r>
      <w:r w:rsidR="004C34BB" w:rsidRPr="004C34BB">
        <w:rPr>
          <w:rFonts w:ascii="Calibri" w:eastAsia="Calibri" w:hAnsi="Calibri" w:cs="Calibri"/>
        </w:rPr>
        <w:t>(</w:t>
      </w:r>
      <w:r w:rsidRPr="00863252">
        <w:rPr>
          <w:rFonts w:ascii="Calibri" w:eastAsia="Calibri" w:hAnsi="Calibri" w:cs="Calibri"/>
        </w:rPr>
        <w:t>1:500</w:t>
      </w:r>
      <w:r w:rsidR="004C34BB" w:rsidRPr="004C34BB">
        <w:rPr>
          <w:rFonts w:ascii="Calibri" w:eastAsia="Calibri" w:hAnsi="Calibri" w:cs="Calibri"/>
        </w:rPr>
        <w:t>)</w:t>
      </w:r>
      <w:r w:rsidRPr="00863252">
        <w:rPr>
          <w:rFonts w:ascii="Calibri" w:eastAsia="Calibri" w:hAnsi="Calibri" w:cs="Calibri"/>
        </w:rPr>
        <w:t xml:space="preserve"> or </w:t>
      </w:r>
      <w:r w:rsidR="004C34BB">
        <w:rPr>
          <w:rFonts w:ascii="Calibri" w:eastAsia="Calibri" w:hAnsi="Calibri" w:cs="Calibri"/>
        </w:rPr>
        <w:t>the</w:t>
      </w:r>
      <w:r w:rsidRPr="00863252">
        <w:rPr>
          <w:rFonts w:ascii="Calibri" w:eastAsia="Calibri" w:hAnsi="Calibri" w:cs="Calibri"/>
        </w:rPr>
        <w:t xml:space="preserve"> preferred fluorescent-dye conjugated secondary antibodies for 1 h at room temperature.</w:t>
      </w:r>
    </w:p>
    <w:p w14:paraId="104CB97E" w14:textId="77777777" w:rsidR="004C34BB" w:rsidRPr="00863252" w:rsidRDefault="004C34BB" w:rsidP="004C34BB">
      <w:pPr>
        <w:pStyle w:val="NormalWeb"/>
        <w:spacing w:before="0" w:beforeAutospacing="0" w:after="0" w:afterAutospacing="0"/>
        <w:contextualSpacing/>
        <w:jc w:val="both"/>
        <w:rPr>
          <w:rFonts w:ascii="Calibri" w:eastAsia="Calibri" w:hAnsi="Calibri" w:cs="Calibri"/>
        </w:rPr>
      </w:pPr>
    </w:p>
    <w:p w14:paraId="1EFCFB66" w14:textId="05037D34" w:rsidR="00F935C7"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rPr>
      </w:pPr>
      <w:r w:rsidRPr="00863252">
        <w:rPr>
          <w:rFonts w:ascii="Calibri" w:eastAsia="Calibri" w:hAnsi="Calibri" w:cs="Calibri"/>
        </w:rPr>
        <w:t>Wash the cells thrice with 0.9% NaCl solution at room temperature.</w:t>
      </w:r>
    </w:p>
    <w:p w14:paraId="71E6D3F5" w14:textId="77777777" w:rsidR="004C34BB" w:rsidRPr="00863252" w:rsidRDefault="004C34BB" w:rsidP="004C34BB">
      <w:pPr>
        <w:pStyle w:val="NormalWeb"/>
        <w:spacing w:before="0" w:beforeAutospacing="0" w:after="0" w:afterAutospacing="0"/>
        <w:contextualSpacing/>
        <w:jc w:val="both"/>
        <w:rPr>
          <w:rFonts w:ascii="Calibri" w:eastAsia="Calibri" w:hAnsi="Calibri" w:cs="Calibri"/>
        </w:rPr>
      </w:pPr>
    </w:p>
    <w:p w14:paraId="6A454634" w14:textId="23D3DD70" w:rsidR="00F935C7" w:rsidRDefault="00F935C7" w:rsidP="004C34BB">
      <w:pPr>
        <w:pStyle w:val="NormalWeb"/>
        <w:numPr>
          <w:ilvl w:val="1"/>
          <w:numId w:val="13"/>
        </w:numPr>
        <w:spacing w:before="0" w:beforeAutospacing="0" w:after="0" w:afterAutospacing="0"/>
        <w:ind w:left="0" w:firstLine="0"/>
        <w:contextualSpacing/>
        <w:jc w:val="both"/>
        <w:rPr>
          <w:rFonts w:ascii="Calibri" w:eastAsia="Calibri" w:hAnsi="Calibri" w:cs="Calibri"/>
        </w:rPr>
      </w:pPr>
      <w:r w:rsidRPr="00863252">
        <w:rPr>
          <w:rFonts w:ascii="Calibri" w:eastAsia="Calibri" w:hAnsi="Calibri" w:cs="Calibri"/>
        </w:rPr>
        <w:t>Mount coverslips using preferred mounting media.</w:t>
      </w:r>
    </w:p>
    <w:p w14:paraId="160A3830" w14:textId="77777777" w:rsidR="004C34BB" w:rsidRPr="00863252" w:rsidRDefault="004C34BB" w:rsidP="004C34BB">
      <w:pPr>
        <w:pStyle w:val="NormalWeb"/>
        <w:spacing w:before="0" w:beforeAutospacing="0" w:after="0" w:afterAutospacing="0"/>
        <w:contextualSpacing/>
        <w:jc w:val="both"/>
        <w:rPr>
          <w:rFonts w:ascii="Calibri" w:eastAsia="Calibri" w:hAnsi="Calibri" w:cs="Calibri"/>
        </w:rPr>
      </w:pPr>
    </w:p>
    <w:p w14:paraId="7EA32409" w14:textId="59F7F144" w:rsidR="00F935C7" w:rsidRPr="004C34BB" w:rsidRDefault="00F935C7" w:rsidP="004C34BB">
      <w:pPr>
        <w:pStyle w:val="NormalWeb"/>
        <w:numPr>
          <w:ilvl w:val="1"/>
          <w:numId w:val="13"/>
        </w:numPr>
        <w:spacing w:before="0" w:beforeAutospacing="0" w:after="0" w:afterAutospacing="0"/>
        <w:ind w:left="0" w:firstLine="0"/>
        <w:contextualSpacing/>
        <w:jc w:val="both"/>
        <w:rPr>
          <w:rFonts w:ascii="Calibri" w:hAnsi="Calibri" w:cs="Calibri"/>
        </w:rPr>
      </w:pPr>
      <w:r w:rsidRPr="00863252">
        <w:rPr>
          <w:rFonts w:ascii="Calibri" w:eastAsia="Calibri" w:hAnsi="Calibri" w:cs="Calibri"/>
        </w:rPr>
        <w:t>Acquire images via confocal fluorescence microscope using a 63x/1.4 objective.</w:t>
      </w:r>
    </w:p>
    <w:p w14:paraId="17EF95D2" w14:textId="77777777" w:rsidR="004C34BB" w:rsidRPr="00863252" w:rsidRDefault="004C34BB" w:rsidP="004C34BB">
      <w:pPr>
        <w:pStyle w:val="NormalWeb"/>
        <w:spacing w:before="0" w:beforeAutospacing="0" w:after="0" w:afterAutospacing="0"/>
        <w:contextualSpacing/>
        <w:jc w:val="both"/>
        <w:rPr>
          <w:rFonts w:ascii="Calibri" w:hAnsi="Calibri" w:cs="Calibri"/>
        </w:rPr>
      </w:pPr>
    </w:p>
    <w:p w14:paraId="53AA63BB" w14:textId="42050C1D" w:rsidR="00F935C7" w:rsidRDefault="00F935C7" w:rsidP="004C34BB">
      <w:pPr>
        <w:pStyle w:val="ListParagraph"/>
        <w:numPr>
          <w:ilvl w:val="0"/>
          <w:numId w:val="15"/>
        </w:numPr>
        <w:ind w:left="0" w:firstLine="0"/>
        <w:jc w:val="both"/>
        <w:rPr>
          <w:rFonts w:ascii="Calibri" w:hAnsi="Calibri" w:cs="Calibri"/>
          <w:b/>
          <w:bCs/>
        </w:rPr>
      </w:pPr>
      <w:r w:rsidRPr="00863252">
        <w:rPr>
          <w:rFonts w:ascii="Calibri" w:hAnsi="Calibri" w:cs="Calibri"/>
          <w:b/>
          <w:bCs/>
        </w:rPr>
        <w:t>Confocal microscopy acquisition and Fiji quantification</w:t>
      </w:r>
    </w:p>
    <w:p w14:paraId="56AE86CE" w14:textId="77777777" w:rsidR="004C34BB" w:rsidRPr="00863252" w:rsidRDefault="004C34BB" w:rsidP="004C34BB">
      <w:pPr>
        <w:pStyle w:val="ListParagraph"/>
        <w:ind w:left="0"/>
        <w:jc w:val="both"/>
        <w:rPr>
          <w:rFonts w:ascii="Calibri" w:hAnsi="Calibri" w:cs="Calibri"/>
          <w:b/>
          <w:bCs/>
        </w:rPr>
      </w:pPr>
    </w:p>
    <w:p w14:paraId="40191265" w14:textId="7A3460CA" w:rsidR="004C34BB" w:rsidRDefault="00F935C7" w:rsidP="004C34BB">
      <w:pPr>
        <w:contextualSpacing/>
      </w:pPr>
      <w:r w:rsidRPr="00863252">
        <w:t xml:space="preserve">NOTE: Acquiring immunofluorescence images should be performed using a confocal laser scanning microscope. To reach a better resolution, use an oil-immersion 63x objective lens. </w:t>
      </w:r>
    </w:p>
    <w:p w14:paraId="46722DAD" w14:textId="77777777" w:rsidR="004C34BB" w:rsidRPr="00863252" w:rsidRDefault="004C34BB" w:rsidP="004C34BB">
      <w:pPr>
        <w:contextualSpacing/>
      </w:pPr>
    </w:p>
    <w:p w14:paraId="63FEEFF6" w14:textId="6695B11D" w:rsidR="00F935C7" w:rsidRDefault="00F935C7" w:rsidP="004C34BB">
      <w:pPr>
        <w:pStyle w:val="ListParagraph"/>
        <w:numPr>
          <w:ilvl w:val="1"/>
          <w:numId w:val="16"/>
        </w:numPr>
        <w:ind w:left="0" w:firstLine="0"/>
        <w:jc w:val="both"/>
        <w:rPr>
          <w:rFonts w:ascii="Calibri" w:hAnsi="Calibri" w:cs="Calibri"/>
        </w:rPr>
      </w:pPr>
      <w:r w:rsidRPr="00863252">
        <w:rPr>
          <w:rFonts w:ascii="Calibri" w:hAnsi="Calibri" w:cs="Calibri"/>
        </w:rPr>
        <w:t>Leave the 13 mm glass coverslips at room temperature and protect them from the light at least 30 min before the acquisition.</w:t>
      </w:r>
    </w:p>
    <w:p w14:paraId="17B8A18B" w14:textId="77777777" w:rsidR="004C34BB" w:rsidRPr="00863252" w:rsidRDefault="004C34BB" w:rsidP="004C34BB">
      <w:pPr>
        <w:pStyle w:val="ListParagraph"/>
        <w:ind w:left="0"/>
        <w:jc w:val="both"/>
        <w:rPr>
          <w:rFonts w:ascii="Calibri" w:hAnsi="Calibri" w:cs="Calibri"/>
        </w:rPr>
      </w:pPr>
    </w:p>
    <w:p w14:paraId="4648967F" w14:textId="1DE1B7F8" w:rsidR="00F935C7" w:rsidRDefault="00F935C7" w:rsidP="004C34BB">
      <w:pPr>
        <w:pStyle w:val="ListParagraph"/>
        <w:numPr>
          <w:ilvl w:val="1"/>
          <w:numId w:val="16"/>
        </w:numPr>
        <w:ind w:left="0" w:firstLine="0"/>
        <w:jc w:val="both"/>
        <w:rPr>
          <w:rFonts w:ascii="Calibri" w:hAnsi="Calibri" w:cs="Calibri"/>
        </w:rPr>
      </w:pPr>
      <w:r w:rsidRPr="00863252">
        <w:rPr>
          <w:rFonts w:ascii="Calibri" w:hAnsi="Calibri" w:cs="Calibri"/>
        </w:rPr>
        <w:t>Clean the coverslips with an absorbent tissue.</w:t>
      </w:r>
    </w:p>
    <w:p w14:paraId="1B2BB84A" w14:textId="77777777" w:rsidR="004C34BB" w:rsidRPr="00863252" w:rsidRDefault="004C34BB" w:rsidP="004C34BB">
      <w:pPr>
        <w:pStyle w:val="ListParagraph"/>
        <w:ind w:left="0"/>
        <w:jc w:val="both"/>
        <w:rPr>
          <w:rFonts w:ascii="Calibri" w:hAnsi="Calibri" w:cs="Calibri"/>
        </w:rPr>
      </w:pPr>
    </w:p>
    <w:p w14:paraId="69C24FB7" w14:textId="6E7CCABE" w:rsidR="00F935C7" w:rsidRDefault="00F935C7" w:rsidP="004C34BB">
      <w:pPr>
        <w:pStyle w:val="ListParagraph"/>
        <w:numPr>
          <w:ilvl w:val="1"/>
          <w:numId w:val="16"/>
        </w:numPr>
        <w:ind w:left="0" w:firstLine="0"/>
        <w:jc w:val="both"/>
        <w:rPr>
          <w:rFonts w:ascii="Calibri" w:hAnsi="Calibri" w:cs="Calibri"/>
        </w:rPr>
      </w:pPr>
      <w:r w:rsidRPr="00863252">
        <w:rPr>
          <w:rFonts w:ascii="Calibri" w:hAnsi="Calibri" w:cs="Calibri"/>
        </w:rPr>
        <w:lastRenderedPageBreak/>
        <w:t>Add a drop of immersion oil to the objective and add the slide.</w:t>
      </w:r>
    </w:p>
    <w:p w14:paraId="447AD7C7" w14:textId="77777777" w:rsidR="004C34BB" w:rsidRPr="00863252" w:rsidRDefault="004C34BB" w:rsidP="004C34BB">
      <w:pPr>
        <w:pStyle w:val="ListParagraph"/>
        <w:ind w:left="0"/>
        <w:jc w:val="both"/>
        <w:rPr>
          <w:rFonts w:ascii="Calibri" w:hAnsi="Calibri" w:cs="Calibri"/>
        </w:rPr>
      </w:pPr>
    </w:p>
    <w:p w14:paraId="5E79078E" w14:textId="1E27D7BB" w:rsidR="00F935C7" w:rsidRDefault="00F935C7" w:rsidP="004C34BB">
      <w:pPr>
        <w:pStyle w:val="ListParagraph"/>
        <w:numPr>
          <w:ilvl w:val="1"/>
          <w:numId w:val="16"/>
        </w:numPr>
        <w:ind w:left="0" w:firstLine="0"/>
        <w:jc w:val="both"/>
        <w:rPr>
          <w:rFonts w:ascii="Calibri" w:hAnsi="Calibri" w:cs="Calibri"/>
        </w:rPr>
      </w:pPr>
      <w:r w:rsidRPr="00863252">
        <w:rPr>
          <w:rFonts w:ascii="Calibri" w:hAnsi="Calibri" w:cs="Calibri"/>
        </w:rPr>
        <w:t>Move the objective up until the oil touches the slide.</w:t>
      </w:r>
    </w:p>
    <w:p w14:paraId="798BD72E" w14:textId="77777777" w:rsidR="004C34BB" w:rsidRPr="00863252" w:rsidRDefault="004C34BB" w:rsidP="004C34BB">
      <w:pPr>
        <w:pStyle w:val="ListParagraph"/>
        <w:ind w:left="0"/>
        <w:jc w:val="both"/>
        <w:rPr>
          <w:rFonts w:ascii="Calibri" w:hAnsi="Calibri" w:cs="Calibri"/>
        </w:rPr>
      </w:pPr>
    </w:p>
    <w:p w14:paraId="6423B7E3" w14:textId="3B4A95E7" w:rsidR="00F935C7" w:rsidRDefault="00F935C7" w:rsidP="004C34BB">
      <w:pPr>
        <w:pStyle w:val="ListParagraph"/>
        <w:numPr>
          <w:ilvl w:val="1"/>
          <w:numId w:val="16"/>
        </w:numPr>
        <w:ind w:left="0" w:firstLine="0"/>
        <w:jc w:val="both"/>
        <w:rPr>
          <w:rFonts w:ascii="Calibri" w:hAnsi="Calibri" w:cs="Calibri"/>
        </w:rPr>
      </w:pPr>
      <w:r w:rsidRPr="00863252">
        <w:rPr>
          <w:rFonts w:ascii="Calibri" w:hAnsi="Calibri" w:cs="Calibri"/>
        </w:rPr>
        <w:t>Observe and adjust the focus on the microscope and choose the option 63x objective with oil.</w:t>
      </w:r>
    </w:p>
    <w:p w14:paraId="376585E0" w14:textId="77777777" w:rsidR="004C34BB" w:rsidRPr="00863252" w:rsidRDefault="004C34BB" w:rsidP="004C34BB">
      <w:pPr>
        <w:pStyle w:val="ListParagraph"/>
        <w:ind w:left="0"/>
        <w:jc w:val="both"/>
        <w:rPr>
          <w:rFonts w:ascii="Calibri" w:hAnsi="Calibri" w:cs="Calibri"/>
        </w:rPr>
      </w:pPr>
    </w:p>
    <w:p w14:paraId="49526F7B" w14:textId="7A1D71D8" w:rsidR="00F935C7" w:rsidRDefault="00F935C7" w:rsidP="004C34BB">
      <w:pPr>
        <w:pStyle w:val="ListParagraph"/>
        <w:numPr>
          <w:ilvl w:val="1"/>
          <w:numId w:val="16"/>
        </w:numPr>
        <w:ind w:left="0" w:firstLine="0"/>
        <w:jc w:val="both"/>
        <w:rPr>
          <w:rFonts w:ascii="Calibri" w:hAnsi="Calibri" w:cs="Calibri"/>
        </w:rPr>
      </w:pPr>
      <w:r w:rsidRPr="00863252">
        <w:rPr>
          <w:rFonts w:ascii="Calibri" w:hAnsi="Calibri" w:cs="Calibri"/>
        </w:rPr>
        <w:t>Open the Leica program and adjust the lasers in the 488, 552, and 405 wavelengths.</w:t>
      </w:r>
    </w:p>
    <w:p w14:paraId="56A5770F" w14:textId="77777777" w:rsidR="004C34BB" w:rsidRPr="00863252" w:rsidRDefault="004C34BB" w:rsidP="004C34BB">
      <w:pPr>
        <w:pStyle w:val="ListParagraph"/>
        <w:ind w:left="0"/>
        <w:jc w:val="both"/>
        <w:rPr>
          <w:rFonts w:ascii="Calibri" w:hAnsi="Calibri" w:cs="Calibri"/>
        </w:rPr>
      </w:pPr>
    </w:p>
    <w:p w14:paraId="7A8BB0B9" w14:textId="7AB5DD99" w:rsidR="00F935C7" w:rsidRDefault="00F935C7" w:rsidP="004C34BB">
      <w:pPr>
        <w:pStyle w:val="ListParagraph"/>
        <w:numPr>
          <w:ilvl w:val="1"/>
          <w:numId w:val="16"/>
        </w:numPr>
        <w:ind w:left="0" w:firstLine="0"/>
        <w:jc w:val="both"/>
        <w:rPr>
          <w:rFonts w:ascii="Calibri" w:hAnsi="Calibri" w:cs="Calibri"/>
        </w:rPr>
      </w:pPr>
      <w:r w:rsidRPr="00863252">
        <w:rPr>
          <w:rFonts w:ascii="Calibri" w:hAnsi="Calibri" w:cs="Calibri"/>
        </w:rPr>
        <w:t>Select the image resolution 1,024 x 1,024.</w:t>
      </w:r>
    </w:p>
    <w:p w14:paraId="2E03348A" w14:textId="77777777" w:rsidR="004C34BB" w:rsidRPr="00863252" w:rsidRDefault="004C34BB" w:rsidP="004C34BB">
      <w:pPr>
        <w:pStyle w:val="ListParagraph"/>
        <w:ind w:left="0"/>
        <w:jc w:val="both"/>
        <w:rPr>
          <w:rFonts w:ascii="Calibri" w:hAnsi="Calibri" w:cs="Calibri"/>
        </w:rPr>
      </w:pPr>
    </w:p>
    <w:p w14:paraId="5C07B0C0" w14:textId="3AABDA03" w:rsidR="00F935C7" w:rsidRDefault="00F935C7" w:rsidP="004C34BB">
      <w:pPr>
        <w:pStyle w:val="ListParagraph"/>
        <w:numPr>
          <w:ilvl w:val="1"/>
          <w:numId w:val="16"/>
        </w:numPr>
        <w:ind w:left="0" w:firstLine="0"/>
        <w:jc w:val="both"/>
        <w:rPr>
          <w:rFonts w:ascii="Calibri" w:hAnsi="Calibri" w:cs="Calibri"/>
        </w:rPr>
      </w:pPr>
      <w:r w:rsidRPr="00863252">
        <w:rPr>
          <w:rFonts w:ascii="Calibri" w:hAnsi="Calibri" w:cs="Calibri"/>
        </w:rPr>
        <w:t xml:space="preserve">Click on the </w:t>
      </w:r>
      <w:r w:rsidR="004C34BB">
        <w:rPr>
          <w:rFonts w:ascii="Calibri" w:hAnsi="Calibri" w:cs="Calibri"/>
          <w:b/>
          <w:bCs/>
        </w:rPr>
        <w:t>L</w:t>
      </w:r>
      <w:r w:rsidRPr="004C34BB">
        <w:rPr>
          <w:rFonts w:ascii="Calibri" w:hAnsi="Calibri" w:cs="Calibri"/>
          <w:b/>
          <w:bCs/>
        </w:rPr>
        <w:t>ive</w:t>
      </w:r>
      <w:r w:rsidRPr="00863252">
        <w:rPr>
          <w:rFonts w:ascii="Calibri" w:hAnsi="Calibri" w:cs="Calibri"/>
        </w:rPr>
        <w:t xml:space="preserve"> </w:t>
      </w:r>
      <w:r w:rsidR="004C34BB">
        <w:rPr>
          <w:rFonts w:ascii="Calibri" w:hAnsi="Calibri" w:cs="Calibri"/>
        </w:rPr>
        <w:t>button</w:t>
      </w:r>
      <w:r w:rsidRPr="00863252">
        <w:rPr>
          <w:rFonts w:ascii="Calibri" w:hAnsi="Calibri" w:cs="Calibri"/>
        </w:rPr>
        <w:t xml:space="preserve">, set the Z stack, and press the </w:t>
      </w:r>
      <w:r w:rsidR="004C34BB">
        <w:rPr>
          <w:rFonts w:ascii="Calibri" w:hAnsi="Calibri" w:cs="Calibri"/>
          <w:b/>
          <w:bCs/>
        </w:rPr>
        <w:t>B</w:t>
      </w:r>
      <w:r w:rsidRPr="004C34BB">
        <w:rPr>
          <w:rFonts w:ascii="Calibri" w:hAnsi="Calibri" w:cs="Calibri"/>
          <w:b/>
          <w:bCs/>
        </w:rPr>
        <w:t>egin</w:t>
      </w:r>
      <w:r w:rsidRPr="00863252">
        <w:rPr>
          <w:rFonts w:ascii="Calibri" w:hAnsi="Calibri" w:cs="Calibri"/>
        </w:rPr>
        <w:t xml:space="preserve"> option. Then, do it again and press the </w:t>
      </w:r>
      <w:r w:rsidR="004C34BB">
        <w:rPr>
          <w:rFonts w:ascii="Calibri" w:hAnsi="Calibri" w:cs="Calibri"/>
          <w:b/>
          <w:bCs/>
        </w:rPr>
        <w:t>E</w:t>
      </w:r>
      <w:r w:rsidRPr="004C34BB">
        <w:rPr>
          <w:rFonts w:ascii="Calibri" w:hAnsi="Calibri" w:cs="Calibri"/>
          <w:b/>
          <w:bCs/>
        </w:rPr>
        <w:t>nd</w:t>
      </w:r>
      <w:r w:rsidRPr="00863252">
        <w:rPr>
          <w:rFonts w:ascii="Calibri" w:hAnsi="Calibri" w:cs="Calibri"/>
        </w:rPr>
        <w:t xml:space="preserve"> </w:t>
      </w:r>
      <w:r w:rsidR="004C34BB">
        <w:rPr>
          <w:rFonts w:ascii="Calibri" w:hAnsi="Calibri" w:cs="Calibri"/>
        </w:rPr>
        <w:t>button</w:t>
      </w:r>
      <w:r w:rsidRPr="00863252">
        <w:rPr>
          <w:rFonts w:ascii="Calibri" w:hAnsi="Calibri" w:cs="Calibri"/>
        </w:rPr>
        <w:t xml:space="preserve">. We recommend 20 </w:t>
      </w:r>
      <w:r w:rsidRPr="00863252">
        <w:rPr>
          <w:rFonts w:ascii="Calibri" w:hAnsi="Calibri" w:cs="Calibri"/>
        </w:rPr>
        <w:sym w:font="Symbol" w:char="F06D"/>
      </w:r>
      <w:r w:rsidRPr="00863252">
        <w:rPr>
          <w:rFonts w:ascii="Calibri" w:hAnsi="Calibri" w:cs="Calibri"/>
        </w:rPr>
        <w:t>m for slice thickness to get confocal images with good resolutions.</w:t>
      </w:r>
    </w:p>
    <w:p w14:paraId="407E6460" w14:textId="77777777" w:rsidR="004C34BB" w:rsidRPr="00863252" w:rsidRDefault="004C34BB" w:rsidP="004C34BB">
      <w:pPr>
        <w:pStyle w:val="ListParagraph"/>
        <w:ind w:left="0"/>
        <w:jc w:val="both"/>
        <w:rPr>
          <w:rFonts w:ascii="Calibri" w:hAnsi="Calibri" w:cs="Calibri"/>
        </w:rPr>
      </w:pPr>
    </w:p>
    <w:p w14:paraId="2E14A638" w14:textId="2C573042" w:rsidR="00F935C7" w:rsidRDefault="00F935C7" w:rsidP="004C34BB">
      <w:pPr>
        <w:pStyle w:val="ListParagraph"/>
        <w:numPr>
          <w:ilvl w:val="1"/>
          <w:numId w:val="16"/>
        </w:numPr>
        <w:ind w:left="0" w:firstLine="0"/>
        <w:jc w:val="both"/>
        <w:rPr>
          <w:rFonts w:ascii="Calibri" w:hAnsi="Calibri" w:cs="Calibri"/>
        </w:rPr>
      </w:pPr>
      <w:r w:rsidRPr="00863252">
        <w:rPr>
          <w:rFonts w:ascii="Calibri" w:hAnsi="Calibri" w:cs="Calibri"/>
        </w:rPr>
        <w:t>Wait for the image acquisition, and then select the option "Maximum Projection" in the Leica tools.</w:t>
      </w:r>
    </w:p>
    <w:p w14:paraId="27E32B32" w14:textId="77777777" w:rsidR="004C34BB" w:rsidRPr="00863252" w:rsidRDefault="004C34BB" w:rsidP="004C34BB">
      <w:pPr>
        <w:pStyle w:val="ListParagraph"/>
        <w:ind w:left="0"/>
        <w:jc w:val="both"/>
        <w:rPr>
          <w:rFonts w:ascii="Calibri" w:hAnsi="Calibri" w:cs="Calibri"/>
        </w:rPr>
      </w:pPr>
    </w:p>
    <w:p w14:paraId="69397E78" w14:textId="6154B749" w:rsidR="00F935C7" w:rsidRPr="00863252" w:rsidRDefault="00F935C7" w:rsidP="004C34BB">
      <w:pPr>
        <w:pStyle w:val="ListParagraph"/>
        <w:numPr>
          <w:ilvl w:val="1"/>
          <w:numId w:val="16"/>
        </w:numPr>
        <w:ind w:left="0" w:firstLine="0"/>
        <w:jc w:val="both"/>
        <w:rPr>
          <w:rFonts w:ascii="Calibri" w:hAnsi="Calibri" w:cs="Calibri"/>
        </w:rPr>
      </w:pPr>
      <w:r w:rsidRPr="00863252">
        <w:rPr>
          <w:rFonts w:ascii="Calibri" w:hAnsi="Calibri" w:cs="Calibri"/>
        </w:rPr>
        <w:t>Save the experiment.</w:t>
      </w:r>
    </w:p>
    <w:p w14:paraId="7E99B60E" w14:textId="77777777" w:rsidR="004C34BB" w:rsidRPr="004C34BB" w:rsidRDefault="004C34BB" w:rsidP="004C34BB">
      <w:pPr>
        <w:pStyle w:val="ListParagraph"/>
        <w:ind w:left="0"/>
        <w:jc w:val="both"/>
        <w:rPr>
          <w:rFonts w:ascii="Calibri" w:hAnsi="Calibri" w:cs="Calibri"/>
        </w:rPr>
      </w:pPr>
    </w:p>
    <w:p w14:paraId="5DB5B069" w14:textId="4F84BB50" w:rsidR="00F935C7" w:rsidRPr="00863252" w:rsidRDefault="00F935C7" w:rsidP="004C34BB">
      <w:pPr>
        <w:pStyle w:val="ListParagraph"/>
        <w:numPr>
          <w:ilvl w:val="1"/>
          <w:numId w:val="16"/>
        </w:numPr>
        <w:ind w:left="0" w:firstLine="0"/>
        <w:jc w:val="both"/>
        <w:rPr>
          <w:rFonts w:ascii="Calibri" w:hAnsi="Calibri" w:cs="Calibri"/>
        </w:rPr>
      </w:pPr>
      <w:r w:rsidRPr="00863252">
        <w:rPr>
          <w:rFonts w:ascii="Calibri" w:hAnsi="Calibri" w:cs="Calibri"/>
        </w:rPr>
        <w:t xml:space="preserve">Export the lif or tiff format images to a computer and open </w:t>
      </w:r>
      <w:r w:rsidR="004C34BB">
        <w:rPr>
          <w:rFonts w:ascii="Calibri" w:hAnsi="Calibri" w:cs="Calibri"/>
        </w:rPr>
        <w:t xml:space="preserve">the </w:t>
      </w:r>
      <w:r w:rsidRPr="00863252">
        <w:rPr>
          <w:rFonts w:ascii="Calibri" w:hAnsi="Calibri" w:cs="Calibri"/>
        </w:rPr>
        <w:t>FIJI program.</w:t>
      </w:r>
    </w:p>
    <w:p w14:paraId="37AA0EC7" w14:textId="77777777" w:rsidR="004C34BB" w:rsidRPr="004C34BB" w:rsidRDefault="004C34BB" w:rsidP="004C34BB">
      <w:pPr>
        <w:pStyle w:val="ListParagraph"/>
        <w:ind w:left="0"/>
        <w:jc w:val="both"/>
        <w:rPr>
          <w:rFonts w:ascii="Calibri" w:hAnsi="Calibri" w:cs="Calibri"/>
        </w:rPr>
      </w:pPr>
    </w:p>
    <w:p w14:paraId="1E3D9ECA" w14:textId="2867F837" w:rsidR="00F935C7" w:rsidRPr="00863252" w:rsidRDefault="00F935C7" w:rsidP="004C34BB">
      <w:pPr>
        <w:pStyle w:val="ListParagraph"/>
        <w:numPr>
          <w:ilvl w:val="1"/>
          <w:numId w:val="16"/>
        </w:numPr>
        <w:ind w:left="0" w:firstLine="0"/>
        <w:jc w:val="both"/>
        <w:rPr>
          <w:rFonts w:ascii="Calibri" w:hAnsi="Calibri" w:cs="Calibri"/>
        </w:rPr>
      </w:pPr>
      <w:r w:rsidRPr="00863252">
        <w:rPr>
          <w:rFonts w:ascii="Calibri" w:hAnsi="Calibri" w:cs="Calibri"/>
        </w:rPr>
        <w:t>Open the experiment and set the view stack with the hyper stack. Then select open files individually and stitch tiles.</w:t>
      </w:r>
    </w:p>
    <w:p w14:paraId="2EE7DF23" w14:textId="1F1EF5D7" w:rsidR="004C34BB" w:rsidRPr="004C34BB" w:rsidRDefault="004C34BB" w:rsidP="004C34BB">
      <w:pPr>
        <w:pStyle w:val="ListParagraph"/>
        <w:ind w:left="0"/>
        <w:jc w:val="both"/>
        <w:rPr>
          <w:rFonts w:ascii="Calibri" w:hAnsi="Calibri" w:cs="Calibri"/>
        </w:rPr>
      </w:pPr>
    </w:p>
    <w:p w14:paraId="3D015B6A" w14:textId="4FF2F670" w:rsidR="00F935C7" w:rsidRPr="00863252" w:rsidRDefault="00F935C7" w:rsidP="004C34BB">
      <w:pPr>
        <w:pStyle w:val="ListParagraph"/>
        <w:numPr>
          <w:ilvl w:val="1"/>
          <w:numId w:val="16"/>
        </w:numPr>
        <w:ind w:left="0" w:firstLine="0"/>
        <w:jc w:val="both"/>
        <w:rPr>
          <w:rFonts w:ascii="Calibri" w:hAnsi="Calibri" w:cs="Calibri"/>
        </w:rPr>
      </w:pPr>
      <w:r w:rsidRPr="00863252">
        <w:rPr>
          <w:rFonts w:ascii="Calibri" w:hAnsi="Calibri" w:cs="Calibri"/>
        </w:rPr>
        <w:t>Select the free hands tool in the Fiji toolbar and trace the cell carefully by hand.</w:t>
      </w:r>
    </w:p>
    <w:p w14:paraId="1A1B9728" w14:textId="77777777" w:rsidR="004C34BB" w:rsidRPr="004C34BB" w:rsidRDefault="004C34BB" w:rsidP="004C34BB">
      <w:pPr>
        <w:pStyle w:val="ListParagraph"/>
        <w:ind w:left="0"/>
        <w:jc w:val="both"/>
        <w:rPr>
          <w:rFonts w:ascii="Calibri" w:hAnsi="Calibri" w:cs="Calibri"/>
        </w:rPr>
      </w:pPr>
    </w:p>
    <w:p w14:paraId="781CB58A" w14:textId="03A29804" w:rsidR="00F935C7" w:rsidRPr="00863252" w:rsidRDefault="00F935C7" w:rsidP="004C34BB">
      <w:pPr>
        <w:pStyle w:val="ListParagraph"/>
        <w:numPr>
          <w:ilvl w:val="1"/>
          <w:numId w:val="16"/>
        </w:numPr>
        <w:ind w:left="0" w:firstLine="0"/>
        <w:jc w:val="both"/>
        <w:rPr>
          <w:rFonts w:ascii="Calibri" w:hAnsi="Calibri" w:cs="Calibri"/>
        </w:rPr>
      </w:pPr>
      <w:r w:rsidRPr="00863252">
        <w:rPr>
          <w:rFonts w:ascii="Calibri" w:hAnsi="Calibri" w:cs="Calibri"/>
        </w:rPr>
        <w:t xml:space="preserve">Press the </w:t>
      </w:r>
      <w:r w:rsidR="004C34BB">
        <w:rPr>
          <w:rFonts w:ascii="Calibri" w:hAnsi="Calibri" w:cs="Calibri"/>
          <w:b/>
          <w:bCs/>
        </w:rPr>
        <w:t>A</w:t>
      </w:r>
      <w:r w:rsidRPr="004C34BB">
        <w:rPr>
          <w:rFonts w:ascii="Calibri" w:hAnsi="Calibri" w:cs="Calibri"/>
          <w:b/>
          <w:bCs/>
        </w:rPr>
        <w:t>nalyze</w:t>
      </w:r>
      <w:r w:rsidRPr="00863252">
        <w:rPr>
          <w:rFonts w:ascii="Calibri" w:hAnsi="Calibri" w:cs="Calibri"/>
        </w:rPr>
        <w:t xml:space="preserve"> </w:t>
      </w:r>
      <w:r w:rsidR="004C34BB">
        <w:rPr>
          <w:rFonts w:ascii="Calibri" w:hAnsi="Calibri" w:cs="Calibri"/>
        </w:rPr>
        <w:t>button</w:t>
      </w:r>
      <w:r w:rsidRPr="00863252">
        <w:rPr>
          <w:rFonts w:ascii="Calibri" w:hAnsi="Calibri" w:cs="Calibri"/>
        </w:rPr>
        <w:t xml:space="preserve"> and measure to visualize the fluorescence intensity. </w:t>
      </w:r>
    </w:p>
    <w:p w14:paraId="50E8BD93" w14:textId="77777777" w:rsidR="004C34BB" w:rsidRPr="004C34BB" w:rsidRDefault="004C34BB" w:rsidP="004C34BB">
      <w:pPr>
        <w:pStyle w:val="ListParagraph"/>
        <w:ind w:left="0"/>
        <w:jc w:val="both"/>
        <w:rPr>
          <w:rFonts w:ascii="Calibri" w:hAnsi="Calibri" w:cs="Calibri"/>
        </w:rPr>
      </w:pPr>
    </w:p>
    <w:p w14:paraId="006D6CA4" w14:textId="68BDB57F" w:rsidR="00F935C7" w:rsidRPr="00863252" w:rsidRDefault="00F935C7" w:rsidP="004C34BB">
      <w:pPr>
        <w:pStyle w:val="ListParagraph"/>
        <w:numPr>
          <w:ilvl w:val="1"/>
          <w:numId w:val="16"/>
        </w:numPr>
        <w:ind w:left="0" w:firstLine="0"/>
        <w:jc w:val="both"/>
        <w:rPr>
          <w:rFonts w:ascii="Calibri" w:hAnsi="Calibri" w:cs="Calibri"/>
        </w:rPr>
      </w:pPr>
      <w:r w:rsidRPr="00863252">
        <w:rPr>
          <w:rFonts w:ascii="Calibri" w:hAnsi="Calibri" w:cs="Calibri"/>
        </w:rPr>
        <w:t>Repeat this process to each cell per group.</w:t>
      </w:r>
    </w:p>
    <w:p w14:paraId="1DBACFA3" w14:textId="77777777" w:rsidR="004C34BB" w:rsidRPr="004C34BB" w:rsidRDefault="004C34BB" w:rsidP="004C34BB">
      <w:pPr>
        <w:pStyle w:val="ListParagraph"/>
        <w:ind w:left="0"/>
        <w:jc w:val="both"/>
        <w:rPr>
          <w:rFonts w:ascii="Calibri" w:hAnsi="Calibri" w:cs="Calibri"/>
        </w:rPr>
      </w:pPr>
    </w:p>
    <w:p w14:paraId="00ED8CA6" w14:textId="752EC14E" w:rsidR="00F935C7" w:rsidRPr="00863252" w:rsidRDefault="00F935C7" w:rsidP="004C34BB">
      <w:pPr>
        <w:pStyle w:val="ListParagraph"/>
        <w:numPr>
          <w:ilvl w:val="1"/>
          <w:numId w:val="16"/>
        </w:numPr>
        <w:ind w:left="0" w:firstLine="0"/>
        <w:jc w:val="both"/>
        <w:rPr>
          <w:rFonts w:ascii="Calibri" w:hAnsi="Calibri" w:cs="Calibri"/>
        </w:rPr>
      </w:pPr>
      <w:r w:rsidRPr="00863252">
        <w:rPr>
          <w:rFonts w:ascii="Calibri" w:hAnsi="Calibri" w:cs="Calibri"/>
        </w:rPr>
        <w:t>Save the measurements and export them to a spreadsheet editor.</w:t>
      </w:r>
    </w:p>
    <w:p w14:paraId="0431601F" w14:textId="77777777" w:rsidR="004C34BB" w:rsidRPr="004C34BB" w:rsidRDefault="004C34BB" w:rsidP="004C34BB">
      <w:pPr>
        <w:pStyle w:val="ListParagraph"/>
        <w:ind w:left="0"/>
        <w:jc w:val="both"/>
        <w:rPr>
          <w:rFonts w:ascii="Calibri" w:hAnsi="Calibri" w:cs="Calibri"/>
        </w:rPr>
      </w:pPr>
    </w:p>
    <w:p w14:paraId="34397135" w14:textId="3414A268" w:rsidR="00F935C7" w:rsidRDefault="00F935C7" w:rsidP="004C34BB">
      <w:pPr>
        <w:pStyle w:val="ListParagraph"/>
        <w:numPr>
          <w:ilvl w:val="1"/>
          <w:numId w:val="16"/>
        </w:numPr>
        <w:ind w:left="0" w:firstLine="0"/>
        <w:jc w:val="both"/>
        <w:rPr>
          <w:rFonts w:ascii="Calibri" w:hAnsi="Calibri" w:cs="Calibri"/>
        </w:rPr>
      </w:pPr>
      <w:r w:rsidRPr="00863252">
        <w:rPr>
          <w:rFonts w:ascii="Calibri" w:hAnsi="Calibri" w:cs="Calibri"/>
        </w:rPr>
        <w:t>Add this data to a statistical analysis program and do the statistical analysis.</w:t>
      </w:r>
    </w:p>
    <w:p w14:paraId="16A74EF1" w14:textId="77777777" w:rsidR="004C34BB" w:rsidRPr="00863252" w:rsidRDefault="004C34BB" w:rsidP="004C34BB">
      <w:pPr>
        <w:pStyle w:val="ListParagraph"/>
        <w:ind w:left="0"/>
        <w:jc w:val="both"/>
        <w:rPr>
          <w:rFonts w:ascii="Calibri" w:hAnsi="Calibri" w:cs="Calibri"/>
        </w:rPr>
      </w:pPr>
    </w:p>
    <w:p w14:paraId="1AB8C65F" w14:textId="46B11984" w:rsidR="00F935C7" w:rsidRDefault="00F935C7" w:rsidP="004C34BB">
      <w:pPr>
        <w:pStyle w:val="NormalWeb"/>
        <w:numPr>
          <w:ilvl w:val="0"/>
          <w:numId w:val="15"/>
        </w:numPr>
        <w:spacing w:before="0" w:beforeAutospacing="0" w:after="0" w:afterAutospacing="0"/>
        <w:ind w:left="0" w:firstLine="0"/>
        <w:contextualSpacing/>
        <w:jc w:val="both"/>
        <w:rPr>
          <w:rFonts w:ascii="Calibri" w:eastAsia="Calibri" w:hAnsi="Calibri" w:cs="Calibri"/>
          <w:b/>
        </w:rPr>
      </w:pPr>
      <w:r w:rsidRPr="00863252">
        <w:rPr>
          <w:rFonts w:ascii="Calibri" w:eastAsia="Calibri" w:hAnsi="Calibri" w:cs="Calibri"/>
          <w:b/>
        </w:rPr>
        <w:t>Statistical analysis</w:t>
      </w:r>
    </w:p>
    <w:p w14:paraId="5DC864A3" w14:textId="77777777" w:rsidR="004C34BB" w:rsidRPr="00863252" w:rsidRDefault="004C34BB" w:rsidP="004C34BB">
      <w:pPr>
        <w:pStyle w:val="NormalWeb"/>
        <w:spacing w:before="0" w:beforeAutospacing="0" w:after="0" w:afterAutospacing="0"/>
        <w:contextualSpacing/>
        <w:jc w:val="both"/>
        <w:rPr>
          <w:rFonts w:ascii="Calibri" w:eastAsia="Calibri" w:hAnsi="Calibri" w:cs="Calibri"/>
          <w:b/>
        </w:rPr>
      </w:pPr>
    </w:p>
    <w:p w14:paraId="0EB0EE8A" w14:textId="17054406" w:rsidR="004C34BB" w:rsidRDefault="00F935C7" w:rsidP="004C34BB">
      <w:pPr>
        <w:pStyle w:val="NormalWeb"/>
        <w:spacing w:before="0" w:beforeAutospacing="0" w:after="0" w:afterAutospacing="0"/>
        <w:contextualSpacing/>
        <w:jc w:val="both"/>
        <w:rPr>
          <w:rFonts w:ascii="Calibri" w:hAnsi="Calibri" w:cs="Calibri"/>
        </w:rPr>
      </w:pPr>
      <w:r w:rsidRPr="00863252">
        <w:rPr>
          <w:rFonts w:ascii="Calibri" w:hAnsi="Calibri" w:cs="Calibri"/>
        </w:rPr>
        <w:t xml:space="preserve">NOTE: For data analysis and graphics, use a statistical analysis program. </w:t>
      </w:r>
    </w:p>
    <w:p w14:paraId="400F669B" w14:textId="77777777" w:rsidR="004C34BB" w:rsidRPr="004C34BB" w:rsidRDefault="004C34BB" w:rsidP="004C34BB">
      <w:pPr>
        <w:pStyle w:val="NormalWeb"/>
        <w:spacing w:before="0" w:beforeAutospacing="0" w:after="0" w:afterAutospacing="0"/>
        <w:contextualSpacing/>
        <w:jc w:val="both"/>
        <w:rPr>
          <w:rFonts w:ascii="Calibri" w:hAnsi="Calibri" w:cs="Calibri"/>
        </w:rPr>
      </w:pPr>
    </w:p>
    <w:p w14:paraId="16E8A448" w14:textId="377FBC9F" w:rsidR="00F935C7" w:rsidRPr="004C34BB" w:rsidRDefault="00F935C7" w:rsidP="004C34BB">
      <w:pPr>
        <w:pStyle w:val="NormalWeb"/>
        <w:numPr>
          <w:ilvl w:val="1"/>
          <w:numId w:val="17"/>
        </w:numPr>
        <w:spacing w:before="0" w:beforeAutospacing="0" w:after="0" w:afterAutospacing="0"/>
        <w:ind w:left="0" w:firstLine="0"/>
        <w:contextualSpacing/>
        <w:jc w:val="both"/>
        <w:rPr>
          <w:rFonts w:ascii="Calibri" w:eastAsia="Calibri" w:hAnsi="Calibri" w:cs="Calibri"/>
          <w:b/>
        </w:rPr>
      </w:pPr>
      <w:r w:rsidRPr="00863252">
        <w:rPr>
          <w:rFonts w:ascii="Calibri" w:eastAsia="Calibri" w:hAnsi="Calibri" w:cs="Calibri"/>
        </w:rPr>
        <w:t xml:space="preserve">Open the </w:t>
      </w:r>
      <w:r w:rsidRPr="00863252">
        <w:rPr>
          <w:rFonts w:ascii="Calibri" w:hAnsi="Calibri" w:cs="Calibri"/>
        </w:rPr>
        <w:t>program.</w:t>
      </w:r>
    </w:p>
    <w:p w14:paraId="3A73EB71" w14:textId="77777777" w:rsidR="004C34BB" w:rsidRPr="00863252" w:rsidRDefault="004C34BB" w:rsidP="004C34BB">
      <w:pPr>
        <w:pStyle w:val="NormalWeb"/>
        <w:spacing w:before="0" w:beforeAutospacing="0" w:after="0" w:afterAutospacing="0"/>
        <w:contextualSpacing/>
        <w:jc w:val="both"/>
        <w:rPr>
          <w:rFonts w:ascii="Calibri" w:eastAsia="Calibri" w:hAnsi="Calibri" w:cs="Calibri"/>
          <w:b/>
        </w:rPr>
      </w:pPr>
    </w:p>
    <w:p w14:paraId="75F31FA4" w14:textId="3ECBD3D8" w:rsidR="00F935C7" w:rsidRDefault="00F935C7" w:rsidP="004C34BB">
      <w:pPr>
        <w:pStyle w:val="NormalWeb"/>
        <w:numPr>
          <w:ilvl w:val="1"/>
          <w:numId w:val="17"/>
        </w:numPr>
        <w:spacing w:before="0" w:beforeAutospacing="0" w:after="0" w:afterAutospacing="0"/>
        <w:ind w:left="0" w:firstLine="0"/>
        <w:contextualSpacing/>
        <w:jc w:val="both"/>
        <w:rPr>
          <w:rFonts w:ascii="Calibri" w:eastAsia="Calibri" w:hAnsi="Calibri" w:cs="Calibri"/>
        </w:rPr>
      </w:pPr>
      <w:r w:rsidRPr="00863252">
        <w:rPr>
          <w:rFonts w:ascii="Calibri" w:eastAsia="Calibri" w:hAnsi="Calibri" w:cs="Calibri"/>
        </w:rPr>
        <w:t>Insert the obtained data and test the normality parameters.</w:t>
      </w:r>
    </w:p>
    <w:p w14:paraId="2C8AE647" w14:textId="77777777" w:rsidR="004C34BB" w:rsidRPr="00863252" w:rsidRDefault="004C34BB" w:rsidP="004C34BB">
      <w:pPr>
        <w:pStyle w:val="NormalWeb"/>
        <w:spacing w:before="0" w:beforeAutospacing="0" w:after="0" w:afterAutospacing="0"/>
        <w:contextualSpacing/>
        <w:jc w:val="both"/>
        <w:rPr>
          <w:rFonts w:ascii="Calibri" w:eastAsia="Calibri" w:hAnsi="Calibri" w:cs="Calibri"/>
        </w:rPr>
      </w:pPr>
    </w:p>
    <w:p w14:paraId="0B11CD58" w14:textId="046305DD" w:rsidR="00F935C7" w:rsidRDefault="00F935C7" w:rsidP="004C34BB">
      <w:pPr>
        <w:pStyle w:val="NormalWeb"/>
        <w:numPr>
          <w:ilvl w:val="1"/>
          <w:numId w:val="17"/>
        </w:numPr>
        <w:spacing w:before="0" w:beforeAutospacing="0" w:after="0" w:afterAutospacing="0"/>
        <w:ind w:left="0" w:firstLine="0"/>
        <w:contextualSpacing/>
        <w:jc w:val="both"/>
        <w:rPr>
          <w:rFonts w:ascii="Calibri" w:eastAsia="Calibri" w:hAnsi="Calibri" w:cs="Calibri"/>
        </w:rPr>
      </w:pPr>
      <w:r w:rsidRPr="00863252">
        <w:rPr>
          <w:rFonts w:ascii="Calibri" w:eastAsia="Calibri" w:hAnsi="Calibri" w:cs="Calibri"/>
        </w:rPr>
        <w:lastRenderedPageBreak/>
        <w:t xml:space="preserve">For data with normal distribution, use the Student </w:t>
      </w:r>
      <w:r w:rsidRPr="00863252">
        <w:rPr>
          <w:rFonts w:ascii="Calibri" w:eastAsia="Calibri" w:hAnsi="Calibri" w:cs="Calibri"/>
          <w:i/>
          <w:iCs/>
        </w:rPr>
        <w:t>t-</w:t>
      </w:r>
      <w:r w:rsidRPr="00863252">
        <w:rPr>
          <w:rFonts w:ascii="Calibri" w:eastAsia="Calibri" w:hAnsi="Calibri" w:cs="Calibri"/>
        </w:rPr>
        <w:t>test and for nonparametric tests, Mann-Whitney test.</w:t>
      </w:r>
    </w:p>
    <w:p w14:paraId="65E4AE09" w14:textId="77777777" w:rsidR="004C34BB" w:rsidRPr="00863252" w:rsidRDefault="004C34BB" w:rsidP="004C34BB">
      <w:pPr>
        <w:pStyle w:val="NormalWeb"/>
        <w:spacing w:before="0" w:beforeAutospacing="0" w:after="0" w:afterAutospacing="0"/>
        <w:contextualSpacing/>
        <w:jc w:val="both"/>
        <w:rPr>
          <w:rFonts w:ascii="Calibri" w:eastAsia="Calibri" w:hAnsi="Calibri" w:cs="Calibri"/>
        </w:rPr>
      </w:pPr>
    </w:p>
    <w:p w14:paraId="44FF58B3" w14:textId="07277452" w:rsidR="00F935C7" w:rsidRDefault="00F935C7" w:rsidP="004C34BB">
      <w:pPr>
        <w:pStyle w:val="NormalWeb"/>
        <w:numPr>
          <w:ilvl w:val="1"/>
          <w:numId w:val="17"/>
        </w:numPr>
        <w:spacing w:before="0" w:beforeAutospacing="0" w:after="0" w:afterAutospacing="0"/>
        <w:ind w:left="0" w:firstLine="0"/>
        <w:contextualSpacing/>
        <w:jc w:val="both"/>
        <w:rPr>
          <w:rFonts w:ascii="Calibri" w:eastAsia="Calibri" w:hAnsi="Calibri" w:cs="Calibri"/>
        </w:rPr>
      </w:pPr>
      <w:r w:rsidRPr="00863252">
        <w:rPr>
          <w:rFonts w:ascii="Calibri" w:eastAsia="Calibri" w:hAnsi="Calibri" w:cs="Calibri"/>
        </w:rPr>
        <w:t xml:space="preserve">Consider data with a statistically significant difference when the </w:t>
      </w:r>
      <w:r w:rsidRPr="00863252">
        <w:rPr>
          <w:rFonts w:ascii="Calibri" w:eastAsia="Calibri" w:hAnsi="Calibri" w:cs="Calibri"/>
          <w:i/>
        </w:rPr>
        <w:t>p-value</w:t>
      </w:r>
      <w:r w:rsidRPr="00863252">
        <w:rPr>
          <w:rFonts w:ascii="Calibri" w:eastAsia="Calibri" w:hAnsi="Calibri" w:cs="Calibri"/>
        </w:rPr>
        <w:t xml:space="preserve"> is less than 0.05.</w:t>
      </w:r>
    </w:p>
    <w:p w14:paraId="0FA62FBB" w14:textId="77777777" w:rsidR="004C34BB" w:rsidRPr="00863252" w:rsidRDefault="004C34BB" w:rsidP="004C34BB">
      <w:pPr>
        <w:pStyle w:val="NormalWeb"/>
        <w:spacing w:before="0" w:beforeAutospacing="0" w:after="0" w:afterAutospacing="0"/>
        <w:contextualSpacing/>
        <w:jc w:val="both"/>
        <w:rPr>
          <w:rFonts w:ascii="Calibri" w:eastAsia="Calibri" w:hAnsi="Calibri" w:cs="Calibri"/>
        </w:rPr>
      </w:pPr>
    </w:p>
    <w:p w14:paraId="12FA998E" w14:textId="2AA94A78" w:rsidR="00F935C7" w:rsidRPr="00863252" w:rsidRDefault="00F935C7" w:rsidP="004C34BB">
      <w:pPr>
        <w:pStyle w:val="NormalWeb"/>
        <w:numPr>
          <w:ilvl w:val="1"/>
          <w:numId w:val="17"/>
        </w:numPr>
        <w:spacing w:before="0" w:beforeAutospacing="0" w:after="0" w:afterAutospacing="0"/>
        <w:ind w:left="0" w:firstLine="0"/>
        <w:contextualSpacing/>
        <w:jc w:val="both"/>
        <w:rPr>
          <w:rFonts w:ascii="Calibri" w:eastAsia="Calibri" w:hAnsi="Calibri" w:cs="Calibri"/>
        </w:rPr>
      </w:pPr>
      <w:r w:rsidRPr="00863252">
        <w:rPr>
          <w:rFonts w:ascii="Calibri" w:eastAsia="Calibri" w:hAnsi="Calibri" w:cs="Calibri"/>
        </w:rPr>
        <w:t xml:space="preserve">Prepare graphics representing the data, with central tendency measures </w:t>
      </w:r>
      <w:r w:rsidR="004C34BB" w:rsidRPr="004C34BB">
        <w:rPr>
          <w:rFonts w:ascii="Calibri" w:eastAsia="Calibri" w:hAnsi="Calibri" w:cs="Calibri"/>
        </w:rPr>
        <w:t>(</w:t>
      </w:r>
      <w:r w:rsidRPr="00863252">
        <w:rPr>
          <w:rFonts w:ascii="Calibri" w:eastAsia="Calibri" w:hAnsi="Calibri" w:cs="Calibri"/>
        </w:rPr>
        <w:t>mean or median</w:t>
      </w:r>
      <w:r w:rsidR="004C34BB" w:rsidRPr="004C34BB">
        <w:rPr>
          <w:rFonts w:ascii="Calibri" w:eastAsia="Calibri" w:hAnsi="Calibri" w:cs="Calibri"/>
        </w:rPr>
        <w:t>)</w:t>
      </w:r>
      <w:r w:rsidRPr="00863252">
        <w:rPr>
          <w:rFonts w:ascii="Calibri" w:eastAsia="Calibri" w:hAnsi="Calibri" w:cs="Calibri"/>
        </w:rPr>
        <w:t xml:space="preserve"> and variation measures.</w:t>
      </w:r>
    </w:p>
    <w:p w14:paraId="32E19DD9" w14:textId="77777777" w:rsidR="00F935C7" w:rsidRPr="00863252" w:rsidRDefault="00F935C7" w:rsidP="004C34BB">
      <w:pPr>
        <w:pBdr>
          <w:top w:val="nil"/>
          <w:left w:val="nil"/>
          <w:bottom w:val="nil"/>
          <w:right w:val="nil"/>
          <w:between w:val="nil"/>
        </w:pBdr>
        <w:contextualSpacing/>
        <w:rPr>
          <w:b/>
          <w:color w:val="000000"/>
        </w:rPr>
      </w:pPr>
    </w:p>
    <w:p w14:paraId="5ED69551" w14:textId="6D84229A" w:rsidR="00F935C7" w:rsidRPr="004C34BB" w:rsidRDefault="00F935C7" w:rsidP="004C34BB">
      <w:pPr>
        <w:pBdr>
          <w:top w:val="nil"/>
          <w:left w:val="nil"/>
          <w:bottom w:val="nil"/>
          <w:right w:val="nil"/>
          <w:between w:val="nil"/>
        </w:pBdr>
        <w:contextualSpacing/>
        <w:rPr>
          <w:b/>
          <w:color w:val="000000"/>
        </w:rPr>
      </w:pPr>
      <w:r w:rsidRPr="00863252">
        <w:rPr>
          <w:b/>
          <w:color w:val="000000"/>
        </w:rPr>
        <w:t xml:space="preserve">REPRESENTATIVE RESULTS </w:t>
      </w:r>
    </w:p>
    <w:p w14:paraId="692B3138" w14:textId="3520B366" w:rsidR="00F935C7" w:rsidRPr="00863252" w:rsidRDefault="00F935C7" w:rsidP="004C34BB">
      <w:pPr>
        <w:contextualSpacing/>
      </w:pPr>
      <w:r w:rsidRPr="00863252">
        <w:t>This report aims to evaluate the early events occurring during the phagocytosis of</w:t>
      </w:r>
      <w:r w:rsidRPr="00863252">
        <w:rPr>
          <w:i/>
          <w:iCs/>
        </w:rPr>
        <w:t xml:space="preserve"> L. braziliensis</w:t>
      </w:r>
      <w:r w:rsidRPr="00863252">
        <w:t xml:space="preserve"> isolated from patients presenting </w:t>
      </w:r>
      <w:r w:rsidRPr="00863252">
        <w:rPr>
          <w:i/>
          <w:iCs/>
        </w:rPr>
        <w:t>L. braziliensis</w:t>
      </w:r>
      <w:r w:rsidRPr="00863252">
        <w:t xml:space="preserve">-LCL or </w:t>
      </w:r>
      <w:r w:rsidRPr="00863252">
        <w:rPr>
          <w:i/>
          <w:iCs/>
        </w:rPr>
        <w:t>L. braziliensis</w:t>
      </w:r>
      <w:r w:rsidRPr="00863252">
        <w:t xml:space="preserve">-DL form of CL. Using confocal microscopy, we investigated the main events associated with parasites' phagocytosis: binding, internalization, and phagosome maturation. We first evaluated the </w:t>
      </w:r>
      <w:r w:rsidRPr="00863252">
        <w:rPr>
          <w:i/>
          <w:iCs/>
        </w:rPr>
        <w:t>L. braziliensis</w:t>
      </w:r>
      <w:r w:rsidRPr="00863252">
        <w:t xml:space="preserve">-LCL or </w:t>
      </w:r>
      <w:r w:rsidRPr="00863252">
        <w:rPr>
          <w:i/>
          <w:iCs/>
        </w:rPr>
        <w:t>L. braziliensis</w:t>
      </w:r>
      <w:r w:rsidRPr="00863252">
        <w:t xml:space="preserve">-DL binding and phagocytosis by human monocyte-derived macrophages. </w:t>
      </w:r>
      <w:r w:rsidR="004C34BB">
        <w:t>The</w:t>
      </w:r>
      <w:r w:rsidRPr="00863252">
        <w:t xml:space="preserve"> data show that both </w:t>
      </w:r>
      <w:r w:rsidRPr="00863252">
        <w:rPr>
          <w:i/>
          <w:iCs/>
        </w:rPr>
        <w:t>L. braziliensis</w:t>
      </w:r>
      <w:r w:rsidRPr="00863252">
        <w:t xml:space="preserve">-LCL and </w:t>
      </w:r>
      <w:r w:rsidRPr="00863252">
        <w:rPr>
          <w:i/>
          <w:iCs/>
        </w:rPr>
        <w:t>L. braziliensis</w:t>
      </w:r>
      <w:r w:rsidRPr="00863252">
        <w:t>-DL similarly bind to macrophages</w:t>
      </w:r>
      <w:r w:rsidRPr="00863252" w:rsidDel="00494F5F">
        <w:t xml:space="preserve"> </w:t>
      </w:r>
      <w:r w:rsidR="004C34BB" w:rsidRPr="004C34BB">
        <w:t>(</w:t>
      </w:r>
      <w:r w:rsidRPr="00863252">
        <w:rPr>
          <w:b/>
          <w:bCs/>
        </w:rPr>
        <w:t>Figure 1</w:t>
      </w:r>
      <w:r w:rsidR="004C34BB" w:rsidRPr="004C34BB">
        <w:t>)</w:t>
      </w:r>
      <w:r w:rsidRPr="00863252">
        <w:t xml:space="preserve">. Also, no differences were observed regarding </w:t>
      </w:r>
      <w:r w:rsidRPr="00863252">
        <w:rPr>
          <w:i/>
          <w:iCs/>
        </w:rPr>
        <w:t>L. braziliensis</w:t>
      </w:r>
      <w:r w:rsidRPr="00863252">
        <w:t xml:space="preserve">-LCL and </w:t>
      </w:r>
      <w:r w:rsidRPr="00863252">
        <w:rPr>
          <w:i/>
          <w:iCs/>
        </w:rPr>
        <w:t>L. braziliensis</w:t>
      </w:r>
      <w:r w:rsidRPr="00863252">
        <w:t xml:space="preserve">-DL phagocytosis by host cells </w:t>
      </w:r>
      <w:r w:rsidR="004C34BB" w:rsidRPr="004C34BB">
        <w:t>(</w:t>
      </w:r>
      <w:r w:rsidRPr="00863252">
        <w:rPr>
          <w:b/>
          <w:bCs/>
        </w:rPr>
        <w:t>Figure 2</w:t>
      </w:r>
      <w:r w:rsidR="004C34BB" w:rsidRPr="004C34BB">
        <w:t>)</w:t>
      </w:r>
      <w:r w:rsidRPr="00863252">
        <w:t xml:space="preserve">. Finally, we compared the recruitment of LC3 to the PVs induced by </w:t>
      </w:r>
      <w:r w:rsidRPr="00863252">
        <w:rPr>
          <w:i/>
          <w:iCs/>
        </w:rPr>
        <w:t>L. braziliensis</w:t>
      </w:r>
      <w:r w:rsidRPr="00863252">
        <w:t>-LCL or</w:t>
      </w:r>
      <w:r w:rsidRPr="00863252">
        <w:rPr>
          <w:i/>
          <w:iCs/>
        </w:rPr>
        <w:t xml:space="preserve"> L. braziliensis</w:t>
      </w:r>
      <w:r w:rsidRPr="00863252">
        <w:t>-DL in infected cells.</w:t>
      </w:r>
      <w:r w:rsidRPr="00863252">
        <w:rPr>
          <w:rStyle w:val="CommentReference"/>
          <w:sz w:val="24"/>
          <w:szCs w:val="24"/>
        </w:rPr>
        <w:t xml:space="preserve"> </w:t>
      </w:r>
      <w:r w:rsidRPr="00863252">
        <w:t>After 4 h of infection, we observed similar percentages of LC3 decorated PVs</w:t>
      </w:r>
      <w:r w:rsidRPr="00863252">
        <w:rPr>
          <w:i/>
          <w:iCs/>
        </w:rPr>
        <w:t xml:space="preserve"> </w:t>
      </w:r>
      <w:r w:rsidRPr="00863252">
        <w:t xml:space="preserve">in </w:t>
      </w:r>
      <w:r w:rsidRPr="00863252">
        <w:rPr>
          <w:i/>
          <w:iCs/>
        </w:rPr>
        <w:t>L. braziliensis</w:t>
      </w:r>
      <w:r w:rsidRPr="00863252">
        <w:t xml:space="preserve">-LCL and </w:t>
      </w:r>
      <w:r w:rsidRPr="00863252">
        <w:rPr>
          <w:i/>
          <w:iCs/>
        </w:rPr>
        <w:t>L. braziliensis</w:t>
      </w:r>
      <w:r w:rsidRPr="00863252">
        <w:t>-DL-infected macrophages</w:t>
      </w:r>
      <w:r w:rsidRPr="00863252">
        <w:rPr>
          <w:rStyle w:val="CommentReference"/>
          <w:sz w:val="24"/>
          <w:szCs w:val="24"/>
        </w:rPr>
        <w:t xml:space="preserve"> </w:t>
      </w:r>
      <w:r w:rsidR="004C34BB" w:rsidRPr="004C34BB">
        <w:rPr>
          <w:rStyle w:val="CommentReference"/>
          <w:sz w:val="24"/>
          <w:szCs w:val="24"/>
        </w:rPr>
        <w:t>(</w:t>
      </w:r>
      <w:r w:rsidRPr="00863252">
        <w:rPr>
          <w:rStyle w:val="CommentReference"/>
          <w:b/>
          <w:bCs/>
          <w:sz w:val="24"/>
          <w:szCs w:val="24"/>
        </w:rPr>
        <w:t>Figure 3</w:t>
      </w:r>
      <w:r w:rsidR="004C34BB" w:rsidRPr="004C34BB">
        <w:rPr>
          <w:rStyle w:val="CommentReference"/>
          <w:sz w:val="24"/>
          <w:szCs w:val="24"/>
        </w:rPr>
        <w:t>)</w:t>
      </w:r>
      <w:r w:rsidRPr="004C34BB">
        <w:rPr>
          <w:rStyle w:val="CommentReference"/>
          <w:sz w:val="24"/>
          <w:szCs w:val="24"/>
        </w:rPr>
        <w:t>.</w:t>
      </w:r>
      <w:r w:rsidRPr="00863252">
        <w:t xml:space="preserve"> These representative results showed that </w:t>
      </w:r>
      <w:r w:rsidRPr="00863252">
        <w:rPr>
          <w:i/>
          <w:iCs/>
        </w:rPr>
        <w:t>L. braziliensis</w:t>
      </w:r>
      <w:r w:rsidRPr="00863252">
        <w:t xml:space="preserve">-LCL and </w:t>
      </w:r>
      <w:r w:rsidRPr="00863252">
        <w:rPr>
          <w:i/>
          <w:iCs/>
        </w:rPr>
        <w:t>L. braziliensis</w:t>
      </w:r>
      <w:r w:rsidRPr="00863252">
        <w:t>-DL similarly interact with macrophages during binding, phagocytosis, and biogenesis of PVs, concerning the LC3 recruitment.</w:t>
      </w:r>
    </w:p>
    <w:p w14:paraId="390C27A8" w14:textId="77777777" w:rsidR="00F935C7" w:rsidRPr="00863252" w:rsidRDefault="00F935C7" w:rsidP="004C34BB">
      <w:pPr>
        <w:contextualSpacing/>
      </w:pPr>
    </w:p>
    <w:p w14:paraId="225A2A9B" w14:textId="3F758122" w:rsidR="00F935C7" w:rsidRPr="00863252" w:rsidRDefault="00F935C7" w:rsidP="004C34BB">
      <w:pPr>
        <w:contextualSpacing/>
      </w:pPr>
      <w:r w:rsidRPr="00863252">
        <w:t xml:space="preserve">Microscopic images representing THP-1 cells efficiently transfected with PLC-GFP, Rab5-GFP, Rab7-GFP plasmids are shown in </w:t>
      </w:r>
      <w:r w:rsidRPr="00863252">
        <w:rPr>
          <w:b/>
          <w:bCs/>
        </w:rPr>
        <w:t>Figure 4</w:t>
      </w:r>
      <w:r w:rsidRPr="00863252">
        <w:t>.</w:t>
      </w:r>
    </w:p>
    <w:p w14:paraId="2D2A3892" w14:textId="77777777" w:rsidR="00F935C7" w:rsidRPr="00863252" w:rsidRDefault="00F935C7" w:rsidP="004C34BB">
      <w:pPr>
        <w:contextualSpacing/>
        <w:rPr>
          <w:color w:val="808080"/>
        </w:rPr>
      </w:pPr>
    </w:p>
    <w:p w14:paraId="7D4E8A87" w14:textId="500DCEA0" w:rsidR="00F935C7" w:rsidRPr="004C34BB" w:rsidRDefault="00F935C7" w:rsidP="004C34BB">
      <w:pPr>
        <w:contextualSpacing/>
        <w:rPr>
          <w:color w:val="808080"/>
        </w:rPr>
      </w:pPr>
      <w:r w:rsidRPr="00863252">
        <w:rPr>
          <w:b/>
        </w:rPr>
        <w:t>FIGURE AND TABLE LEGENDS</w:t>
      </w:r>
    </w:p>
    <w:p w14:paraId="36499029" w14:textId="3361C510" w:rsidR="00F935C7" w:rsidRPr="00863252" w:rsidRDefault="00F935C7" w:rsidP="004C34BB">
      <w:pPr>
        <w:pStyle w:val="Normal1"/>
        <w:spacing w:line="240" w:lineRule="auto"/>
        <w:contextualSpacing/>
        <w:jc w:val="both"/>
        <w:rPr>
          <w:rFonts w:ascii="Calibri" w:hAnsi="Calibri" w:cs="Calibri"/>
          <w:sz w:val="24"/>
          <w:szCs w:val="24"/>
          <w:lang w:val="en-US"/>
        </w:rPr>
      </w:pPr>
      <w:r w:rsidRPr="00863252">
        <w:rPr>
          <w:rFonts w:ascii="Calibri" w:eastAsia="Calibri" w:hAnsi="Calibri" w:cs="Calibri"/>
          <w:b/>
          <w:bCs/>
          <w:sz w:val="24"/>
          <w:szCs w:val="24"/>
          <w:lang w:val="en-US"/>
        </w:rPr>
        <w:t>Figure 1</w:t>
      </w:r>
      <w:r w:rsidRPr="00863252">
        <w:rPr>
          <w:rFonts w:ascii="Calibri" w:eastAsia="Calibri" w:hAnsi="Calibri" w:cs="Calibri"/>
          <w:sz w:val="24"/>
          <w:szCs w:val="24"/>
          <w:lang w:val="en-US"/>
        </w:rPr>
        <w:t>.</w:t>
      </w:r>
      <w:r w:rsidRPr="00863252">
        <w:rPr>
          <w:rFonts w:ascii="Calibri" w:eastAsia="Calibri" w:hAnsi="Calibri" w:cs="Calibri"/>
          <w:b/>
          <w:bCs/>
          <w:sz w:val="24"/>
          <w:szCs w:val="24"/>
          <w:lang w:val="en-US"/>
        </w:rPr>
        <w:t xml:space="preserve"> Evaluation of </w:t>
      </w:r>
      <w:r w:rsidRPr="00863252">
        <w:rPr>
          <w:rFonts w:ascii="Calibri" w:eastAsia="Calibri" w:hAnsi="Calibri" w:cs="Calibri"/>
          <w:b/>
          <w:bCs/>
          <w:i/>
          <w:iCs/>
          <w:sz w:val="24"/>
          <w:szCs w:val="24"/>
          <w:lang w:val="en-US"/>
        </w:rPr>
        <w:t>L. braziliensis-LCL</w:t>
      </w:r>
      <w:r w:rsidRPr="00863252">
        <w:rPr>
          <w:rFonts w:ascii="Calibri" w:eastAsia="Calibri" w:hAnsi="Calibri" w:cs="Calibri"/>
          <w:b/>
          <w:bCs/>
          <w:sz w:val="24"/>
          <w:szCs w:val="24"/>
          <w:lang w:val="en-US"/>
        </w:rPr>
        <w:t xml:space="preserve"> and </w:t>
      </w:r>
      <w:r w:rsidRPr="00863252">
        <w:rPr>
          <w:rFonts w:ascii="Calibri" w:eastAsia="Calibri" w:hAnsi="Calibri" w:cs="Calibri"/>
          <w:b/>
          <w:bCs/>
          <w:i/>
          <w:iCs/>
          <w:sz w:val="24"/>
          <w:szCs w:val="24"/>
          <w:lang w:val="en-US"/>
        </w:rPr>
        <w:t>L. braziliensis</w:t>
      </w:r>
      <w:r w:rsidRPr="00863252">
        <w:rPr>
          <w:rFonts w:ascii="Calibri" w:eastAsia="Calibri" w:hAnsi="Calibri" w:cs="Calibri"/>
          <w:b/>
          <w:bCs/>
          <w:sz w:val="24"/>
          <w:szCs w:val="24"/>
          <w:lang w:val="en-US"/>
        </w:rPr>
        <w:t xml:space="preserve">-DL binding to human macrophages. </w:t>
      </w:r>
      <w:r w:rsidRPr="00863252">
        <w:rPr>
          <w:rFonts w:ascii="Calibri" w:eastAsia="Calibri" w:hAnsi="Calibri" w:cs="Calibri"/>
          <w:sz w:val="24"/>
          <w:szCs w:val="24"/>
          <w:lang w:val="en-US"/>
        </w:rPr>
        <w:t xml:space="preserve">Human monocyte-derived macrophages were infected with </w:t>
      </w:r>
      <w:r w:rsidRPr="00863252">
        <w:rPr>
          <w:rFonts w:ascii="Calibri" w:eastAsia="Calibri" w:hAnsi="Calibri" w:cs="Calibri"/>
          <w:i/>
          <w:iCs/>
          <w:sz w:val="24"/>
          <w:szCs w:val="24"/>
          <w:lang w:val="en-US"/>
        </w:rPr>
        <w:t>L. braziliensis</w:t>
      </w:r>
      <w:r w:rsidRPr="00863252">
        <w:rPr>
          <w:rFonts w:ascii="Calibri" w:eastAsia="Calibri" w:hAnsi="Calibri" w:cs="Calibri"/>
          <w:sz w:val="24"/>
          <w:szCs w:val="24"/>
          <w:lang w:val="en-US"/>
        </w:rPr>
        <w:t xml:space="preserve">-LCL- or </w:t>
      </w:r>
      <w:r w:rsidRPr="00863252">
        <w:rPr>
          <w:rFonts w:ascii="Calibri" w:eastAsia="Calibri" w:hAnsi="Calibri" w:cs="Calibri"/>
          <w:i/>
          <w:iCs/>
          <w:sz w:val="24"/>
          <w:szCs w:val="24"/>
          <w:lang w:val="en-US"/>
        </w:rPr>
        <w:t>L. braziliensis</w:t>
      </w:r>
      <w:r w:rsidRPr="00863252">
        <w:rPr>
          <w:rFonts w:ascii="Calibri" w:eastAsia="Calibri" w:hAnsi="Calibri" w:cs="Calibri"/>
          <w:sz w:val="24"/>
          <w:szCs w:val="24"/>
          <w:lang w:val="en-US"/>
        </w:rPr>
        <w:t xml:space="preserve">-DL. After 10 min at 4 </w:t>
      </w:r>
      <w:r w:rsidR="004C34BB" w:rsidRPr="004C34BB">
        <w:rPr>
          <w:rFonts w:ascii="Calibri" w:eastAsia="Calibri" w:hAnsi="Calibri" w:cs="Calibri"/>
          <w:sz w:val="24"/>
          <w:szCs w:val="24"/>
          <w:lang w:val="en-US"/>
        </w:rPr>
        <w:t>°</w:t>
      </w:r>
      <w:r w:rsidRPr="00863252">
        <w:rPr>
          <w:rFonts w:ascii="Calibri" w:eastAsia="Calibri" w:hAnsi="Calibri" w:cs="Calibri"/>
          <w:sz w:val="24"/>
          <w:szCs w:val="24"/>
          <w:lang w:val="en-US"/>
        </w:rPr>
        <w:t xml:space="preserve">C, the binding was assessed by confocal microscopy. </w:t>
      </w:r>
      <w:r w:rsidR="004C34BB" w:rsidRPr="004C34BB">
        <w:rPr>
          <w:rFonts w:ascii="Calibri" w:eastAsia="Calibri" w:hAnsi="Calibri" w:cs="Calibri"/>
          <w:sz w:val="24"/>
          <w:szCs w:val="24"/>
          <w:lang w:val="en-US"/>
        </w:rPr>
        <w:t>(</w:t>
      </w:r>
      <w:r w:rsidRPr="00863252">
        <w:rPr>
          <w:rFonts w:ascii="Calibri" w:eastAsia="Calibri" w:hAnsi="Calibri" w:cs="Calibri"/>
          <w:b/>
          <w:bCs/>
          <w:sz w:val="24"/>
          <w:szCs w:val="24"/>
          <w:lang w:val="en-US"/>
        </w:rPr>
        <w:t>A</w:t>
      </w:r>
      <w:r w:rsidR="004C34BB" w:rsidRPr="004C34BB">
        <w:rPr>
          <w:rFonts w:ascii="Calibri" w:eastAsia="Calibri" w:hAnsi="Calibri" w:cs="Calibri"/>
          <w:sz w:val="24"/>
          <w:szCs w:val="24"/>
          <w:lang w:val="en-US"/>
        </w:rPr>
        <w:t>)</w:t>
      </w:r>
      <w:r w:rsidRPr="00863252">
        <w:rPr>
          <w:rFonts w:ascii="Calibri" w:eastAsia="Calibri" w:hAnsi="Calibri" w:cs="Calibri"/>
          <w:b/>
          <w:bCs/>
          <w:sz w:val="24"/>
          <w:szCs w:val="24"/>
          <w:lang w:val="en-US"/>
        </w:rPr>
        <w:t xml:space="preserve"> </w:t>
      </w:r>
      <w:r w:rsidRPr="00863252">
        <w:rPr>
          <w:rFonts w:ascii="Calibri" w:eastAsia="Calibri" w:hAnsi="Calibri" w:cs="Calibri"/>
          <w:sz w:val="24"/>
          <w:szCs w:val="24"/>
          <w:lang w:val="en-US"/>
        </w:rPr>
        <w:t xml:space="preserve">Confocal microscopy images of </w:t>
      </w:r>
      <w:r w:rsidRPr="00863252">
        <w:rPr>
          <w:rFonts w:ascii="Calibri" w:eastAsia="Calibri" w:hAnsi="Calibri" w:cs="Calibri"/>
          <w:i/>
          <w:iCs/>
          <w:sz w:val="24"/>
          <w:szCs w:val="24"/>
          <w:lang w:val="en-US"/>
        </w:rPr>
        <w:t>L. braziliensis</w:t>
      </w:r>
      <w:r w:rsidRPr="00863252">
        <w:rPr>
          <w:rFonts w:ascii="Calibri" w:eastAsia="Calibri" w:hAnsi="Calibri" w:cs="Calibri"/>
          <w:sz w:val="24"/>
          <w:szCs w:val="24"/>
          <w:lang w:val="en-US"/>
        </w:rPr>
        <w:t xml:space="preserve">-LCL or </w:t>
      </w:r>
      <w:r w:rsidRPr="00863252">
        <w:rPr>
          <w:rFonts w:ascii="Calibri" w:eastAsia="Calibri" w:hAnsi="Calibri" w:cs="Calibri"/>
          <w:i/>
          <w:iCs/>
          <w:sz w:val="24"/>
          <w:szCs w:val="24"/>
          <w:lang w:val="en-US"/>
        </w:rPr>
        <w:t>L. braziliensis</w:t>
      </w:r>
      <w:r w:rsidRPr="00863252">
        <w:rPr>
          <w:rFonts w:ascii="Calibri" w:eastAsia="Calibri" w:hAnsi="Calibri" w:cs="Calibri"/>
          <w:sz w:val="24"/>
          <w:szCs w:val="24"/>
          <w:lang w:val="en-US"/>
        </w:rPr>
        <w:t xml:space="preserve">-DL </w:t>
      </w:r>
      <w:r w:rsidR="004C34BB" w:rsidRPr="004C34BB">
        <w:rPr>
          <w:rFonts w:ascii="Calibri" w:eastAsia="Calibri" w:hAnsi="Calibri" w:cs="Calibri"/>
          <w:sz w:val="24"/>
          <w:szCs w:val="24"/>
          <w:lang w:val="en-US"/>
        </w:rPr>
        <w:t>(</w:t>
      </w:r>
      <w:r w:rsidRPr="00863252">
        <w:rPr>
          <w:rFonts w:ascii="Calibri" w:eastAsia="Calibri" w:hAnsi="Calibri" w:cs="Calibri"/>
          <w:sz w:val="24"/>
          <w:szCs w:val="24"/>
          <w:lang w:val="en-US"/>
        </w:rPr>
        <w:t>labeled with CMTPX, red</w:t>
      </w:r>
      <w:r w:rsidR="004C34BB" w:rsidRPr="004C34BB">
        <w:rPr>
          <w:rFonts w:ascii="Calibri" w:eastAsia="Calibri" w:hAnsi="Calibri" w:cs="Calibri"/>
          <w:sz w:val="24"/>
          <w:szCs w:val="24"/>
          <w:lang w:val="en-US"/>
        </w:rPr>
        <w:t>)</w:t>
      </w:r>
      <w:r w:rsidRPr="00863252">
        <w:rPr>
          <w:rFonts w:ascii="Calibri" w:eastAsia="Calibri" w:hAnsi="Calibri" w:cs="Calibri"/>
          <w:sz w:val="24"/>
          <w:szCs w:val="24"/>
          <w:lang w:val="en-US"/>
        </w:rPr>
        <w:t xml:space="preserve"> binding to macrophages </w:t>
      </w:r>
      <w:r w:rsidR="004C34BB" w:rsidRPr="004C34BB">
        <w:rPr>
          <w:rFonts w:ascii="Calibri" w:eastAsia="Calibri" w:hAnsi="Calibri" w:cs="Calibri"/>
          <w:sz w:val="24"/>
          <w:szCs w:val="24"/>
          <w:lang w:val="en-US"/>
        </w:rPr>
        <w:t>(</w:t>
      </w:r>
      <w:r w:rsidRPr="00863252">
        <w:rPr>
          <w:rFonts w:ascii="Calibri" w:eastAsia="Calibri" w:hAnsi="Calibri" w:cs="Calibri"/>
          <w:sz w:val="24"/>
          <w:szCs w:val="24"/>
          <w:lang w:val="en-US"/>
        </w:rPr>
        <w:t>labeled with phalloidin, green</w:t>
      </w:r>
      <w:r w:rsidR="004C34BB" w:rsidRPr="004C34BB">
        <w:rPr>
          <w:rFonts w:ascii="Calibri" w:eastAsia="Calibri" w:hAnsi="Calibri" w:cs="Calibri"/>
          <w:sz w:val="24"/>
          <w:szCs w:val="24"/>
          <w:lang w:val="en-US"/>
        </w:rPr>
        <w:t>)</w:t>
      </w:r>
      <w:r w:rsidRPr="00863252">
        <w:rPr>
          <w:rFonts w:ascii="Calibri" w:eastAsia="Calibri" w:hAnsi="Calibri" w:cs="Calibri"/>
          <w:sz w:val="24"/>
          <w:szCs w:val="24"/>
          <w:lang w:val="en-US"/>
        </w:rPr>
        <w:t>.</w:t>
      </w:r>
      <w:r w:rsidRPr="00863252">
        <w:rPr>
          <w:rFonts w:ascii="Calibri" w:eastAsia="Calibri" w:hAnsi="Calibri" w:cs="Calibri"/>
          <w:b/>
          <w:bCs/>
          <w:sz w:val="24"/>
          <w:szCs w:val="24"/>
          <w:lang w:val="en-US"/>
        </w:rPr>
        <w:t xml:space="preserve"> </w:t>
      </w:r>
      <w:r w:rsidRPr="00863252">
        <w:rPr>
          <w:rFonts w:ascii="Calibri" w:eastAsia="Calibri" w:hAnsi="Calibri" w:cs="Calibri"/>
          <w:sz w:val="24"/>
          <w:szCs w:val="24"/>
          <w:lang w:val="en-US"/>
        </w:rPr>
        <w:t xml:space="preserve">For confocal microscopy, cell nuclei were labeled with DAPI </w:t>
      </w:r>
      <w:r w:rsidR="004C34BB" w:rsidRPr="004C34BB">
        <w:rPr>
          <w:rFonts w:ascii="Calibri" w:eastAsia="Calibri" w:hAnsi="Calibri" w:cs="Calibri"/>
          <w:sz w:val="24"/>
          <w:szCs w:val="24"/>
          <w:lang w:val="en-US"/>
        </w:rPr>
        <w:t>(</w:t>
      </w:r>
      <w:r w:rsidRPr="00863252">
        <w:rPr>
          <w:rFonts w:ascii="Calibri" w:eastAsia="Calibri" w:hAnsi="Calibri" w:cs="Calibri"/>
          <w:sz w:val="24"/>
          <w:szCs w:val="24"/>
          <w:lang w:val="en-US"/>
        </w:rPr>
        <w:t>blue</w:t>
      </w:r>
      <w:r w:rsidR="004C34BB" w:rsidRPr="004C34BB">
        <w:rPr>
          <w:rFonts w:ascii="Calibri" w:eastAsia="Calibri" w:hAnsi="Calibri" w:cs="Calibri"/>
          <w:sz w:val="24"/>
          <w:szCs w:val="24"/>
          <w:lang w:val="en-US"/>
        </w:rPr>
        <w:t>)</w:t>
      </w:r>
      <w:r w:rsidRPr="00863252">
        <w:rPr>
          <w:rFonts w:ascii="Calibri" w:eastAsia="Calibri" w:hAnsi="Calibri" w:cs="Calibri"/>
          <w:sz w:val="24"/>
          <w:szCs w:val="24"/>
          <w:lang w:val="en-US"/>
        </w:rPr>
        <w:t>.</w:t>
      </w:r>
      <w:r w:rsidRPr="00863252">
        <w:rPr>
          <w:rFonts w:ascii="Calibri" w:eastAsia="Calibri" w:hAnsi="Calibri" w:cs="Calibri"/>
          <w:b/>
          <w:bCs/>
          <w:sz w:val="24"/>
          <w:szCs w:val="24"/>
          <w:lang w:val="en-US"/>
        </w:rPr>
        <w:t xml:space="preserve"> </w:t>
      </w:r>
      <w:r w:rsidRPr="00863252">
        <w:rPr>
          <w:rFonts w:ascii="Calibri" w:eastAsia="Calibri" w:hAnsi="Calibri" w:cs="Calibri"/>
          <w:sz w:val="24"/>
          <w:szCs w:val="24"/>
          <w:lang w:val="en-US"/>
        </w:rPr>
        <w:t xml:space="preserve">Arrows depict </w:t>
      </w:r>
      <w:r w:rsidRPr="00863252">
        <w:rPr>
          <w:rFonts w:ascii="Calibri" w:eastAsia="Calibri" w:hAnsi="Calibri" w:cs="Calibri"/>
          <w:i/>
          <w:iCs/>
          <w:sz w:val="24"/>
          <w:szCs w:val="24"/>
          <w:lang w:val="en-US"/>
        </w:rPr>
        <w:t>Leishmania</w:t>
      </w:r>
      <w:r w:rsidRPr="00863252">
        <w:rPr>
          <w:rFonts w:ascii="Calibri" w:eastAsia="Calibri" w:hAnsi="Calibri" w:cs="Calibri"/>
          <w:sz w:val="24"/>
          <w:szCs w:val="24"/>
          <w:lang w:val="en-US"/>
        </w:rPr>
        <w:t>-macrophage binding.</w:t>
      </w:r>
      <w:r w:rsidR="00863252">
        <w:rPr>
          <w:rFonts w:ascii="Calibri" w:eastAsia="Calibri" w:hAnsi="Calibri" w:cs="Calibri"/>
          <w:sz w:val="24"/>
          <w:szCs w:val="24"/>
          <w:lang w:val="en-US"/>
        </w:rPr>
        <w:t xml:space="preserve"> </w:t>
      </w:r>
      <w:r w:rsidR="004C34BB" w:rsidRPr="004C34BB">
        <w:rPr>
          <w:rFonts w:ascii="Calibri" w:eastAsia="Calibri" w:hAnsi="Calibri" w:cs="Calibri"/>
          <w:sz w:val="24"/>
          <w:szCs w:val="24"/>
          <w:lang w:val="en-US"/>
        </w:rPr>
        <w:t>(</w:t>
      </w:r>
      <w:r w:rsidRPr="00863252">
        <w:rPr>
          <w:rFonts w:ascii="Calibri" w:eastAsia="Calibri" w:hAnsi="Calibri" w:cs="Calibri"/>
          <w:b/>
          <w:bCs/>
          <w:sz w:val="24"/>
          <w:szCs w:val="24"/>
          <w:lang w:val="en-US"/>
        </w:rPr>
        <w:t>B</w:t>
      </w:r>
      <w:r w:rsidR="004C34BB" w:rsidRPr="004C34BB">
        <w:rPr>
          <w:rFonts w:ascii="Calibri" w:eastAsia="Calibri" w:hAnsi="Calibri" w:cs="Calibri"/>
          <w:sz w:val="24"/>
          <w:szCs w:val="24"/>
          <w:lang w:val="en-US"/>
        </w:rPr>
        <w:t>)</w:t>
      </w:r>
      <w:r w:rsidRPr="00863252">
        <w:rPr>
          <w:rFonts w:ascii="Calibri" w:eastAsia="Calibri" w:hAnsi="Calibri" w:cs="Calibri"/>
          <w:sz w:val="24"/>
          <w:szCs w:val="24"/>
          <w:lang w:val="en-US"/>
        </w:rPr>
        <w:t xml:space="preserve"> Percentage of </w:t>
      </w:r>
      <w:r w:rsidRPr="00863252">
        <w:rPr>
          <w:rFonts w:ascii="Calibri" w:eastAsia="Calibri" w:hAnsi="Calibri" w:cs="Calibri"/>
          <w:i/>
          <w:iCs/>
          <w:sz w:val="24"/>
          <w:szCs w:val="24"/>
          <w:lang w:val="en-US"/>
        </w:rPr>
        <w:t>Leishmania</w:t>
      </w:r>
      <w:r w:rsidRPr="00863252">
        <w:rPr>
          <w:rFonts w:ascii="Calibri" w:eastAsia="Calibri" w:hAnsi="Calibri" w:cs="Calibri"/>
          <w:sz w:val="24"/>
          <w:szCs w:val="24"/>
          <w:lang w:val="en-US"/>
        </w:rPr>
        <w:t xml:space="preserve"> binding to the macrophages. A total of 30 cells per group were analyzed. Data represent each replicate of one experiment performed in quintuplicate </w:t>
      </w:r>
      <w:r w:rsidR="004C34BB" w:rsidRPr="004C34BB">
        <w:rPr>
          <w:rFonts w:ascii="Calibri" w:eastAsia="Calibri" w:hAnsi="Calibri" w:cs="Calibri"/>
          <w:sz w:val="24"/>
          <w:szCs w:val="24"/>
          <w:lang w:val="en-US"/>
        </w:rPr>
        <w:t>(</w:t>
      </w:r>
      <w:r w:rsidRPr="00863252">
        <w:rPr>
          <w:rFonts w:ascii="Calibri" w:hAnsi="Calibri" w:cs="Calibri"/>
          <w:sz w:val="24"/>
          <w:szCs w:val="24"/>
          <w:lang w:val="en-US"/>
        </w:rPr>
        <w:t>unpaired</w:t>
      </w:r>
      <w:r w:rsidR="000D7755" w:rsidRPr="00863252">
        <w:rPr>
          <w:rFonts w:ascii="Calibri" w:hAnsi="Calibri" w:cs="Calibri"/>
          <w:sz w:val="24"/>
          <w:szCs w:val="24"/>
          <w:lang w:val="en-US"/>
        </w:rPr>
        <w:t xml:space="preserve"> </w:t>
      </w:r>
      <w:r w:rsidR="000D7755" w:rsidRPr="00863252">
        <w:rPr>
          <w:rFonts w:ascii="Calibri" w:hAnsi="Calibri" w:cs="Calibri"/>
          <w:i/>
          <w:iCs/>
          <w:sz w:val="24"/>
          <w:szCs w:val="24"/>
          <w:lang w:val="en-US"/>
        </w:rPr>
        <w:t xml:space="preserve">t </w:t>
      </w:r>
      <w:r w:rsidR="000D7755" w:rsidRPr="00863252">
        <w:rPr>
          <w:rFonts w:ascii="Calibri" w:hAnsi="Calibri" w:cs="Calibri"/>
          <w:sz w:val="24"/>
          <w:szCs w:val="24"/>
          <w:lang w:val="en-US"/>
        </w:rPr>
        <w:t xml:space="preserve">test, </w:t>
      </w:r>
      <w:r w:rsidR="000D7755" w:rsidRPr="00863252">
        <w:rPr>
          <w:rFonts w:ascii="Calibri" w:hAnsi="Calibri" w:cs="Calibri"/>
          <w:i/>
          <w:iCs/>
          <w:sz w:val="24"/>
          <w:szCs w:val="24"/>
          <w:lang w:val="en-US"/>
        </w:rPr>
        <w:t>p</w:t>
      </w:r>
      <w:r w:rsidR="000D7755" w:rsidRPr="00863252">
        <w:rPr>
          <w:rFonts w:ascii="Calibri" w:hAnsi="Calibri" w:cs="Calibri"/>
          <w:sz w:val="24"/>
          <w:szCs w:val="24"/>
          <w:lang w:val="en-US"/>
        </w:rPr>
        <w:t xml:space="preserve"> &gt; 0.05</w:t>
      </w:r>
      <w:r w:rsidR="004C34BB" w:rsidRPr="004C34BB">
        <w:rPr>
          <w:rFonts w:ascii="Calibri" w:hAnsi="Calibri" w:cs="Calibri"/>
          <w:sz w:val="24"/>
          <w:szCs w:val="24"/>
          <w:lang w:val="en-US"/>
        </w:rPr>
        <w:t>)</w:t>
      </w:r>
      <w:r w:rsidRPr="00863252">
        <w:rPr>
          <w:rFonts w:ascii="Calibri" w:hAnsi="Calibri" w:cs="Calibri"/>
          <w:sz w:val="24"/>
          <w:szCs w:val="24"/>
          <w:lang w:val="en-US"/>
        </w:rPr>
        <w:t>.</w:t>
      </w:r>
    </w:p>
    <w:p w14:paraId="3F2C3748" w14:textId="77777777" w:rsidR="00F935C7" w:rsidRPr="00863252" w:rsidRDefault="00F935C7" w:rsidP="004C34BB">
      <w:pPr>
        <w:contextualSpacing/>
      </w:pPr>
    </w:p>
    <w:p w14:paraId="5C3395CE" w14:textId="58FBA087" w:rsidR="00F935C7" w:rsidRPr="00863252" w:rsidRDefault="00F935C7" w:rsidP="004C34BB">
      <w:pPr>
        <w:contextualSpacing/>
      </w:pPr>
      <w:r w:rsidRPr="00863252">
        <w:rPr>
          <w:b/>
          <w:bCs/>
        </w:rPr>
        <w:t xml:space="preserve">Figure 2. Evaluation of </w:t>
      </w:r>
      <w:r w:rsidRPr="00863252">
        <w:rPr>
          <w:b/>
          <w:bCs/>
          <w:i/>
          <w:iCs/>
        </w:rPr>
        <w:t>L. braziliensis-</w:t>
      </w:r>
      <w:r w:rsidRPr="00863252">
        <w:rPr>
          <w:b/>
          <w:bCs/>
        </w:rPr>
        <w:t xml:space="preserve">LCL and </w:t>
      </w:r>
      <w:r w:rsidRPr="00863252">
        <w:rPr>
          <w:b/>
          <w:bCs/>
          <w:i/>
          <w:iCs/>
        </w:rPr>
        <w:t>L. braziliensis</w:t>
      </w:r>
      <w:r w:rsidRPr="00863252">
        <w:rPr>
          <w:b/>
          <w:bCs/>
        </w:rPr>
        <w:t xml:space="preserve">-DL phagocytosis by human macrophages. </w:t>
      </w:r>
      <w:r w:rsidRPr="00863252">
        <w:t xml:space="preserve">Human monocyte-derived macrophages were incubated with </w:t>
      </w:r>
      <w:r w:rsidRPr="00863252">
        <w:rPr>
          <w:i/>
          <w:iCs/>
        </w:rPr>
        <w:t>L. braziliensis</w:t>
      </w:r>
      <w:r w:rsidRPr="00863252">
        <w:t xml:space="preserve">-LCL or </w:t>
      </w:r>
      <w:r w:rsidRPr="00863252">
        <w:rPr>
          <w:i/>
          <w:iCs/>
        </w:rPr>
        <w:t>L. braziliensis</w:t>
      </w:r>
      <w:r w:rsidRPr="00863252">
        <w:t>-DL</w:t>
      </w:r>
      <w:r w:rsidRPr="00863252">
        <w:rPr>
          <w:i/>
          <w:iCs/>
        </w:rPr>
        <w:t xml:space="preserve"> </w:t>
      </w:r>
      <w:r w:rsidRPr="00863252">
        <w:t xml:space="preserve">for 10 min at 4 </w:t>
      </w:r>
      <w:r w:rsidR="004C34BB" w:rsidRPr="004C34BB">
        <w:t>°</w:t>
      </w:r>
      <w:r w:rsidRPr="00863252">
        <w:t>C followed by additional</w:t>
      </w:r>
      <w:r w:rsidR="00863252">
        <w:t xml:space="preserve"> </w:t>
      </w:r>
      <w:r w:rsidRPr="00863252">
        <w:t xml:space="preserve">1 h at 37 </w:t>
      </w:r>
      <w:r w:rsidR="004C34BB" w:rsidRPr="004C34BB">
        <w:t>°</w:t>
      </w:r>
      <w:r w:rsidRPr="00863252">
        <w:t xml:space="preserve">C. Cells were then analyzed by fluorescence microscopy by counting a total of 400 cells. </w:t>
      </w:r>
      <w:r w:rsidR="004C34BB" w:rsidRPr="004C34BB">
        <w:t>(</w:t>
      </w:r>
      <w:r w:rsidR="004C34BB" w:rsidRPr="004C34BB">
        <w:rPr>
          <w:b/>
          <w:bCs/>
        </w:rPr>
        <w:t>A</w:t>
      </w:r>
      <w:r w:rsidR="004C34BB" w:rsidRPr="004C34BB">
        <w:t>)</w:t>
      </w:r>
      <w:r w:rsidRPr="00863252">
        <w:t xml:space="preserve"> Confocal microscopy images of human macrophages infected by </w:t>
      </w:r>
      <w:r w:rsidRPr="00863252">
        <w:rPr>
          <w:i/>
          <w:iCs/>
        </w:rPr>
        <w:t>L. braziliensis-</w:t>
      </w:r>
      <w:r w:rsidRPr="00863252">
        <w:t xml:space="preserve">LCL or </w:t>
      </w:r>
      <w:r w:rsidRPr="00863252">
        <w:rPr>
          <w:i/>
          <w:iCs/>
        </w:rPr>
        <w:t>L. braziliensis</w:t>
      </w:r>
      <w:r w:rsidRPr="00863252">
        <w:t xml:space="preserve">-DL. For confocal microscopy, cell nuclei were labeled with DAPI </w:t>
      </w:r>
      <w:r w:rsidR="004C34BB" w:rsidRPr="004C34BB">
        <w:t>(</w:t>
      </w:r>
      <w:r w:rsidRPr="00863252">
        <w:t>blue</w:t>
      </w:r>
      <w:r w:rsidR="004C34BB" w:rsidRPr="004C34BB">
        <w:t>)</w:t>
      </w:r>
      <w:r w:rsidRPr="00863252">
        <w:t xml:space="preserve">. Arrows depict </w:t>
      </w:r>
      <w:r w:rsidRPr="00863252">
        <w:rPr>
          <w:i/>
          <w:iCs/>
        </w:rPr>
        <w:t>Leishmania</w:t>
      </w:r>
      <w:r w:rsidRPr="00863252">
        <w:t xml:space="preserve"> parasites nuclei.</w:t>
      </w:r>
      <w:r w:rsidRPr="00863252">
        <w:rPr>
          <w:b/>
          <w:bCs/>
        </w:rPr>
        <w:t xml:space="preserve"> </w:t>
      </w:r>
      <w:r w:rsidR="004C34BB" w:rsidRPr="004C34BB">
        <w:t>(</w:t>
      </w:r>
      <w:r w:rsidR="004C34BB" w:rsidRPr="004C34BB">
        <w:rPr>
          <w:b/>
          <w:bCs/>
        </w:rPr>
        <w:t>B</w:t>
      </w:r>
      <w:r w:rsidR="004C34BB" w:rsidRPr="004C34BB">
        <w:t>)</w:t>
      </w:r>
      <w:r w:rsidRPr="00863252">
        <w:t xml:space="preserve"> Percentage of </w:t>
      </w:r>
      <w:r w:rsidRPr="00863252">
        <w:rPr>
          <w:i/>
          <w:iCs/>
        </w:rPr>
        <w:t>Leishmania</w:t>
      </w:r>
      <w:r w:rsidRPr="00863252">
        <w:t xml:space="preserve"> phagocytosis. Circles represent data from each replicate of one experiment performed in triplicate </w:t>
      </w:r>
      <w:r w:rsidR="004C34BB" w:rsidRPr="004C34BB">
        <w:t>(</w:t>
      </w:r>
      <w:r w:rsidRPr="00863252">
        <w:t xml:space="preserve">unpaired </w:t>
      </w:r>
      <w:r w:rsidRPr="00863252">
        <w:rPr>
          <w:i/>
          <w:iCs/>
        </w:rPr>
        <w:t xml:space="preserve">t </w:t>
      </w:r>
      <w:r w:rsidRPr="00863252">
        <w:t>test</w:t>
      </w:r>
      <w:r w:rsidR="000D7755" w:rsidRPr="00863252">
        <w:t xml:space="preserve">, </w:t>
      </w:r>
      <w:r w:rsidR="000D7755" w:rsidRPr="00863252">
        <w:rPr>
          <w:i/>
          <w:iCs/>
        </w:rPr>
        <w:t>p</w:t>
      </w:r>
      <w:r w:rsidR="000D7755" w:rsidRPr="00863252">
        <w:t xml:space="preserve"> &gt; 0.05</w:t>
      </w:r>
      <w:r w:rsidR="004C34BB" w:rsidRPr="004C34BB">
        <w:t>)</w:t>
      </w:r>
      <w:r w:rsidRPr="00863252">
        <w:t>.</w:t>
      </w:r>
    </w:p>
    <w:p w14:paraId="4206E7B0" w14:textId="77777777" w:rsidR="00F935C7" w:rsidRPr="00863252" w:rsidRDefault="00F935C7" w:rsidP="004C34BB">
      <w:pPr>
        <w:contextualSpacing/>
      </w:pPr>
    </w:p>
    <w:p w14:paraId="126C8843" w14:textId="139896A3" w:rsidR="00F935C7" w:rsidRPr="00863252" w:rsidRDefault="00F935C7" w:rsidP="004C34BB">
      <w:pPr>
        <w:contextualSpacing/>
        <w:rPr>
          <w:color w:val="808080"/>
        </w:rPr>
      </w:pPr>
      <w:r w:rsidRPr="00863252">
        <w:rPr>
          <w:b/>
          <w:bCs/>
        </w:rPr>
        <w:t xml:space="preserve">Figure 3. Assessment of LC3 recruitment to PVs induced by </w:t>
      </w:r>
      <w:r w:rsidRPr="00863252">
        <w:rPr>
          <w:b/>
          <w:bCs/>
          <w:i/>
          <w:iCs/>
        </w:rPr>
        <w:t>L. braziliensi</w:t>
      </w:r>
      <w:r w:rsidRPr="00863252">
        <w:rPr>
          <w:b/>
          <w:bCs/>
        </w:rPr>
        <w:t xml:space="preserve">s-LCL or </w:t>
      </w:r>
      <w:r w:rsidRPr="00863252">
        <w:rPr>
          <w:b/>
          <w:bCs/>
          <w:i/>
          <w:iCs/>
        </w:rPr>
        <w:t xml:space="preserve">L. braziliensis-DL </w:t>
      </w:r>
      <w:r w:rsidRPr="00863252">
        <w:rPr>
          <w:b/>
          <w:bCs/>
        </w:rPr>
        <w:t>in macrophages</w:t>
      </w:r>
      <w:r w:rsidRPr="00863252">
        <w:t xml:space="preserve">. Human monocyte-derived macrophages were infected and then stained with anti-LC3 antibody for 30 min, 4 and 12 h. </w:t>
      </w:r>
      <w:r w:rsidR="004C34BB" w:rsidRPr="004C34BB">
        <w:t>(</w:t>
      </w:r>
      <w:r w:rsidRPr="004C34BB">
        <w:rPr>
          <w:b/>
          <w:bCs/>
        </w:rPr>
        <w:t>A</w:t>
      </w:r>
      <w:r w:rsidR="004C34BB" w:rsidRPr="004C34BB">
        <w:t>)</w:t>
      </w:r>
      <w:r w:rsidRPr="00863252">
        <w:t xml:space="preserve"> Confocal microscopy images of </w:t>
      </w:r>
      <w:r w:rsidRPr="00863252">
        <w:rPr>
          <w:i/>
          <w:iCs/>
        </w:rPr>
        <w:t>L. braziliensi</w:t>
      </w:r>
      <w:r w:rsidRPr="00863252">
        <w:t xml:space="preserve">s-LCL or </w:t>
      </w:r>
      <w:r w:rsidRPr="00863252">
        <w:rPr>
          <w:i/>
          <w:iCs/>
        </w:rPr>
        <w:t>L. braziliensis-DL</w:t>
      </w:r>
      <w:r w:rsidRPr="00863252">
        <w:t xml:space="preserve">-infected macrophages labeled with anti-LC3 followed by the secondary anti-rabbit IgG antibody conjugated to Alexa Fluor 488 </w:t>
      </w:r>
      <w:r w:rsidR="004C34BB" w:rsidRPr="004C34BB">
        <w:t>(</w:t>
      </w:r>
      <w:r w:rsidRPr="00863252">
        <w:t>green</w:t>
      </w:r>
      <w:r w:rsidR="004C34BB" w:rsidRPr="004C34BB">
        <w:t>)</w:t>
      </w:r>
      <w:r w:rsidRPr="00863252">
        <w:t xml:space="preserve">. For confocal microscopy, cell nuclei were labeled with DAPI </w:t>
      </w:r>
      <w:r w:rsidR="004C34BB" w:rsidRPr="004C34BB">
        <w:t>(</w:t>
      </w:r>
      <w:r w:rsidRPr="00863252">
        <w:t>blue</w:t>
      </w:r>
      <w:r w:rsidR="004C34BB" w:rsidRPr="004C34BB">
        <w:t>)</w:t>
      </w:r>
      <w:r w:rsidRPr="00863252">
        <w:t xml:space="preserve">; </w:t>
      </w:r>
      <w:r w:rsidR="004C34BB" w:rsidRPr="004C34BB">
        <w:t>(</w:t>
      </w:r>
      <w:r w:rsidRPr="00863252">
        <w:rPr>
          <w:b/>
          <w:bCs/>
        </w:rPr>
        <w:t>B</w:t>
      </w:r>
      <w:r w:rsidR="004C34BB" w:rsidRPr="004C34BB">
        <w:t>)</w:t>
      </w:r>
      <w:r w:rsidRPr="00863252">
        <w:t xml:space="preserve"> Percentage of </w:t>
      </w:r>
      <w:r w:rsidRPr="00863252">
        <w:rPr>
          <w:i/>
          <w:iCs/>
        </w:rPr>
        <w:t>L. braziliensi</w:t>
      </w:r>
      <w:r w:rsidRPr="00863252">
        <w:t xml:space="preserve">s-LCL or </w:t>
      </w:r>
      <w:r w:rsidRPr="00863252">
        <w:rPr>
          <w:i/>
          <w:iCs/>
        </w:rPr>
        <w:t>L. braziliensis</w:t>
      </w:r>
      <w:r w:rsidRPr="00863252">
        <w:t xml:space="preserve">-DL-induced PVs decorated with LC3-II. A total of 30 cells per group were analyzed. The circles correspond to each randomly selected field analyzed </w:t>
      </w:r>
      <w:r w:rsidR="004C34BB" w:rsidRPr="004C34BB">
        <w:t>(</w:t>
      </w:r>
      <w:r w:rsidR="000D7755" w:rsidRPr="00863252">
        <w:t xml:space="preserve">unpaired </w:t>
      </w:r>
      <w:r w:rsidR="000D7755" w:rsidRPr="00863252">
        <w:rPr>
          <w:i/>
          <w:iCs/>
        </w:rPr>
        <w:t xml:space="preserve">t </w:t>
      </w:r>
      <w:r w:rsidR="000D7755" w:rsidRPr="00863252">
        <w:t xml:space="preserve">test, </w:t>
      </w:r>
      <w:r w:rsidR="000D7755" w:rsidRPr="00863252">
        <w:rPr>
          <w:i/>
          <w:iCs/>
        </w:rPr>
        <w:t>p</w:t>
      </w:r>
      <w:r w:rsidR="000D7755" w:rsidRPr="00863252">
        <w:t xml:space="preserve"> &gt; 0.05</w:t>
      </w:r>
      <w:r w:rsidR="004C34BB" w:rsidRPr="004C34BB">
        <w:t>)</w:t>
      </w:r>
      <w:r w:rsidRPr="00863252">
        <w:t>.</w:t>
      </w:r>
    </w:p>
    <w:p w14:paraId="48D765AB" w14:textId="77777777" w:rsidR="00F935C7" w:rsidRPr="00863252" w:rsidRDefault="00F935C7" w:rsidP="004C34BB">
      <w:pPr>
        <w:contextualSpacing/>
      </w:pPr>
    </w:p>
    <w:p w14:paraId="0A643707" w14:textId="033820FA" w:rsidR="00F935C7" w:rsidRPr="00863252" w:rsidRDefault="00F935C7" w:rsidP="004C34BB">
      <w:pPr>
        <w:contextualSpacing/>
      </w:pPr>
      <w:r w:rsidRPr="00863252">
        <w:rPr>
          <w:b/>
          <w:bCs/>
        </w:rPr>
        <w:t>Figure 4. THP-1 cells expressing PLC, Rab5 or Rab7</w:t>
      </w:r>
      <w:r w:rsidRPr="00863252">
        <w:t xml:space="preserve">. After differentiating into macrophages, THP-1 cells were subjected to nucleofection with each gene of interest coupled to GFP fluorescent probes: PLC, Rab5 and Rab7. Subsequently, these cells were fixed, had the nucleus stained with DAPI </w:t>
      </w:r>
      <w:r w:rsidR="004C34BB" w:rsidRPr="004C34BB">
        <w:t>(</w:t>
      </w:r>
      <w:r w:rsidRPr="00863252">
        <w:t>blue</w:t>
      </w:r>
      <w:r w:rsidR="004C34BB" w:rsidRPr="004C34BB">
        <w:t>)</w:t>
      </w:r>
      <w:r w:rsidRPr="00863252">
        <w:t xml:space="preserve"> and were observed under a confocal microscope using a 63x/1.4 objective.</w:t>
      </w:r>
    </w:p>
    <w:p w14:paraId="419FBC38" w14:textId="77777777" w:rsidR="00F935C7" w:rsidRPr="00863252" w:rsidRDefault="00F935C7" w:rsidP="004C34BB">
      <w:pPr>
        <w:contextualSpacing/>
        <w:rPr>
          <w:color w:val="808080"/>
        </w:rPr>
      </w:pPr>
    </w:p>
    <w:p w14:paraId="4F72B30D" w14:textId="4308EAA1" w:rsidR="00F935C7" w:rsidRPr="004C34BB" w:rsidRDefault="00F935C7" w:rsidP="004C34BB">
      <w:pPr>
        <w:contextualSpacing/>
        <w:rPr>
          <w:color w:val="808080"/>
        </w:rPr>
      </w:pPr>
      <w:r w:rsidRPr="00863252">
        <w:rPr>
          <w:b/>
        </w:rPr>
        <w:t>DISCUSSION</w:t>
      </w:r>
    </w:p>
    <w:p w14:paraId="7E4BCDF0" w14:textId="329E16B5" w:rsidR="00F935C7" w:rsidRDefault="00F935C7" w:rsidP="004C34BB">
      <w:pPr>
        <w:contextualSpacing/>
      </w:pPr>
      <w:r w:rsidRPr="00863252">
        <w:rPr>
          <w:i/>
          <w:iCs/>
        </w:rPr>
        <w:t>Leishmania</w:t>
      </w:r>
      <w:r w:rsidRPr="00863252">
        <w:t>-macrophage interaction is a complex process and involves several steps that can influence disease development</w:t>
      </w:r>
      <w:r w:rsidRPr="00863252">
        <w:rPr>
          <w:noProof/>
          <w:vertAlign w:val="superscript"/>
        </w:rPr>
        <w:t>5</w:t>
      </w:r>
      <w:r w:rsidRPr="00863252">
        <w:t xml:space="preserve">. To better understand the mechanisms involved in the interaction of unopsonized </w:t>
      </w:r>
      <w:r w:rsidRPr="00863252">
        <w:rPr>
          <w:i/>
          <w:iCs/>
        </w:rPr>
        <w:t>Leishmania</w:t>
      </w:r>
      <w:r w:rsidRPr="00863252">
        <w:t xml:space="preserve"> and host cells, we have described a protocol that employs confocal fluorescence microscopy</w:t>
      </w:r>
      <w:r w:rsidRPr="00863252" w:rsidDel="00641388">
        <w:t xml:space="preserve"> </w:t>
      </w:r>
      <w:r w:rsidRPr="00863252">
        <w:t xml:space="preserve">to assess phagocytosis from early to late stages of </w:t>
      </w:r>
      <w:r w:rsidRPr="00863252">
        <w:rPr>
          <w:i/>
          <w:iCs/>
        </w:rPr>
        <w:t>Leishmania</w:t>
      </w:r>
      <w:r w:rsidRPr="00863252">
        <w:t xml:space="preserve"> infection. The use of fluorescence techniques involving two or more fluorophores to investigate cell biology mechanisms, including immunolabeling and the expression of fluorescent-labeled proteins, allows us to analyze the location of several proteins, as well as to simultaneously evaluate cell morphology. The advantages offered by these methods make them the best tools to monitor pathogen-host cell interaction</w:t>
      </w:r>
      <w:r w:rsidRPr="00863252">
        <w:rPr>
          <w:noProof/>
          <w:vertAlign w:val="superscript"/>
        </w:rPr>
        <w:t>34</w:t>
      </w:r>
      <w:r w:rsidRPr="00863252">
        <w:t>.</w:t>
      </w:r>
    </w:p>
    <w:p w14:paraId="75D9F6B1" w14:textId="77777777" w:rsidR="004C34BB" w:rsidRPr="00863252" w:rsidRDefault="004C34BB" w:rsidP="004C34BB">
      <w:pPr>
        <w:contextualSpacing/>
      </w:pPr>
    </w:p>
    <w:p w14:paraId="3D2876AF" w14:textId="2667CB3F" w:rsidR="00F935C7" w:rsidRDefault="00F935C7" w:rsidP="004C34BB">
      <w:pPr>
        <w:contextualSpacing/>
        <w:rPr>
          <w:shd w:val="clear" w:color="auto" w:fill="FFFFFF"/>
        </w:rPr>
      </w:pPr>
      <w:r w:rsidRPr="00863252">
        <w:rPr>
          <w:shd w:val="clear" w:color="auto" w:fill="FFFFFF"/>
        </w:rPr>
        <w:t>To better understand the phagocytic process involving different particles,</w:t>
      </w:r>
      <w:r w:rsidRPr="00863252">
        <w:t xml:space="preserve"> </w:t>
      </w:r>
      <w:r w:rsidRPr="00863252">
        <w:rPr>
          <w:shd w:val="clear" w:color="auto" w:fill="FFFFFF"/>
        </w:rPr>
        <w:t xml:space="preserve">it is crucial to analyze this </w:t>
      </w:r>
      <w:r w:rsidRPr="00863252">
        <w:t xml:space="preserve">highly dynamic </w:t>
      </w:r>
      <w:r w:rsidRPr="00863252">
        <w:rPr>
          <w:shd w:val="clear" w:color="auto" w:fill="FFFFFF"/>
        </w:rPr>
        <w:t>process at the molecular level</w:t>
      </w:r>
      <w:r w:rsidRPr="00863252">
        <w:rPr>
          <w:noProof/>
          <w:shd w:val="clear" w:color="auto" w:fill="FFFFFF"/>
          <w:vertAlign w:val="superscript"/>
        </w:rPr>
        <w:t>35</w:t>
      </w:r>
      <w:r w:rsidRPr="00863252">
        <w:rPr>
          <w:shd w:val="clear" w:color="auto" w:fill="FFFFFF"/>
        </w:rPr>
        <w:t xml:space="preserve">. Confocal-fluorescence microscopy has been used for decades to this </w:t>
      </w:r>
      <w:r w:rsidR="004C34BB" w:rsidRPr="00863252">
        <w:rPr>
          <w:shd w:val="clear" w:color="auto" w:fill="FFFFFF"/>
        </w:rPr>
        <w:t>end and</w:t>
      </w:r>
      <w:r w:rsidRPr="00863252">
        <w:rPr>
          <w:shd w:val="clear" w:color="auto" w:fill="FFFFFF"/>
        </w:rPr>
        <w:t xml:space="preserve"> has been shown to be an excellent tool for quantifying phagocytosis through the determination of numbers of internalized particles, or the types of proteins known to be involved in early stages of host-pathogen interaction</w:t>
      </w:r>
      <w:r w:rsidRPr="00863252">
        <w:rPr>
          <w:noProof/>
          <w:shd w:val="clear" w:color="auto" w:fill="FFFFFF"/>
          <w:vertAlign w:val="superscript"/>
        </w:rPr>
        <w:t>34</w:t>
      </w:r>
      <w:r w:rsidRPr="00863252">
        <w:rPr>
          <w:shd w:val="clear" w:color="auto" w:fill="FFFFFF"/>
        </w:rPr>
        <w:t xml:space="preserve">. The present study proposed the use of confocal microscopy to analyze events occurring during the phagocytosis of </w:t>
      </w:r>
      <w:r w:rsidRPr="00863252">
        <w:rPr>
          <w:i/>
          <w:iCs/>
          <w:shd w:val="clear" w:color="auto" w:fill="FFFFFF"/>
        </w:rPr>
        <w:t>L. braziliensis</w:t>
      </w:r>
      <w:r w:rsidRPr="00863252" w:rsidDel="0021258F">
        <w:rPr>
          <w:shd w:val="clear" w:color="auto" w:fill="FFFFFF"/>
        </w:rPr>
        <w:t xml:space="preserve"> </w:t>
      </w:r>
      <w:r w:rsidRPr="00863252">
        <w:rPr>
          <w:shd w:val="clear" w:color="auto" w:fill="FFFFFF"/>
        </w:rPr>
        <w:t xml:space="preserve">isolated from patients with different clinical forms </w:t>
      </w:r>
      <w:r w:rsidR="004C34BB" w:rsidRPr="004C34BB">
        <w:rPr>
          <w:shd w:val="clear" w:color="auto" w:fill="FFFFFF"/>
        </w:rPr>
        <w:t>(</w:t>
      </w:r>
      <w:r w:rsidRPr="00863252">
        <w:rPr>
          <w:shd w:val="clear" w:color="auto" w:fill="FFFFFF"/>
        </w:rPr>
        <w:t>LCL and DL</w:t>
      </w:r>
      <w:r w:rsidR="004C34BB" w:rsidRPr="004C34BB">
        <w:rPr>
          <w:shd w:val="clear" w:color="auto" w:fill="FFFFFF"/>
        </w:rPr>
        <w:t>)</w:t>
      </w:r>
      <w:r w:rsidRPr="00863252">
        <w:rPr>
          <w:shd w:val="clear" w:color="auto" w:fill="FFFFFF"/>
        </w:rPr>
        <w:t xml:space="preserve">. This technique enables us to study cells expressing specific fluorescent proteins, including PLC, Akt, Rab 5, and Rab 7, and subsequently evaluate the participation of these proteins in the phagocytosis of </w:t>
      </w:r>
      <w:r w:rsidRPr="00863252">
        <w:rPr>
          <w:i/>
          <w:iCs/>
        </w:rPr>
        <w:t>Leishmania</w:t>
      </w:r>
      <w:r w:rsidRPr="00863252">
        <w:rPr>
          <w:shd w:val="clear" w:color="auto" w:fill="FFFFFF"/>
        </w:rPr>
        <w:t xml:space="preserve"> isolates</w:t>
      </w:r>
      <w:r w:rsidRPr="00863252" w:rsidDel="0021258F">
        <w:rPr>
          <w:shd w:val="clear" w:color="auto" w:fill="FFFFFF"/>
        </w:rPr>
        <w:t xml:space="preserve"> </w:t>
      </w:r>
      <w:r w:rsidRPr="00863252">
        <w:rPr>
          <w:shd w:val="clear" w:color="auto" w:fill="FFFFFF"/>
        </w:rPr>
        <w:t>to identify elements relevant to different infection outcomes.</w:t>
      </w:r>
    </w:p>
    <w:p w14:paraId="002A2FEB" w14:textId="77777777" w:rsidR="004C34BB" w:rsidRPr="00863252" w:rsidRDefault="004C34BB" w:rsidP="004C34BB">
      <w:pPr>
        <w:contextualSpacing/>
        <w:rPr>
          <w:shd w:val="clear" w:color="auto" w:fill="FFFFFF"/>
        </w:rPr>
      </w:pPr>
    </w:p>
    <w:p w14:paraId="545DF336" w14:textId="1432B024" w:rsidR="00F935C7" w:rsidRDefault="00F935C7" w:rsidP="004C34BB">
      <w:pPr>
        <w:contextualSpacing/>
      </w:pPr>
      <w:r w:rsidRPr="00863252">
        <w:t xml:space="preserve">The present study employed primary macrophages and THP1 cells to assess </w:t>
      </w:r>
      <w:r w:rsidRPr="00863252">
        <w:rPr>
          <w:i/>
          <w:iCs/>
        </w:rPr>
        <w:t>L. braziliensis</w:t>
      </w:r>
      <w:r w:rsidRPr="00863252">
        <w:t xml:space="preserve"> phagocytosis at early stages of infection. The presently described protocol can also be used to study phagocytosis in </w:t>
      </w:r>
      <w:r w:rsidRPr="00863252">
        <w:rPr>
          <w:i/>
          <w:iCs/>
        </w:rPr>
        <w:t>Leishmania</w:t>
      </w:r>
      <w:r w:rsidRPr="00863252">
        <w:t xml:space="preserve"> spp. by other phagocytes, including dendritic cells, monocytes, macrophage cell-lines, and neutrophils derived from human peripheral blood. During the parasite internalization process, a dynamic change in F-actin occurs at the cell membrane surface</w:t>
      </w:r>
      <w:r w:rsidRPr="00863252">
        <w:rPr>
          <w:noProof/>
          <w:vertAlign w:val="superscript"/>
        </w:rPr>
        <w:t>11</w:t>
      </w:r>
      <w:r w:rsidRPr="00863252">
        <w:t>. We then labeled proteins located in the cell membrane using a specific marker of phagocytosis</w:t>
      </w:r>
      <w:r w:rsidRPr="00863252">
        <w:rPr>
          <w:noProof/>
          <w:vertAlign w:val="superscript"/>
        </w:rPr>
        <w:t>36</w:t>
      </w:r>
      <w:r w:rsidRPr="00863252">
        <w:t xml:space="preserve">, such as fluorescent PLC, which allowed us to observe the binding stage of </w:t>
      </w:r>
      <w:r w:rsidRPr="00863252">
        <w:rPr>
          <w:i/>
          <w:iCs/>
        </w:rPr>
        <w:t>Leishmania</w:t>
      </w:r>
      <w:r w:rsidRPr="00863252">
        <w:t xml:space="preserve"> to host </w:t>
      </w:r>
      <w:r w:rsidRPr="00863252">
        <w:lastRenderedPageBreak/>
        <w:t xml:space="preserve">cells, as shown in </w:t>
      </w:r>
      <w:r w:rsidRPr="00863252">
        <w:rPr>
          <w:b/>
          <w:bCs/>
        </w:rPr>
        <w:t>Figure 4</w:t>
      </w:r>
      <w:r w:rsidRPr="00863252">
        <w:t>. Staining parasites with fluorescent markers, such as CMTPX or CSFE, is also crucial to assess parasite binding to host cells by immunofluorescence. It is worth noting that this assay requires careful execution: i</w:t>
      </w:r>
      <w:r w:rsidR="004C34BB" w:rsidRPr="004C34BB">
        <w:t>)</w:t>
      </w:r>
      <w:r w:rsidRPr="00863252">
        <w:t xml:space="preserve"> wash coverslips gently using washing solutions at room temperature </w:t>
      </w:r>
      <w:r w:rsidR="004C34BB" w:rsidRPr="004C34BB">
        <w:t>(</w:t>
      </w:r>
      <w:r w:rsidRPr="00863252">
        <w:t>25</w:t>
      </w:r>
      <w:r w:rsidRPr="00863252">
        <w:rPr>
          <w:vertAlign w:val="superscript"/>
        </w:rPr>
        <w:t xml:space="preserve"> </w:t>
      </w:r>
      <w:r w:rsidR="004C34BB" w:rsidRPr="004C34BB">
        <w:t>°</w:t>
      </w:r>
      <w:r w:rsidRPr="00863252">
        <w:t>C</w:t>
      </w:r>
      <w:r w:rsidR="004C34BB" w:rsidRPr="004C34BB">
        <w:t>)</w:t>
      </w:r>
      <w:r w:rsidRPr="00863252">
        <w:t>, otherwise, samples</w:t>
      </w:r>
      <w:r w:rsidRPr="00863252" w:rsidDel="007E10B8">
        <w:t xml:space="preserve"> </w:t>
      </w:r>
      <w:r w:rsidRPr="00863252">
        <w:t>can be damaged; ii</w:t>
      </w:r>
      <w:r w:rsidR="004C34BB" w:rsidRPr="004C34BB">
        <w:t>)</w:t>
      </w:r>
      <w:r w:rsidRPr="00863252">
        <w:t xml:space="preserve"> prepare reagent dilutions precisely; </w:t>
      </w:r>
      <w:r w:rsidR="004C34BB">
        <w:t xml:space="preserve">and </w:t>
      </w:r>
      <w:r w:rsidRPr="00863252">
        <w:t>iii</w:t>
      </w:r>
      <w:r w:rsidR="004C34BB" w:rsidRPr="004C34BB">
        <w:t>)</w:t>
      </w:r>
      <w:r w:rsidRPr="00863252">
        <w:t xml:space="preserve"> protect the samples from light</w:t>
      </w:r>
      <w:r w:rsidRPr="00863252">
        <w:rPr>
          <w:noProof/>
          <w:vertAlign w:val="superscript"/>
        </w:rPr>
        <w:t>34</w:t>
      </w:r>
      <w:r w:rsidRPr="00863252">
        <w:t>.</w:t>
      </w:r>
    </w:p>
    <w:p w14:paraId="31AB3EFD" w14:textId="77777777" w:rsidR="004C34BB" w:rsidRPr="00863252" w:rsidRDefault="004C34BB" w:rsidP="004C34BB">
      <w:pPr>
        <w:contextualSpacing/>
      </w:pPr>
    </w:p>
    <w:p w14:paraId="33483E14" w14:textId="03D1203E" w:rsidR="00F935C7" w:rsidRDefault="00F935C7" w:rsidP="004C34BB">
      <w:pPr>
        <w:contextualSpacing/>
        <w:rPr>
          <w:shd w:val="clear" w:color="auto" w:fill="FFFFFF"/>
        </w:rPr>
      </w:pPr>
      <w:r w:rsidRPr="00863252">
        <w:t>A confocal microscope configured to the optimal laser excitement wavelength is capable of obtaining a high-quality sample image. Labeled cells can be stored for weeks</w:t>
      </w:r>
      <w:r w:rsidRPr="00863252" w:rsidDel="00D1765A">
        <w:t xml:space="preserve"> </w:t>
      </w:r>
      <w:r w:rsidRPr="00863252">
        <w:t xml:space="preserve">in the dark at 4 </w:t>
      </w:r>
      <w:r w:rsidR="004C34BB" w:rsidRPr="004C34BB">
        <w:t>°</w:t>
      </w:r>
      <w:r w:rsidRPr="00863252">
        <w:t xml:space="preserve">C or frozen until the time of analysis. </w:t>
      </w:r>
      <w:r w:rsidRPr="00863252">
        <w:rPr>
          <w:shd w:val="clear" w:color="auto" w:fill="FFFFFF"/>
        </w:rPr>
        <w:t>The use of confocal microscopy to evaluate phagocytosis is limited by prolonged times of exposure and high intensity laser beams, which can damage samples, and, in some cases, lead to high levels of background detection in images</w:t>
      </w:r>
      <w:r w:rsidRPr="00863252">
        <w:rPr>
          <w:noProof/>
          <w:shd w:val="clear" w:color="auto" w:fill="FFFFFF"/>
          <w:vertAlign w:val="superscript"/>
        </w:rPr>
        <w:t>35,37</w:t>
      </w:r>
      <w:r w:rsidRPr="00863252">
        <w:rPr>
          <w:shd w:val="clear" w:color="auto" w:fill="FFFFFF"/>
        </w:rPr>
        <w:t xml:space="preserve">. </w:t>
      </w:r>
    </w:p>
    <w:p w14:paraId="08CE9D67" w14:textId="77777777" w:rsidR="004C34BB" w:rsidRPr="00863252" w:rsidRDefault="004C34BB" w:rsidP="004C34BB">
      <w:pPr>
        <w:contextualSpacing/>
        <w:rPr>
          <w:shd w:val="clear" w:color="auto" w:fill="FFFFFF"/>
        </w:rPr>
      </w:pPr>
    </w:p>
    <w:p w14:paraId="75824879" w14:textId="1FF93EF7" w:rsidR="00F935C7" w:rsidRDefault="00F935C7" w:rsidP="004C34BB">
      <w:pPr>
        <w:contextualSpacing/>
      </w:pPr>
      <w:r w:rsidRPr="00863252">
        <w:t xml:space="preserve">In the present study, instead of using live imaging to follow the phagocytosis of </w:t>
      </w:r>
      <w:r w:rsidRPr="00863252">
        <w:rPr>
          <w:i/>
          <w:iCs/>
        </w:rPr>
        <w:t>Leishmania</w:t>
      </w:r>
      <w:r w:rsidRPr="00863252">
        <w:t xml:space="preserve"> spp., we performed a kinetic study by fixing cells at several early times of infection </w:t>
      </w:r>
      <w:r w:rsidR="004C34BB" w:rsidRPr="004C34BB">
        <w:t>(</w:t>
      </w:r>
      <w:r w:rsidRPr="00863252">
        <w:t>30 min, 4 h, and 12 h</w:t>
      </w:r>
      <w:r w:rsidR="004C34BB" w:rsidRPr="004C34BB">
        <w:t>)</w:t>
      </w:r>
      <w:r w:rsidRPr="00863252">
        <w:t>. It must be considered that live imaging offers some advantages, such as the potential to analyze the spatial and temporal dynamics of myriad cellular processes, including phagocytosis, and capturing details that are not observable in static images</w:t>
      </w:r>
      <w:r w:rsidRPr="00863252">
        <w:rPr>
          <w:noProof/>
          <w:vertAlign w:val="superscript"/>
        </w:rPr>
        <w:t>34</w:t>
      </w:r>
      <w:r w:rsidRPr="00863252">
        <w:t>. However, live imaging requires that cells be healthy throughout the entire experimentation process, including controlling temperature, pH and oxygen conditions in a microscopic chamber. It is important to note that this cannot be reliably performed at several laboratories around the world.</w:t>
      </w:r>
    </w:p>
    <w:p w14:paraId="657D2AD5" w14:textId="77777777" w:rsidR="004C34BB" w:rsidRPr="00863252" w:rsidRDefault="004C34BB" w:rsidP="004C34BB">
      <w:pPr>
        <w:contextualSpacing/>
      </w:pPr>
    </w:p>
    <w:p w14:paraId="2223478A" w14:textId="32696911" w:rsidR="00F935C7" w:rsidRDefault="00F935C7" w:rsidP="004C34BB">
      <w:pPr>
        <w:contextualSpacing/>
      </w:pPr>
      <w:r w:rsidRPr="00863252">
        <w:t xml:space="preserve">The nucleofection protocol described has demonstrated efficacy in the transfection of THP-1 cells, as previously reported by </w:t>
      </w:r>
      <w:r w:rsidRPr="00863252">
        <w:rPr>
          <w:noProof/>
        </w:rPr>
        <w:t xml:space="preserve">M. B. Maess, B. Wittig and S. Lorkowski </w:t>
      </w:r>
      <w:r w:rsidRPr="00863252">
        <w:rPr>
          <w:noProof/>
          <w:vertAlign w:val="superscript"/>
        </w:rPr>
        <w:t>23</w:t>
      </w:r>
      <w:r w:rsidRPr="00863252">
        <w:t>. In this process, it is crucial to gently detach cells to avoid cell damage or loss in cell viability. Based on our experience, we recommend using a non-enzymatic cell dissociation solution to detach cells from plates prior to performing transfection. The authors of the original protocol</w:t>
      </w:r>
      <w:r w:rsidRPr="00863252">
        <w:rPr>
          <w:noProof/>
          <w:vertAlign w:val="superscript"/>
        </w:rPr>
        <w:t>23</w:t>
      </w:r>
      <w:r w:rsidRPr="00863252">
        <w:t xml:space="preserve"> state that the main limitations of this procedure are the need for cells to be in suspension during the nucleofection process, and the fact that inadequate detachment can cause stress. Despite these limitations, the protocol does allow for reliable transfection, reaching a 90% successful transfection rate without losing cell viability.</w:t>
      </w:r>
    </w:p>
    <w:p w14:paraId="10F0706B" w14:textId="77777777" w:rsidR="004C34BB" w:rsidRPr="00863252" w:rsidRDefault="004C34BB" w:rsidP="004C34BB">
      <w:pPr>
        <w:contextualSpacing/>
      </w:pPr>
    </w:p>
    <w:p w14:paraId="3E7C3D18" w14:textId="145B197B" w:rsidR="00F935C7" w:rsidRPr="00863252" w:rsidRDefault="00F935C7" w:rsidP="004C34BB">
      <w:pPr>
        <w:contextualSpacing/>
        <w:rPr>
          <w:color w:val="808080"/>
        </w:rPr>
      </w:pPr>
      <w:r w:rsidRPr="00863252">
        <w:t xml:space="preserve">The characterization of PVs using a set of endocytic markers, including </w:t>
      </w:r>
      <w:r w:rsidRPr="00863252">
        <w:rPr>
          <w:shd w:val="clear" w:color="auto" w:fill="FFFFFF"/>
        </w:rPr>
        <w:t xml:space="preserve">PLC, Akt, </w:t>
      </w:r>
      <w:r w:rsidRPr="00863252">
        <w:t>Rab5, and Rab7,</w:t>
      </w:r>
      <w:r w:rsidR="00863252">
        <w:t xml:space="preserve"> </w:t>
      </w:r>
      <w:r w:rsidRPr="00863252">
        <w:t xml:space="preserve">is essential to improving our understanding of </w:t>
      </w:r>
      <w:r w:rsidRPr="00863252">
        <w:rPr>
          <w:i/>
          <w:iCs/>
        </w:rPr>
        <w:t>Leishmania</w:t>
      </w:r>
      <w:r w:rsidRPr="00863252">
        <w:t xml:space="preserve"> phagocytosis. Identifying new proteins that participate in PV biogenesis and comprehensively characterizing these compartments can clarify differences in macrophage response during </w:t>
      </w:r>
      <w:r w:rsidRPr="00863252">
        <w:rPr>
          <w:i/>
          <w:iCs/>
        </w:rPr>
        <w:t>Leishmania</w:t>
      </w:r>
      <w:r w:rsidRPr="00863252">
        <w:t xml:space="preserve"> spp. infection. </w:t>
      </w:r>
      <w:r w:rsidRPr="00863252">
        <w:rPr>
          <w:color w:val="000000"/>
        </w:rPr>
        <w:t xml:space="preserve">The contribution of our results to the body of knowledge surrounding </w:t>
      </w:r>
      <w:r w:rsidRPr="00863252">
        <w:rPr>
          <w:i/>
          <w:iCs/>
          <w:color w:val="000000"/>
        </w:rPr>
        <w:t>Leishmania</w:t>
      </w:r>
      <w:r w:rsidRPr="00863252">
        <w:rPr>
          <w:color w:val="000000"/>
        </w:rPr>
        <w:t xml:space="preserve"> infection outcome will undoubtedly advance our understanding of the pathogenesis of </w:t>
      </w:r>
      <w:r w:rsidRPr="00863252">
        <w:rPr>
          <w:i/>
          <w:iCs/>
          <w:color w:val="000000"/>
        </w:rPr>
        <w:t>Leishmania</w:t>
      </w:r>
      <w:r w:rsidRPr="00863252">
        <w:rPr>
          <w:color w:val="000000"/>
        </w:rPr>
        <w:t xml:space="preserve"> infection and support the eventual search for novel chemotherapeutic targets. </w:t>
      </w:r>
      <w:r w:rsidRPr="00863252">
        <w:t>It is worth noting that this technique can also be extended to other types of studies, including infection by bacteria, yeasts or bead engulfment by many types of cells</w:t>
      </w:r>
      <w:r w:rsidRPr="00863252">
        <w:rPr>
          <w:noProof/>
          <w:vertAlign w:val="superscript"/>
        </w:rPr>
        <w:t>38,39</w:t>
      </w:r>
      <w:r w:rsidRPr="00863252">
        <w:t>.</w:t>
      </w:r>
    </w:p>
    <w:p w14:paraId="2B29BF4E" w14:textId="77777777" w:rsidR="00F935C7" w:rsidRPr="00863252" w:rsidRDefault="00F935C7" w:rsidP="004C34BB">
      <w:pPr>
        <w:contextualSpacing/>
        <w:rPr>
          <w:color w:val="000000"/>
        </w:rPr>
      </w:pPr>
    </w:p>
    <w:p w14:paraId="4D60933C" w14:textId="2075D7D0" w:rsidR="00F935C7" w:rsidRPr="004C34BB" w:rsidRDefault="00F935C7" w:rsidP="004C34BB">
      <w:pPr>
        <w:pBdr>
          <w:top w:val="nil"/>
          <w:left w:val="nil"/>
          <w:bottom w:val="nil"/>
          <w:right w:val="nil"/>
          <w:between w:val="nil"/>
        </w:pBdr>
        <w:contextualSpacing/>
        <w:rPr>
          <w:b/>
          <w:color w:val="000000"/>
        </w:rPr>
      </w:pPr>
      <w:r w:rsidRPr="00863252">
        <w:rPr>
          <w:b/>
          <w:color w:val="000000"/>
        </w:rPr>
        <w:t xml:space="preserve">ACKNOWLEDGMENTS </w:t>
      </w:r>
    </w:p>
    <w:p w14:paraId="0CFD50EC" w14:textId="00DB6586" w:rsidR="00F935C7" w:rsidRPr="00863252" w:rsidRDefault="00F935C7" w:rsidP="004C34BB">
      <w:pPr>
        <w:contextualSpacing/>
        <w:rPr>
          <w:bCs/>
        </w:rPr>
      </w:pPr>
      <w:r w:rsidRPr="00863252">
        <w:rPr>
          <w:bCs/>
        </w:rPr>
        <w:t xml:space="preserve">We thank Gonçalo Moniz Institute, Fiocruz Bahia, Brazil and the department of microscopy for assistance. This work was supported by INOVA-FIOCRUZ number 79700287000, P.S.T.V. holds a </w:t>
      </w:r>
      <w:r w:rsidRPr="00863252">
        <w:rPr>
          <w:bCs/>
        </w:rPr>
        <w:lastRenderedPageBreak/>
        <w:t xml:space="preserve">grant for productivity in research from CNPq </w:t>
      </w:r>
      <w:r w:rsidR="004C34BB" w:rsidRPr="004C34BB">
        <w:t>(</w:t>
      </w:r>
      <w:r w:rsidRPr="00863252">
        <w:rPr>
          <w:bCs/>
        </w:rPr>
        <w:t>305235/2019-2</w:t>
      </w:r>
      <w:r w:rsidR="004C34BB" w:rsidRPr="004C34BB">
        <w:t>)</w:t>
      </w:r>
      <w:r w:rsidRPr="00863252">
        <w:rPr>
          <w:bCs/>
        </w:rPr>
        <w:t>.</w:t>
      </w:r>
      <w:r w:rsidRPr="00863252">
        <w:t xml:space="preserve"> Plasmids were kindly provided by Mauricio Terebiznik, University of Toronto, CA. The authors would like to thank Andris K. Walter for English language revision and manuscript copyediting assistance.</w:t>
      </w:r>
    </w:p>
    <w:p w14:paraId="6D162554" w14:textId="77777777" w:rsidR="00F935C7" w:rsidRPr="00863252" w:rsidRDefault="00F935C7" w:rsidP="004C34BB">
      <w:pPr>
        <w:contextualSpacing/>
        <w:rPr>
          <w:b/>
        </w:rPr>
      </w:pPr>
    </w:p>
    <w:p w14:paraId="59243E55" w14:textId="378EC564" w:rsidR="00F935C7" w:rsidRPr="004C34BB" w:rsidRDefault="00F935C7" w:rsidP="004C34BB">
      <w:pPr>
        <w:pBdr>
          <w:top w:val="nil"/>
          <w:left w:val="nil"/>
          <w:bottom w:val="nil"/>
          <w:right w:val="nil"/>
          <w:between w:val="nil"/>
        </w:pBdr>
        <w:contextualSpacing/>
        <w:rPr>
          <w:color w:val="808080"/>
        </w:rPr>
      </w:pPr>
      <w:r w:rsidRPr="00863252">
        <w:rPr>
          <w:b/>
          <w:color w:val="000000"/>
        </w:rPr>
        <w:t xml:space="preserve">DISCLOSURES </w:t>
      </w:r>
    </w:p>
    <w:p w14:paraId="5E782CAD" w14:textId="77777777" w:rsidR="00F935C7" w:rsidRPr="00863252" w:rsidRDefault="00F935C7" w:rsidP="004C34BB">
      <w:pPr>
        <w:contextualSpacing/>
      </w:pPr>
      <w:r w:rsidRPr="00863252">
        <w:t>The funders had no role in study design, data collection or analysis, the decision to publish, or preparation of the manuscript. The authors declare that the research was conducted in the absence of any commercial or financial relationships that could be construed as a potential conflict of interest.</w:t>
      </w:r>
    </w:p>
    <w:p w14:paraId="4356D4F8" w14:textId="77777777" w:rsidR="00F935C7" w:rsidRPr="00863252" w:rsidRDefault="00F935C7" w:rsidP="004C34BB">
      <w:pPr>
        <w:contextualSpacing/>
        <w:rPr>
          <w:color w:val="000000"/>
        </w:rPr>
      </w:pPr>
    </w:p>
    <w:p w14:paraId="0F1C4663" w14:textId="4DD73533" w:rsidR="00F935C7" w:rsidRPr="004C34BB" w:rsidRDefault="00F935C7" w:rsidP="004C34BB">
      <w:pPr>
        <w:contextualSpacing/>
        <w:rPr>
          <w:b/>
          <w:color w:val="000000"/>
        </w:rPr>
      </w:pPr>
      <w:r w:rsidRPr="00863252">
        <w:rPr>
          <w:b/>
        </w:rPr>
        <w:t>REFERENCES</w:t>
      </w:r>
    </w:p>
    <w:p w14:paraId="4AC4FA96" w14:textId="2F0A5CDE" w:rsidR="00F935C7" w:rsidRPr="00863252" w:rsidRDefault="00F935C7" w:rsidP="004C34BB">
      <w:pPr>
        <w:pStyle w:val="EndNoteBibliography"/>
        <w:contextualSpacing/>
        <w:jc w:val="both"/>
        <w:rPr>
          <w:noProof/>
          <w:lang w:val="en-US"/>
        </w:rPr>
      </w:pPr>
      <w:r w:rsidRPr="00863252">
        <w:rPr>
          <w:noProof/>
          <w:lang w:val="en-US"/>
        </w:rPr>
        <w:t>1</w:t>
      </w:r>
      <w:r w:rsidRPr="00863252">
        <w:rPr>
          <w:noProof/>
          <w:lang w:val="en-US"/>
        </w:rPr>
        <w:tab/>
        <w:t>Goto, H.</w:t>
      </w:r>
      <w:r w:rsidR="004C34BB">
        <w:rPr>
          <w:noProof/>
          <w:lang w:val="en-US"/>
        </w:rPr>
        <w:t xml:space="preserve">, </w:t>
      </w:r>
      <w:r w:rsidRPr="00863252">
        <w:rPr>
          <w:noProof/>
          <w:lang w:val="en-US"/>
        </w:rPr>
        <w:t xml:space="preserve">Lauletta Lindoso, J. A. Cutaneous and mucocutaneous leishmaniasis. </w:t>
      </w:r>
      <w:r w:rsidR="00962961">
        <w:rPr>
          <w:i/>
          <w:noProof/>
          <w:lang w:val="en-US"/>
        </w:rPr>
        <w:t>Infectious Disease Clinics of North America</w:t>
      </w:r>
      <w:r w:rsidRPr="00863252">
        <w:rPr>
          <w:i/>
          <w:noProof/>
          <w:lang w:val="en-US"/>
        </w:rPr>
        <w:t>.</w:t>
      </w:r>
      <w:r w:rsidRPr="00863252">
        <w:rPr>
          <w:noProof/>
          <w:lang w:val="en-US"/>
        </w:rPr>
        <w:t xml:space="preserve"> </w:t>
      </w:r>
      <w:r w:rsidRPr="00863252">
        <w:rPr>
          <w:b/>
          <w:noProof/>
          <w:lang w:val="en-US"/>
        </w:rPr>
        <w:t>26</w:t>
      </w:r>
      <w:r w:rsidRPr="00863252">
        <w:rPr>
          <w:noProof/>
          <w:lang w:val="en-US"/>
        </w:rPr>
        <w:t xml:space="preserve"> </w:t>
      </w:r>
      <w:r w:rsidR="004C34BB" w:rsidRPr="004C34BB">
        <w:rPr>
          <w:noProof/>
          <w:lang w:val="en-US"/>
        </w:rPr>
        <w:t>(</w:t>
      </w:r>
      <w:r w:rsidRPr="00863252">
        <w:rPr>
          <w:noProof/>
          <w:lang w:val="en-US"/>
        </w:rPr>
        <w:t>2</w:t>
      </w:r>
      <w:r w:rsidR="004C34BB" w:rsidRPr="004C34BB">
        <w:rPr>
          <w:noProof/>
          <w:lang w:val="en-US"/>
        </w:rPr>
        <w:t>)</w:t>
      </w:r>
      <w:r w:rsidRPr="00863252">
        <w:rPr>
          <w:noProof/>
          <w:lang w:val="en-US"/>
        </w:rPr>
        <w:t>, 293-307</w:t>
      </w:r>
      <w:r w:rsidR="004C34BB">
        <w:rPr>
          <w:noProof/>
          <w:lang w:val="en-US"/>
        </w:rPr>
        <w:t xml:space="preserve"> (</w:t>
      </w:r>
      <w:r w:rsidRPr="00863252">
        <w:rPr>
          <w:noProof/>
          <w:lang w:val="en-US"/>
        </w:rPr>
        <w:t>2012</w:t>
      </w:r>
      <w:r w:rsidR="004C34BB" w:rsidRPr="004C34BB">
        <w:rPr>
          <w:noProof/>
          <w:lang w:val="en-US"/>
        </w:rPr>
        <w:t>)</w:t>
      </w:r>
      <w:r w:rsidRPr="00863252">
        <w:rPr>
          <w:noProof/>
          <w:lang w:val="en-US"/>
        </w:rPr>
        <w:t>.</w:t>
      </w:r>
    </w:p>
    <w:p w14:paraId="01CE364C" w14:textId="3945A78F" w:rsidR="00F935C7" w:rsidRPr="00863252" w:rsidRDefault="00F935C7" w:rsidP="004C34BB">
      <w:pPr>
        <w:pStyle w:val="EndNoteBibliography"/>
        <w:contextualSpacing/>
        <w:jc w:val="both"/>
        <w:rPr>
          <w:noProof/>
          <w:lang w:val="en-US"/>
        </w:rPr>
      </w:pPr>
      <w:r w:rsidRPr="00863252">
        <w:rPr>
          <w:noProof/>
          <w:lang w:val="en-US"/>
        </w:rPr>
        <w:t>2</w:t>
      </w:r>
      <w:r w:rsidRPr="00863252">
        <w:rPr>
          <w:noProof/>
          <w:lang w:val="en-US"/>
        </w:rPr>
        <w:tab/>
        <w:t xml:space="preserve">World Health, O. Control of the leishmaniases. </w:t>
      </w:r>
      <w:r w:rsidR="00962961">
        <w:rPr>
          <w:i/>
          <w:noProof/>
          <w:lang w:val="en-US"/>
        </w:rPr>
        <w:t>World Health Organization Technical Report Series</w:t>
      </w:r>
      <w:r w:rsidRPr="00863252">
        <w:rPr>
          <w:i/>
          <w:noProof/>
          <w:lang w:val="en-US"/>
        </w:rPr>
        <w:t>.</w:t>
      </w:r>
      <w:r w:rsidRPr="00863252">
        <w:rPr>
          <w:noProof/>
          <w:lang w:val="en-US"/>
        </w:rPr>
        <w:t xml:space="preserve"> </w:t>
      </w:r>
      <w:r w:rsidR="004C34BB" w:rsidRPr="004C34BB">
        <w:rPr>
          <w:noProof/>
          <w:lang w:val="en-US"/>
        </w:rPr>
        <w:t>(</w:t>
      </w:r>
      <w:r w:rsidRPr="00863252">
        <w:rPr>
          <w:noProof/>
          <w:lang w:val="en-US"/>
        </w:rPr>
        <w:t>949</w:t>
      </w:r>
      <w:r w:rsidR="004C34BB" w:rsidRPr="004C34BB">
        <w:rPr>
          <w:noProof/>
          <w:lang w:val="en-US"/>
        </w:rPr>
        <w:t>)</w:t>
      </w:r>
      <w:r w:rsidRPr="00863252">
        <w:rPr>
          <w:noProof/>
          <w:lang w:val="en-US"/>
        </w:rPr>
        <w:t>, xii-xiii, 1-186, back cover</w:t>
      </w:r>
      <w:r w:rsidR="004C34BB">
        <w:rPr>
          <w:noProof/>
          <w:lang w:val="en-US"/>
        </w:rPr>
        <w:t xml:space="preserve"> (</w:t>
      </w:r>
      <w:r w:rsidRPr="00863252">
        <w:rPr>
          <w:noProof/>
          <w:lang w:val="en-US"/>
        </w:rPr>
        <w:t>2010</w:t>
      </w:r>
      <w:r w:rsidR="004C34BB" w:rsidRPr="004C34BB">
        <w:rPr>
          <w:noProof/>
          <w:lang w:val="en-US"/>
        </w:rPr>
        <w:t>)</w:t>
      </w:r>
      <w:r w:rsidRPr="00863252">
        <w:rPr>
          <w:noProof/>
          <w:lang w:val="en-US"/>
        </w:rPr>
        <w:t>.</w:t>
      </w:r>
    </w:p>
    <w:p w14:paraId="5F05A101" w14:textId="23A1498B" w:rsidR="00F935C7" w:rsidRPr="00863252" w:rsidRDefault="00F935C7" w:rsidP="004C34BB">
      <w:pPr>
        <w:pStyle w:val="EndNoteBibliography"/>
        <w:contextualSpacing/>
        <w:jc w:val="both"/>
        <w:rPr>
          <w:noProof/>
          <w:lang w:val="en-US"/>
        </w:rPr>
      </w:pPr>
      <w:r w:rsidRPr="00863252">
        <w:rPr>
          <w:noProof/>
          <w:lang w:val="en-US"/>
        </w:rPr>
        <w:t>3</w:t>
      </w:r>
      <w:r w:rsidRPr="00863252">
        <w:rPr>
          <w:noProof/>
          <w:lang w:val="en-US"/>
        </w:rPr>
        <w:tab/>
        <w:t>Alexander, J.</w:t>
      </w:r>
      <w:r w:rsidR="004C34BB">
        <w:rPr>
          <w:noProof/>
          <w:lang w:val="en-US"/>
        </w:rPr>
        <w:t xml:space="preserve">, </w:t>
      </w:r>
      <w:r w:rsidRPr="00863252">
        <w:rPr>
          <w:noProof/>
          <w:lang w:val="en-US"/>
        </w:rPr>
        <w:t xml:space="preserve">Russell, D. G. The interaction of Leishmania species with macrophages. </w:t>
      </w:r>
      <w:r w:rsidR="00962961">
        <w:rPr>
          <w:i/>
          <w:noProof/>
          <w:lang w:val="en-US"/>
        </w:rPr>
        <w:t>Advances in Parasitology</w:t>
      </w:r>
      <w:r w:rsidRPr="00863252">
        <w:rPr>
          <w:i/>
          <w:noProof/>
          <w:lang w:val="en-US"/>
        </w:rPr>
        <w:t>.</w:t>
      </w:r>
      <w:r w:rsidRPr="00863252">
        <w:rPr>
          <w:noProof/>
          <w:lang w:val="en-US"/>
        </w:rPr>
        <w:t xml:space="preserve"> </w:t>
      </w:r>
      <w:r w:rsidRPr="00863252">
        <w:rPr>
          <w:b/>
          <w:noProof/>
          <w:lang w:val="en-US"/>
        </w:rPr>
        <w:t>31</w:t>
      </w:r>
      <w:r w:rsidR="00962961" w:rsidRPr="00863252">
        <w:rPr>
          <w:noProof/>
        </w:rPr>
        <w:t>,</w:t>
      </w:r>
      <w:r w:rsidRPr="00863252">
        <w:rPr>
          <w:noProof/>
          <w:lang w:val="en-US"/>
        </w:rPr>
        <w:t xml:space="preserve"> 175-254</w:t>
      </w:r>
      <w:r w:rsidR="004C34BB">
        <w:rPr>
          <w:noProof/>
          <w:lang w:val="en-US"/>
        </w:rPr>
        <w:t xml:space="preserve"> (</w:t>
      </w:r>
      <w:r w:rsidRPr="00863252">
        <w:rPr>
          <w:noProof/>
          <w:lang w:val="en-US"/>
        </w:rPr>
        <w:t>1992</w:t>
      </w:r>
      <w:r w:rsidR="004C34BB" w:rsidRPr="004C34BB">
        <w:rPr>
          <w:noProof/>
          <w:lang w:val="en-US"/>
        </w:rPr>
        <w:t>)</w:t>
      </w:r>
      <w:r w:rsidRPr="00863252">
        <w:rPr>
          <w:noProof/>
          <w:lang w:val="en-US"/>
        </w:rPr>
        <w:t>.</w:t>
      </w:r>
    </w:p>
    <w:p w14:paraId="75FE8153" w14:textId="489BBBA3" w:rsidR="00F935C7" w:rsidRPr="00863252" w:rsidRDefault="00F935C7" w:rsidP="004C34BB">
      <w:pPr>
        <w:pStyle w:val="EndNoteBibliography"/>
        <w:contextualSpacing/>
        <w:jc w:val="both"/>
        <w:rPr>
          <w:noProof/>
          <w:lang w:val="en-US"/>
        </w:rPr>
      </w:pPr>
      <w:r w:rsidRPr="00863252">
        <w:rPr>
          <w:noProof/>
          <w:lang w:val="en-US"/>
        </w:rPr>
        <w:t>4</w:t>
      </w:r>
      <w:r w:rsidRPr="00863252">
        <w:rPr>
          <w:noProof/>
          <w:lang w:val="en-US"/>
        </w:rPr>
        <w:tab/>
        <w:t>Mosser, D. M.</w:t>
      </w:r>
      <w:r w:rsidR="004C34BB">
        <w:rPr>
          <w:noProof/>
          <w:lang w:val="en-US"/>
        </w:rPr>
        <w:t xml:space="preserve">, </w:t>
      </w:r>
      <w:r w:rsidRPr="00863252">
        <w:rPr>
          <w:noProof/>
          <w:lang w:val="en-US"/>
        </w:rPr>
        <w:t xml:space="preserve">Rosenthal, L. A. Leishmania-macrophage interactions: multiple receptors, multiple ligands and diverse cellular responses. </w:t>
      </w:r>
      <w:r w:rsidR="00962961">
        <w:rPr>
          <w:i/>
          <w:noProof/>
          <w:lang w:val="en-US"/>
        </w:rPr>
        <w:t>Seminars in Cell Biology</w:t>
      </w:r>
      <w:r w:rsidRPr="00863252">
        <w:rPr>
          <w:i/>
          <w:noProof/>
          <w:lang w:val="en-US"/>
        </w:rPr>
        <w:t>.</w:t>
      </w:r>
      <w:r w:rsidRPr="00863252">
        <w:rPr>
          <w:noProof/>
          <w:lang w:val="en-US"/>
        </w:rPr>
        <w:t xml:space="preserve"> </w:t>
      </w:r>
      <w:r w:rsidRPr="00863252">
        <w:rPr>
          <w:b/>
          <w:noProof/>
          <w:lang w:val="en-US"/>
        </w:rPr>
        <w:t>4</w:t>
      </w:r>
      <w:r w:rsidRPr="00863252">
        <w:rPr>
          <w:noProof/>
          <w:lang w:val="en-US"/>
        </w:rPr>
        <w:t xml:space="preserve"> </w:t>
      </w:r>
      <w:r w:rsidR="004C34BB" w:rsidRPr="004C34BB">
        <w:rPr>
          <w:noProof/>
          <w:lang w:val="en-US"/>
        </w:rPr>
        <w:t>(</w:t>
      </w:r>
      <w:r w:rsidRPr="00863252">
        <w:rPr>
          <w:noProof/>
          <w:lang w:val="en-US"/>
        </w:rPr>
        <w:t>5</w:t>
      </w:r>
      <w:r w:rsidR="004C34BB" w:rsidRPr="004C34BB">
        <w:rPr>
          <w:noProof/>
          <w:lang w:val="en-US"/>
        </w:rPr>
        <w:t>)</w:t>
      </w:r>
      <w:r w:rsidRPr="00863252">
        <w:rPr>
          <w:noProof/>
          <w:lang w:val="en-US"/>
        </w:rPr>
        <w:t>, 315-322</w:t>
      </w:r>
      <w:r w:rsidR="004C34BB">
        <w:rPr>
          <w:noProof/>
          <w:lang w:val="en-US"/>
        </w:rPr>
        <w:t xml:space="preserve"> (</w:t>
      </w:r>
      <w:r w:rsidRPr="00863252">
        <w:rPr>
          <w:noProof/>
          <w:lang w:val="en-US"/>
        </w:rPr>
        <w:t>1993</w:t>
      </w:r>
      <w:r w:rsidR="004C34BB" w:rsidRPr="004C34BB">
        <w:rPr>
          <w:noProof/>
          <w:lang w:val="en-US"/>
        </w:rPr>
        <w:t>)</w:t>
      </w:r>
      <w:r w:rsidRPr="00863252">
        <w:rPr>
          <w:noProof/>
          <w:lang w:val="en-US"/>
        </w:rPr>
        <w:t>.</w:t>
      </w:r>
    </w:p>
    <w:p w14:paraId="3FB43574" w14:textId="51BA9021" w:rsidR="00F935C7" w:rsidRPr="00863252" w:rsidRDefault="00F935C7" w:rsidP="004C34BB">
      <w:pPr>
        <w:pStyle w:val="EndNoteBibliography"/>
        <w:contextualSpacing/>
        <w:jc w:val="both"/>
        <w:rPr>
          <w:noProof/>
          <w:lang w:val="en-US"/>
        </w:rPr>
      </w:pPr>
      <w:r w:rsidRPr="00863252">
        <w:rPr>
          <w:noProof/>
          <w:lang w:val="en-US"/>
        </w:rPr>
        <w:t>5</w:t>
      </w:r>
      <w:r w:rsidRPr="00863252">
        <w:rPr>
          <w:noProof/>
          <w:lang w:val="en-US"/>
        </w:rPr>
        <w:tab/>
        <w:t>Awasthi, A., Mathur, R. K.</w:t>
      </w:r>
      <w:r w:rsidR="004C34BB">
        <w:rPr>
          <w:noProof/>
          <w:lang w:val="en-US"/>
        </w:rPr>
        <w:t xml:space="preserve">, </w:t>
      </w:r>
      <w:r w:rsidRPr="00863252">
        <w:rPr>
          <w:noProof/>
          <w:lang w:val="en-US"/>
        </w:rPr>
        <w:t xml:space="preserve">Saha, B. Immune response to Leishmania infection. </w:t>
      </w:r>
      <w:r w:rsidR="00962961">
        <w:rPr>
          <w:i/>
          <w:noProof/>
          <w:lang w:val="en-US"/>
        </w:rPr>
        <w:t>Indian Journal of Medical Research</w:t>
      </w:r>
      <w:r w:rsidRPr="00863252">
        <w:rPr>
          <w:i/>
          <w:noProof/>
          <w:lang w:val="en-US"/>
        </w:rPr>
        <w:t>.</w:t>
      </w:r>
      <w:r w:rsidRPr="00863252">
        <w:rPr>
          <w:noProof/>
          <w:lang w:val="en-US"/>
        </w:rPr>
        <w:t xml:space="preserve"> </w:t>
      </w:r>
      <w:r w:rsidRPr="00863252">
        <w:rPr>
          <w:b/>
          <w:noProof/>
          <w:lang w:val="en-US"/>
        </w:rPr>
        <w:t>119</w:t>
      </w:r>
      <w:r w:rsidRPr="00863252">
        <w:rPr>
          <w:noProof/>
          <w:lang w:val="en-US"/>
        </w:rPr>
        <w:t xml:space="preserve"> </w:t>
      </w:r>
      <w:r w:rsidR="004C34BB" w:rsidRPr="004C34BB">
        <w:rPr>
          <w:noProof/>
          <w:lang w:val="en-US"/>
        </w:rPr>
        <w:t>(</w:t>
      </w:r>
      <w:r w:rsidRPr="00863252">
        <w:rPr>
          <w:noProof/>
          <w:lang w:val="en-US"/>
        </w:rPr>
        <w:t>6</w:t>
      </w:r>
      <w:r w:rsidR="004C34BB" w:rsidRPr="004C34BB">
        <w:rPr>
          <w:noProof/>
          <w:lang w:val="en-US"/>
        </w:rPr>
        <w:t>)</w:t>
      </w:r>
      <w:r w:rsidRPr="00863252">
        <w:rPr>
          <w:noProof/>
          <w:lang w:val="en-US"/>
        </w:rPr>
        <w:t>, 238-258</w:t>
      </w:r>
      <w:r w:rsidR="004C34BB">
        <w:rPr>
          <w:noProof/>
          <w:lang w:val="en-US"/>
        </w:rPr>
        <w:t xml:space="preserve"> (</w:t>
      </w:r>
      <w:r w:rsidRPr="00863252">
        <w:rPr>
          <w:noProof/>
          <w:lang w:val="en-US"/>
        </w:rPr>
        <w:t>2004</w:t>
      </w:r>
      <w:r w:rsidR="004C34BB" w:rsidRPr="004C34BB">
        <w:rPr>
          <w:noProof/>
          <w:lang w:val="en-US"/>
        </w:rPr>
        <w:t>)</w:t>
      </w:r>
      <w:r w:rsidRPr="00863252">
        <w:rPr>
          <w:noProof/>
          <w:lang w:val="en-US"/>
        </w:rPr>
        <w:t>.</w:t>
      </w:r>
    </w:p>
    <w:p w14:paraId="7F7376FB" w14:textId="1F59F292" w:rsidR="00F935C7" w:rsidRPr="00863252" w:rsidRDefault="00F935C7" w:rsidP="004C34BB">
      <w:pPr>
        <w:pStyle w:val="EndNoteBibliography"/>
        <w:contextualSpacing/>
        <w:jc w:val="both"/>
        <w:rPr>
          <w:noProof/>
          <w:lang w:val="en-US"/>
        </w:rPr>
      </w:pPr>
      <w:r w:rsidRPr="00863252">
        <w:rPr>
          <w:noProof/>
          <w:lang w:val="en-US"/>
        </w:rPr>
        <w:t>6</w:t>
      </w:r>
      <w:r w:rsidRPr="00863252">
        <w:rPr>
          <w:noProof/>
          <w:lang w:val="en-US"/>
        </w:rPr>
        <w:tab/>
        <w:t xml:space="preserve">Blackwell, J. M. Role of macrophage complement and lectin-like receptors in binding Leishmania parasites to host macrophages. </w:t>
      </w:r>
      <w:r w:rsidR="00962961">
        <w:rPr>
          <w:i/>
          <w:noProof/>
          <w:lang w:val="en-US"/>
        </w:rPr>
        <w:t>Immunology Letters</w:t>
      </w:r>
      <w:r w:rsidRPr="00863252">
        <w:rPr>
          <w:i/>
          <w:noProof/>
          <w:lang w:val="en-US"/>
        </w:rPr>
        <w:t>.</w:t>
      </w:r>
      <w:r w:rsidRPr="00863252">
        <w:rPr>
          <w:noProof/>
          <w:lang w:val="en-US"/>
        </w:rPr>
        <w:t xml:space="preserve"> </w:t>
      </w:r>
      <w:r w:rsidRPr="00863252">
        <w:rPr>
          <w:b/>
          <w:noProof/>
          <w:lang w:val="en-US"/>
        </w:rPr>
        <w:t>11</w:t>
      </w:r>
      <w:r w:rsidRPr="00863252">
        <w:rPr>
          <w:noProof/>
          <w:lang w:val="en-US"/>
        </w:rPr>
        <w:t xml:space="preserve"> </w:t>
      </w:r>
      <w:r w:rsidR="004C34BB" w:rsidRPr="004C34BB">
        <w:rPr>
          <w:noProof/>
          <w:lang w:val="en-US"/>
        </w:rPr>
        <w:t>(</w:t>
      </w:r>
      <w:r w:rsidRPr="00863252">
        <w:rPr>
          <w:noProof/>
          <w:lang w:val="en-US"/>
        </w:rPr>
        <w:t>3-4</w:t>
      </w:r>
      <w:r w:rsidR="004C34BB" w:rsidRPr="004C34BB">
        <w:rPr>
          <w:noProof/>
          <w:lang w:val="en-US"/>
        </w:rPr>
        <w:t>)</w:t>
      </w:r>
      <w:r w:rsidRPr="00863252">
        <w:rPr>
          <w:noProof/>
          <w:lang w:val="en-US"/>
        </w:rPr>
        <w:t>, 227-232</w:t>
      </w:r>
      <w:r w:rsidR="004C34BB">
        <w:rPr>
          <w:noProof/>
          <w:lang w:val="en-US"/>
        </w:rPr>
        <w:t xml:space="preserve"> (</w:t>
      </w:r>
      <w:r w:rsidRPr="00863252">
        <w:rPr>
          <w:noProof/>
          <w:lang w:val="en-US"/>
        </w:rPr>
        <w:t>1985</w:t>
      </w:r>
      <w:r w:rsidR="004C34BB" w:rsidRPr="004C34BB">
        <w:rPr>
          <w:noProof/>
          <w:lang w:val="en-US"/>
        </w:rPr>
        <w:t>)</w:t>
      </w:r>
      <w:r w:rsidRPr="00863252">
        <w:rPr>
          <w:noProof/>
          <w:lang w:val="en-US"/>
        </w:rPr>
        <w:t>.</w:t>
      </w:r>
    </w:p>
    <w:p w14:paraId="0BA88534" w14:textId="3FBDD6A5" w:rsidR="00F935C7" w:rsidRPr="00863252" w:rsidRDefault="00F935C7" w:rsidP="004C34BB">
      <w:pPr>
        <w:pStyle w:val="EndNoteBibliography"/>
        <w:contextualSpacing/>
        <w:jc w:val="both"/>
        <w:rPr>
          <w:noProof/>
          <w:lang w:val="en-US"/>
        </w:rPr>
      </w:pPr>
      <w:r w:rsidRPr="00863252">
        <w:rPr>
          <w:noProof/>
          <w:lang w:val="en-US"/>
        </w:rPr>
        <w:t>7</w:t>
      </w:r>
      <w:r w:rsidRPr="00863252">
        <w:rPr>
          <w:noProof/>
          <w:lang w:val="en-US"/>
        </w:rPr>
        <w:tab/>
        <w:t>Mosser, D. M.</w:t>
      </w:r>
      <w:r w:rsidR="004C34BB">
        <w:rPr>
          <w:noProof/>
          <w:lang w:val="en-US"/>
        </w:rPr>
        <w:t xml:space="preserve">, </w:t>
      </w:r>
      <w:r w:rsidRPr="00863252">
        <w:rPr>
          <w:noProof/>
          <w:lang w:val="en-US"/>
        </w:rPr>
        <w:t xml:space="preserve">Edelson, P. J. The mouse macrophage receptor for C3bi </w:t>
      </w:r>
      <w:r w:rsidR="004C34BB" w:rsidRPr="004C34BB">
        <w:rPr>
          <w:noProof/>
          <w:lang w:val="en-US"/>
        </w:rPr>
        <w:t>(</w:t>
      </w:r>
      <w:r w:rsidRPr="00863252">
        <w:rPr>
          <w:noProof/>
          <w:lang w:val="en-US"/>
        </w:rPr>
        <w:t>CR3</w:t>
      </w:r>
      <w:r w:rsidR="004C34BB" w:rsidRPr="004C34BB">
        <w:rPr>
          <w:noProof/>
          <w:lang w:val="en-US"/>
        </w:rPr>
        <w:t>)</w:t>
      </w:r>
      <w:r w:rsidRPr="00863252">
        <w:rPr>
          <w:noProof/>
          <w:lang w:val="en-US"/>
        </w:rPr>
        <w:t xml:space="preserve"> is a major mechanism in the phagocytosis of Leishmania promastigotes. </w:t>
      </w:r>
      <w:r w:rsidR="00962961">
        <w:rPr>
          <w:i/>
          <w:noProof/>
          <w:lang w:val="en-US"/>
        </w:rPr>
        <w:t>Journal of Immunology</w:t>
      </w:r>
      <w:r w:rsidRPr="00863252">
        <w:rPr>
          <w:i/>
          <w:noProof/>
          <w:lang w:val="en-US"/>
        </w:rPr>
        <w:t>.</w:t>
      </w:r>
      <w:r w:rsidRPr="00863252">
        <w:rPr>
          <w:noProof/>
          <w:lang w:val="en-US"/>
        </w:rPr>
        <w:t xml:space="preserve"> </w:t>
      </w:r>
      <w:r w:rsidRPr="00863252">
        <w:rPr>
          <w:b/>
          <w:noProof/>
          <w:lang w:val="en-US"/>
        </w:rPr>
        <w:t>135</w:t>
      </w:r>
      <w:r w:rsidRPr="00863252">
        <w:rPr>
          <w:noProof/>
          <w:lang w:val="en-US"/>
        </w:rPr>
        <w:t xml:space="preserve"> </w:t>
      </w:r>
      <w:r w:rsidR="004C34BB" w:rsidRPr="004C34BB">
        <w:rPr>
          <w:noProof/>
          <w:lang w:val="en-US"/>
        </w:rPr>
        <w:t>(</w:t>
      </w:r>
      <w:r w:rsidRPr="00863252">
        <w:rPr>
          <w:noProof/>
          <w:lang w:val="en-US"/>
        </w:rPr>
        <w:t>4</w:t>
      </w:r>
      <w:r w:rsidR="004C34BB" w:rsidRPr="004C34BB">
        <w:rPr>
          <w:noProof/>
          <w:lang w:val="en-US"/>
        </w:rPr>
        <w:t>)</w:t>
      </w:r>
      <w:r w:rsidRPr="00863252">
        <w:rPr>
          <w:noProof/>
          <w:lang w:val="en-US"/>
        </w:rPr>
        <w:t>, 2785-2789</w:t>
      </w:r>
      <w:r w:rsidR="004C34BB">
        <w:rPr>
          <w:noProof/>
          <w:lang w:val="en-US"/>
        </w:rPr>
        <w:t xml:space="preserve"> (</w:t>
      </w:r>
      <w:r w:rsidRPr="00863252">
        <w:rPr>
          <w:noProof/>
          <w:lang w:val="en-US"/>
        </w:rPr>
        <w:t>1985</w:t>
      </w:r>
      <w:r w:rsidR="004C34BB" w:rsidRPr="004C34BB">
        <w:rPr>
          <w:noProof/>
          <w:lang w:val="en-US"/>
        </w:rPr>
        <w:t>)</w:t>
      </w:r>
      <w:r w:rsidRPr="00863252">
        <w:rPr>
          <w:noProof/>
          <w:lang w:val="en-US"/>
        </w:rPr>
        <w:t>.</w:t>
      </w:r>
    </w:p>
    <w:p w14:paraId="5B0AE5D8" w14:textId="7B16E91B" w:rsidR="00F935C7" w:rsidRPr="00863252" w:rsidRDefault="00F935C7" w:rsidP="004C34BB">
      <w:pPr>
        <w:pStyle w:val="EndNoteBibliography"/>
        <w:contextualSpacing/>
        <w:jc w:val="both"/>
        <w:rPr>
          <w:noProof/>
          <w:lang w:val="en-US"/>
        </w:rPr>
      </w:pPr>
      <w:r w:rsidRPr="00863252">
        <w:rPr>
          <w:noProof/>
          <w:lang w:val="en-US"/>
        </w:rPr>
        <w:t>8</w:t>
      </w:r>
      <w:r w:rsidRPr="00863252">
        <w:rPr>
          <w:noProof/>
          <w:lang w:val="en-US"/>
        </w:rPr>
        <w:tab/>
        <w:t>Gough, P. J.</w:t>
      </w:r>
      <w:r w:rsidR="004C34BB">
        <w:rPr>
          <w:noProof/>
          <w:lang w:val="en-US"/>
        </w:rPr>
        <w:t xml:space="preserve">, </w:t>
      </w:r>
      <w:r w:rsidRPr="00863252">
        <w:rPr>
          <w:noProof/>
          <w:lang w:val="en-US"/>
        </w:rPr>
        <w:t xml:space="preserve">Gordon, S. The role of scavenger receptors in the innate immune system. </w:t>
      </w:r>
      <w:r w:rsidR="00962961">
        <w:rPr>
          <w:i/>
          <w:noProof/>
          <w:lang w:val="en-US"/>
        </w:rPr>
        <w:t>Microbes and Infection</w:t>
      </w:r>
      <w:r w:rsidRPr="00863252">
        <w:rPr>
          <w:i/>
          <w:noProof/>
          <w:lang w:val="en-US"/>
        </w:rPr>
        <w:t>.</w:t>
      </w:r>
      <w:r w:rsidRPr="00863252">
        <w:rPr>
          <w:noProof/>
          <w:lang w:val="en-US"/>
        </w:rPr>
        <w:t xml:space="preserve"> </w:t>
      </w:r>
      <w:r w:rsidRPr="00863252">
        <w:rPr>
          <w:b/>
          <w:noProof/>
          <w:lang w:val="en-US"/>
        </w:rPr>
        <w:t>2</w:t>
      </w:r>
      <w:r w:rsidRPr="00863252">
        <w:rPr>
          <w:noProof/>
          <w:lang w:val="en-US"/>
        </w:rPr>
        <w:t xml:space="preserve"> </w:t>
      </w:r>
      <w:r w:rsidR="004C34BB" w:rsidRPr="004C34BB">
        <w:rPr>
          <w:noProof/>
          <w:lang w:val="en-US"/>
        </w:rPr>
        <w:t>(</w:t>
      </w:r>
      <w:r w:rsidRPr="00863252">
        <w:rPr>
          <w:noProof/>
          <w:lang w:val="en-US"/>
        </w:rPr>
        <w:t>3</w:t>
      </w:r>
      <w:r w:rsidR="004C34BB" w:rsidRPr="004C34BB">
        <w:rPr>
          <w:noProof/>
          <w:lang w:val="en-US"/>
        </w:rPr>
        <w:t>)</w:t>
      </w:r>
      <w:r w:rsidRPr="00863252">
        <w:rPr>
          <w:noProof/>
          <w:lang w:val="en-US"/>
        </w:rPr>
        <w:t>, 305-311</w:t>
      </w:r>
      <w:r w:rsidR="004C34BB">
        <w:rPr>
          <w:noProof/>
          <w:lang w:val="en-US"/>
        </w:rPr>
        <w:t xml:space="preserve"> (</w:t>
      </w:r>
      <w:r w:rsidRPr="00863252">
        <w:rPr>
          <w:noProof/>
          <w:lang w:val="en-US"/>
        </w:rPr>
        <w:t>2000</w:t>
      </w:r>
      <w:r w:rsidR="004C34BB" w:rsidRPr="004C34BB">
        <w:rPr>
          <w:noProof/>
          <w:lang w:val="en-US"/>
        </w:rPr>
        <w:t>)</w:t>
      </w:r>
      <w:r w:rsidRPr="00863252">
        <w:rPr>
          <w:noProof/>
          <w:lang w:val="en-US"/>
        </w:rPr>
        <w:t>.</w:t>
      </w:r>
    </w:p>
    <w:p w14:paraId="4C207406" w14:textId="65D1384E" w:rsidR="00F935C7" w:rsidRPr="00863252" w:rsidRDefault="00F935C7" w:rsidP="004C34BB">
      <w:pPr>
        <w:pStyle w:val="EndNoteBibliography"/>
        <w:contextualSpacing/>
        <w:jc w:val="both"/>
        <w:rPr>
          <w:noProof/>
          <w:lang w:val="en-US"/>
        </w:rPr>
      </w:pPr>
      <w:r w:rsidRPr="00863252">
        <w:rPr>
          <w:noProof/>
          <w:lang w:val="en-US"/>
        </w:rPr>
        <w:t>9</w:t>
      </w:r>
      <w:r w:rsidRPr="00863252">
        <w:rPr>
          <w:noProof/>
          <w:lang w:val="en-US"/>
        </w:rPr>
        <w:tab/>
        <w:t>Russell, D. G.</w:t>
      </w:r>
      <w:r w:rsidR="004C34BB">
        <w:rPr>
          <w:noProof/>
          <w:lang w:val="en-US"/>
        </w:rPr>
        <w:t xml:space="preserve">, </w:t>
      </w:r>
      <w:r w:rsidRPr="00863252">
        <w:rPr>
          <w:noProof/>
          <w:lang w:val="en-US"/>
        </w:rPr>
        <w:t xml:space="preserve">Wilhelm, H. The involvement of the major surface glycoprotein </w:t>
      </w:r>
      <w:r w:rsidR="004C34BB" w:rsidRPr="004C34BB">
        <w:rPr>
          <w:noProof/>
          <w:lang w:val="en-US"/>
        </w:rPr>
        <w:t>(</w:t>
      </w:r>
      <w:r w:rsidRPr="00863252">
        <w:rPr>
          <w:noProof/>
          <w:lang w:val="en-US"/>
        </w:rPr>
        <w:t>gp63</w:t>
      </w:r>
      <w:r w:rsidR="004C34BB" w:rsidRPr="004C34BB">
        <w:rPr>
          <w:noProof/>
          <w:lang w:val="en-US"/>
        </w:rPr>
        <w:t>)</w:t>
      </w:r>
      <w:r w:rsidRPr="00863252">
        <w:rPr>
          <w:noProof/>
          <w:lang w:val="en-US"/>
        </w:rPr>
        <w:t xml:space="preserve"> of Leishmania promastigotes in attachment to macrophages. </w:t>
      </w:r>
      <w:r w:rsidR="00962961">
        <w:rPr>
          <w:i/>
          <w:noProof/>
          <w:lang w:val="en-US"/>
        </w:rPr>
        <w:t>Journal of Immunology</w:t>
      </w:r>
      <w:r w:rsidRPr="00863252">
        <w:rPr>
          <w:i/>
          <w:noProof/>
          <w:lang w:val="en-US"/>
        </w:rPr>
        <w:t>.</w:t>
      </w:r>
      <w:r w:rsidRPr="00863252">
        <w:rPr>
          <w:noProof/>
          <w:lang w:val="en-US"/>
        </w:rPr>
        <w:t xml:space="preserve"> </w:t>
      </w:r>
      <w:r w:rsidRPr="00863252">
        <w:rPr>
          <w:b/>
          <w:noProof/>
          <w:lang w:val="en-US"/>
        </w:rPr>
        <w:t>136</w:t>
      </w:r>
      <w:r w:rsidRPr="00863252">
        <w:rPr>
          <w:noProof/>
          <w:lang w:val="en-US"/>
        </w:rPr>
        <w:t xml:space="preserve"> </w:t>
      </w:r>
      <w:r w:rsidR="004C34BB" w:rsidRPr="004C34BB">
        <w:rPr>
          <w:noProof/>
          <w:lang w:val="en-US"/>
        </w:rPr>
        <w:t>(</w:t>
      </w:r>
      <w:r w:rsidRPr="00863252">
        <w:rPr>
          <w:noProof/>
          <w:lang w:val="en-US"/>
        </w:rPr>
        <w:t>7</w:t>
      </w:r>
      <w:r w:rsidR="004C34BB" w:rsidRPr="004C34BB">
        <w:rPr>
          <w:noProof/>
          <w:lang w:val="en-US"/>
        </w:rPr>
        <w:t>)</w:t>
      </w:r>
      <w:r w:rsidRPr="00863252">
        <w:rPr>
          <w:noProof/>
          <w:lang w:val="en-US"/>
        </w:rPr>
        <w:t>, 2613-2620</w:t>
      </w:r>
      <w:r w:rsidR="004C34BB">
        <w:rPr>
          <w:noProof/>
          <w:lang w:val="en-US"/>
        </w:rPr>
        <w:t xml:space="preserve"> (</w:t>
      </w:r>
      <w:r w:rsidRPr="00863252">
        <w:rPr>
          <w:noProof/>
          <w:lang w:val="en-US"/>
        </w:rPr>
        <w:t>1986</w:t>
      </w:r>
      <w:r w:rsidR="004C34BB" w:rsidRPr="004C34BB">
        <w:rPr>
          <w:noProof/>
          <w:lang w:val="en-US"/>
        </w:rPr>
        <w:t>)</w:t>
      </w:r>
      <w:r w:rsidRPr="00863252">
        <w:rPr>
          <w:noProof/>
          <w:lang w:val="en-US"/>
        </w:rPr>
        <w:t>.</w:t>
      </w:r>
    </w:p>
    <w:p w14:paraId="140FDAE1" w14:textId="458DD4A4" w:rsidR="00F935C7" w:rsidRPr="00863252" w:rsidRDefault="00F935C7" w:rsidP="004C34BB">
      <w:pPr>
        <w:pStyle w:val="EndNoteBibliography"/>
        <w:contextualSpacing/>
        <w:jc w:val="both"/>
        <w:rPr>
          <w:noProof/>
          <w:lang w:val="en-US"/>
        </w:rPr>
      </w:pPr>
      <w:r w:rsidRPr="00863252">
        <w:rPr>
          <w:noProof/>
          <w:lang w:val="en-US"/>
        </w:rPr>
        <w:t>10</w:t>
      </w:r>
      <w:r w:rsidRPr="00863252">
        <w:rPr>
          <w:noProof/>
          <w:lang w:val="en-US"/>
        </w:rPr>
        <w:tab/>
        <w:t>Handman, E.</w:t>
      </w:r>
      <w:r w:rsidR="004C34BB">
        <w:rPr>
          <w:noProof/>
          <w:lang w:val="en-US"/>
        </w:rPr>
        <w:t xml:space="preserve">, </w:t>
      </w:r>
      <w:r w:rsidRPr="00863252">
        <w:rPr>
          <w:noProof/>
          <w:lang w:val="en-US"/>
        </w:rPr>
        <w:t xml:space="preserve">Goding, J. W. The Leishmania receptor for macrophages is a lipid-containing glycoconjugate. </w:t>
      </w:r>
      <w:r w:rsidRPr="00863252">
        <w:rPr>
          <w:i/>
          <w:noProof/>
          <w:lang w:val="en-US"/>
        </w:rPr>
        <w:t>EMBO J.</w:t>
      </w:r>
      <w:r w:rsidRPr="00863252">
        <w:rPr>
          <w:noProof/>
          <w:lang w:val="en-US"/>
        </w:rPr>
        <w:t xml:space="preserve"> </w:t>
      </w:r>
      <w:r w:rsidRPr="00863252">
        <w:rPr>
          <w:b/>
          <w:noProof/>
          <w:lang w:val="en-US"/>
        </w:rPr>
        <w:t>4</w:t>
      </w:r>
      <w:r w:rsidRPr="00863252">
        <w:rPr>
          <w:noProof/>
          <w:lang w:val="en-US"/>
        </w:rPr>
        <w:t xml:space="preserve"> </w:t>
      </w:r>
      <w:r w:rsidR="004C34BB" w:rsidRPr="004C34BB">
        <w:rPr>
          <w:noProof/>
          <w:lang w:val="en-US"/>
        </w:rPr>
        <w:t>(</w:t>
      </w:r>
      <w:r w:rsidRPr="00863252">
        <w:rPr>
          <w:noProof/>
          <w:lang w:val="en-US"/>
        </w:rPr>
        <w:t>2</w:t>
      </w:r>
      <w:r w:rsidR="004C34BB" w:rsidRPr="004C34BB">
        <w:rPr>
          <w:noProof/>
          <w:lang w:val="en-US"/>
        </w:rPr>
        <w:t>)</w:t>
      </w:r>
      <w:r w:rsidRPr="00863252">
        <w:rPr>
          <w:noProof/>
          <w:lang w:val="en-US"/>
        </w:rPr>
        <w:t>, 329-336</w:t>
      </w:r>
      <w:r w:rsidR="004C34BB">
        <w:rPr>
          <w:noProof/>
          <w:lang w:val="en-US"/>
        </w:rPr>
        <w:t xml:space="preserve"> (</w:t>
      </w:r>
      <w:r w:rsidRPr="00863252">
        <w:rPr>
          <w:noProof/>
          <w:lang w:val="en-US"/>
        </w:rPr>
        <w:t>1985</w:t>
      </w:r>
      <w:r w:rsidR="004C34BB" w:rsidRPr="004C34BB">
        <w:rPr>
          <w:noProof/>
          <w:lang w:val="en-US"/>
        </w:rPr>
        <w:t>)</w:t>
      </w:r>
      <w:r w:rsidRPr="00863252">
        <w:rPr>
          <w:noProof/>
          <w:lang w:val="en-US"/>
        </w:rPr>
        <w:t>.</w:t>
      </w:r>
    </w:p>
    <w:p w14:paraId="3F4CB544" w14:textId="0587F3FE" w:rsidR="00F935C7" w:rsidRPr="00863252" w:rsidRDefault="00F935C7" w:rsidP="004C34BB">
      <w:pPr>
        <w:pStyle w:val="EndNoteBibliography"/>
        <w:contextualSpacing/>
        <w:jc w:val="both"/>
        <w:rPr>
          <w:noProof/>
          <w:lang w:val="en-US"/>
        </w:rPr>
      </w:pPr>
      <w:r w:rsidRPr="00863252">
        <w:rPr>
          <w:noProof/>
          <w:lang w:val="en-US"/>
        </w:rPr>
        <w:t>11</w:t>
      </w:r>
      <w:r w:rsidRPr="00863252">
        <w:rPr>
          <w:noProof/>
          <w:lang w:val="en-US"/>
        </w:rPr>
        <w:tab/>
        <w:t>Holm, A., Tejle, K., Magnusson, K. E., Descoteaux, A.</w:t>
      </w:r>
      <w:r w:rsidR="004C34BB">
        <w:rPr>
          <w:noProof/>
          <w:lang w:val="en-US"/>
        </w:rPr>
        <w:t xml:space="preserve">, </w:t>
      </w:r>
      <w:r w:rsidRPr="00863252">
        <w:rPr>
          <w:noProof/>
          <w:lang w:val="en-US"/>
        </w:rPr>
        <w:t xml:space="preserve">Rasmusson, B. Leishmania donovani lipophosphoglycan causes periphagosomal actin accumulation: correlation with impaired translocation of PKCalpha and defective phagosome maturation. </w:t>
      </w:r>
      <w:r w:rsidR="00962961">
        <w:rPr>
          <w:i/>
          <w:noProof/>
          <w:lang w:val="en-US"/>
        </w:rPr>
        <w:t>Cellular Microbiology</w:t>
      </w:r>
      <w:r w:rsidRPr="00863252">
        <w:rPr>
          <w:i/>
          <w:noProof/>
          <w:lang w:val="en-US"/>
        </w:rPr>
        <w:t>.</w:t>
      </w:r>
      <w:r w:rsidRPr="00863252">
        <w:rPr>
          <w:noProof/>
          <w:lang w:val="en-US"/>
        </w:rPr>
        <w:t xml:space="preserve"> </w:t>
      </w:r>
      <w:r w:rsidRPr="00863252">
        <w:rPr>
          <w:b/>
          <w:noProof/>
          <w:lang w:val="en-US"/>
        </w:rPr>
        <w:t>3</w:t>
      </w:r>
      <w:r w:rsidRPr="00863252">
        <w:rPr>
          <w:noProof/>
          <w:lang w:val="en-US"/>
        </w:rPr>
        <w:t xml:space="preserve"> </w:t>
      </w:r>
      <w:r w:rsidR="004C34BB" w:rsidRPr="004C34BB">
        <w:rPr>
          <w:noProof/>
          <w:lang w:val="en-US"/>
        </w:rPr>
        <w:t>(</w:t>
      </w:r>
      <w:r w:rsidRPr="00863252">
        <w:rPr>
          <w:noProof/>
          <w:lang w:val="en-US"/>
        </w:rPr>
        <w:t>7</w:t>
      </w:r>
      <w:r w:rsidR="004C34BB" w:rsidRPr="004C34BB">
        <w:rPr>
          <w:noProof/>
          <w:lang w:val="en-US"/>
        </w:rPr>
        <w:t>)</w:t>
      </w:r>
      <w:r w:rsidRPr="00863252">
        <w:rPr>
          <w:noProof/>
          <w:lang w:val="en-US"/>
        </w:rPr>
        <w:t>, 439-447</w:t>
      </w:r>
      <w:r w:rsidR="004C34BB">
        <w:rPr>
          <w:noProof/>
          <w:lang w:val="en-US"/>
        </w:rPr>
        <w:t xml:space="preserve"> (</w:t>
      </w:r>
      <w:r w:rsidRPr="00863252">
        <w:rPr>
          <w:noProof/>
          <w:lang w:val="en-US"/>
        </w:rPr>
        <w:t>2001</w:t>
      </w:r>
      <w:r w:rsidR="004C34BB" w:rsidRPr="004C34BB">
        <w:rPr>
          <w:noProof/>
          <w:lang w:val="en-US"/>
        </w:rPr>
        <w:t>)</w:t>
      </w:r>
      <w:r w:rsidRPr="00863252">
        <w:rPr>
          <w:noProof/>
          <w:lang w:val="en-US"/>
        </w:rPr>
        <w:t>.</w:t>
      </w:r>
    </w:p>
    <w:p w14:paraId="7CD2CF23" w14:textId="5453B09E" w:rsidR="00F935C7" w:rsidRPr="00863252" w:rsidRDefault="00F935C7" w:rsidP="004C34BB">
      <w:pPr>
        <w:pStyle w:val="EndNoteBibliography"/>
        <w:contextualSpacing/>
        <w:jc w:val="both"/>
        <w:rPr>
          <w:noProof/>
          <w:lang w:val="en-US"/>
        </w:rPr>
      </w:pPr>
      <w:r w:rsidRPr="00863252">
        <w:rPr>
          <w:noProof/>
          <w:lang w:val="en-US"/>
        </w:rPr>
        <w:t>12</w:t>
      </w:r>
      <w:r w:rsidRPr="00863252">
        <w:rPr>
          <w:noProof/>
          <w:lang w:val="en-US"/>
        </w:rPr>
        <w:tab/>
        <w:t>Vergne, I.</w:t>
      </w:r>
      <w:r w:rsidRPr="00863252">
        <w:rPr>
          <w:i/>
          <w:noProof/>
          <w:lang w:val="en-US"/>
        </w:rPr>
        <w:t xml:space="preserve"> et al.</w:t>
      </w:r>
      <w:r w:rsidRPr="00863252">
        <w:rPr>
          <w:noProof/>
          <w:lang w:val="en-US"/>
        </w:rPr>
        <w:t xml:space="preserve"> Mechanism of phagolysosome biogenesis block by viable Mycobacterium tuberculosis. </w:t>
      </w:r>
      <w:r w:rsidR="00962961">
        <w:rPr>
          <w:i/>
          <w:noProof/>
          <w:lang w:val="en-US"/>
        </w:rPr>
        <w:t>Proceedings of the National Academy of Sciences of the United States of America</w:t>
      </w:r>
      <w:r w:rsidRPr="00863252">
        <w:rPr>
          <w:i/>
          <w:noProof/>
          <w:lang w:val="en-US"/>
        </w:rPr>
        <w:t>.</w:t>
      </w:r>
      <w:r w:rsidRPr="00863252">
        <w:rPr>
          <w:noProof/>
          <w:lang w:val="en-US"/>
        </w:rPr>
        <w:t xml:space="preserve"> </w:t>
      </w:r>
      <w:r w:rsidRPr="00863252">
        <w:rPr>
          <w:b/>
          <w:noProof/>
          <w:lang w:val="en-US"/>
        </w:rPr>
        <w:t>102</w:t>
      </w:r>
      <w:r w:rsidRPr="00863252">
        <w:rPr>
          <w:noProof/>
          <w:lang w:val="en-US"/>
        </w:rPr>
        <w:t xml:space="preserve"> </w:t>
      </w:r>
      <w:r w:rsidR="004C34BB" w:rsidRPr="004C34BB">
        <w:rPr>
          <w:noProof/>
          <w:lang w:val="en-US"/>
        </w:rPr>
        <w:t>(</w:t>
      </w:r>
      <w:r w:rsidRPr="00863252">
        <w:rPr>
          <w:noProof/>
          <w:lang w:val="en-US"/>
        </w:rPr>
        <w:t>11</w:t>
      </w:r>
      <w:r w:rsidR="004C34BB" w:rsidRPr="004C34BB">
        <w:rPr>
          <w:noProof/>
          <w:lang w:val="en-US"/>
        </w:rPr>
        <w:t>)</w:t>
      </w:r>
      <w:r w:rsidRPr="00863252">
        <w:rPr>
          <w:noProof/>
          <w:lang w:val="en-US"/>
        </w:rPr>
        <w:t>, 4033-4038</w:t>
      </w:r>
      <w:r w:rsidR="004C34BB">
        <w:rPr>
          <w:noProof/>
          <w:lang w:val="en-US"/>
        </w:rPr>
        <w:t xml:space="preserve"> (</w:t>
      </w:r>
      <w:r w:rsidRPr="00863252">
        <w:rPr>
          <w:noProof/>
          <w:lang w:val="en-US"/>
        </w:rPr>
        <w:t>2005</w:t>
      </w:r>
      <w:r w:rsidR="004C34BB" w:rsidRPr="004C34BB">
        <w:rPr>
          <w:noProof/>
          <w:lang w:val="en-US"/>
        </w:rPr>
        <w:t>)</w:t>
      </w:r>
      <w:r w:rsidRPr="00863252">
        <w:rPr>
          <w:noProof/>
          <w:lang w:val="en-US"/>
        </w:rPr>
        <w:t>.</w:t>
      </w:r>
    </w:p>
    <w:p w14:paraId="3E615EF6" w14:textId="592DF9F3" w:rsidR="00F935C7" w:rsidRPr="00863252" w:rsidRDefault="00F935C7" w:rsidP="004C34BB">
      <w:pPr>
        <w:pStyle w:val="EndNoteBibliography"/>
        <w:contextualSpacing/>
        <w:jc w:val="both"/>
        <w:rPr>
          <w:noProof/>
          <w:lang w:val="en-US"/>
        </w:rPr>
      </w:pPr>
      <w:r w:rsidRPr="00863252">
        <w:rPr>
          <w:noProof/>
          <w:lang w:val="en-US"/>
        </w:rPr>
        <w:t>13</w:t>
      </w:r>
      <w:r w:rsidRPr="00863252">
        <w:rPr>
          <w:noProof/>
          <w:lang w:val="en-US"/>
        </w:rPr>
        <w:tab/>
        <w:t>Courret, N., Lang, T., Milon, G.</w:t>
      </w:r>
      <w:r w:rsidR="004C34BB">
        <w:rPr>
          <w:noProof/>
          <w:lang w:val="en-US"/>
        </w:rPr>
        <w:t xml:space="preserve">, </w:t>
      </w:r>
      <w:r w:rsidRPr="00863252">
        <w:rPr>
          <w:noProof/>
          <w:lang w:val="en-US"/>
        </w:rPr>
        <w:t xml:space="preserve">Antoine, J. C. Intradermal inoculations of low doses of Leishmania major and Leishmania amazonensis metacyclic promastigotes induce different immunoparasitic processes and status of protection in BALB/c mice. </w:t>
      </w:r>
      <w:r w:rsidR="00962961">
        <w:rPr>
          <w:i/>
          <w:noProof/>
          <w:lang w:val="en-US"/>
        </w:rPr>
        <w:t>International Journal for Parasitology</w:t>
      </w:r>
      <w:r w:rsidRPr="00863252">
        <w:rPr>
          <w:i/>
          <w:noProof/>
          <w:lang w:val="en-US"/>
        </w:rPr>
        <w:t>.</w:t>
      </w:r>
      <w:r w:rsidRPr="00863252">
        <w:rPr>
          <w:noProof/>
          <w:lang w:val="en-US"/>
        </w:rPr>
        <w:t xml:space="preserve"> </w:t>
      </w:r>
      <w:r w:rsidRPr="00863252">
        <w:rPr>
          <w:b/>
          <w:noProof/>
          <w:lang w:val="en-US"/>
        </w:rPr>
        <w:t>33</w:t>
      </w:r>
      <w:r w:rsidRPr="00863252">
        <w:rPr>
          <w:noProof/>
          <w:lang w:val="en-US"/>
        </w:rPr>
        <w:t xml:space="preserve"> </w:t>
      </w:r>
      <w:r w:rsidR="004C34BB" w:rsidRPr="004C34BB">
        <w:rPr>
          <w:noProof/>
          <w:lang w:val="en-US"/>
        </w:rPr>
        <w:t>(</w:t>
      </w:r>
      <w:r w:rsidRPr="00863252">
        <w:rPr>
          <w:noProof/>
          <w:lang w:val="en-US"/>
        </w:rPr>
        <w:t>12</w:t>
      </w:r>
      <w:r w:rsidR="004C34BB" w:rsidRPr="004C34BB">
        <w:rPr>
          <w:noProof/>
          <w:lang w:val="en-US"/>
        </w:rPr>
        <w:t>)</w:t>
      </w:r>
      <w:r w:rsidRPr="00863252">
        <w:rPr>
          <w:noProof/>
          <w:lang w:val="en-US"/>
        </w:rPr>
        <w:t>, 1373-1383</w:t>
      </w:r>
      <w:r w:rsidR="004C34BB">
        <w:rPr>
          <w:noProof/>
          <w:lang w:val="en-US"/>
        </w:rPr>
        <w:t xml:space="preserve"> (</w:t>
      </w:r>
      <w:r w:rsidRPr="00863252">
        <w:rPr>
          <w:noProof/>
          <w:lang w:val="en-US"/>
        </w:rPr>
        <w:t>2003</w:t>
      </w:r>
      <w:r w:rsidR="004C34BB" w:rsidRPr="004C34BB">
        <w:rPr>
          <w:noProof/>
          <w:lang w:val="en-US"/>
        </w:rPr>
        <w:t>)</w:t>
      </w:r>
      <w:r w:rsidRPr="00863252">
        <w:rPr>
          <w:noProof/>
          <w:lang w:val="en-US"/>
        </w:rPr>
        <w:t>.</w:t>
      </w:r>
    </w:p>
    <w:p w14:paraId="3884D6EA" w14:textId="08861B5E" w:rsidR="00F935C7" w:rsidRPr="00863252" w:rsidRDefault="00F935C7" w:rsidP="004C34BB">
      <w:pPr>
        <w:pStyle w:val="EndNoteBibliography"/>
        <w:contextualSpacing/>
        <w:jc w:val="both"/>
        <w:rPr>
          <w:noProof/>
          <w:lang w:val="en-US"/>
        </w:rPr>
      </w:pPr>
      <w:r w:rsidRPr="00863252">
        <w:rPr>
          <w:noProof/>
          <w:lang w:val="en-US"/>
        </w:rPr>
        <w:lastRenderedPageBreak/>
        <w:t>14</w:t>
      </w:r>
      <w:r w:rsidRPr="00863252">
        <w:rPr>
          <w:noProof/>
          <w:lang w:val="en-US"/>
        </w:rPr>
        <w:tab/>
        <w:t>Gutierrez, M. G.</w:t>
      </w:r>
      <w:r w:rsidRPr="00863252">
        <w:rPr>
          <w:i/>
          <w:noProof/>
          <w:lang w:val="en-US"/>
        </w:rPr>
        <w:t xml:space="preserve"> et al.</w:t>
      </w:r>
      <w:r w:rsidRPr="00863252">
        <w:rPr>
          <w:noProof/>
          <w:lang w:val="en-US"/>
        </w:rPr>
        <w:t xml:space="preserve"> Autophagy induction favours the generation and maturation of the Coxiella-replicative vacuoles. </w:t>
      </w:r>
      <w:r w:rsidR="00962961">
        <w:rPr>
          <w:i/>
          <w:noProof/>
          <w:lang w:val="en-US"/>
        </w:rPr>
        <w:t>Cellular Microbiology</w:t>
      </w:r>
      <w:r w:rsidRPr="00863252">
        <w:rPr>
          <w:i/>
          <w:noProof/>
          <w:lang w:val="en-US"/>
        </w:rPr>
        <w:t>.</w:t>
      </w:r>
      <w:r w:rsidRPr="00863252">
        <w:rPr>
          <w:noProof/>
          <w:lang w:val="en-US"/>
        </w:rPr>
        <w:t xml:space="preserve"> </w:t>
      </w:r>
      <w:r w:rsidRPr="00863252">
        <w:rPr>
          <w:b/>
          <w:noProof/>
          <w:lang w:val="en-US"/>
        </w:rPr>
        <w:t>7</w:t>
      </w:r>
      <w:r w:rsidRPr="00863252">
        <w:rPr>
          <w:noProof/>
          <w:lang w:val="en-US"/>
        </w:rPr>
        <w:t xml:space="preserve"> </w:t>
      </w:r>
      <w:r w:rsidR="004C34BB" w:rsidRPr="004C34BB">
        <w:rPr>
          <w:noProof/>
          <w:lang w:val="en-US"/>
        </w:rPr>
        <w:t>(</w:t>
      </w:r>
      <w:r w:rsidRPr="00863252">
        <w:rPr>
          <w:noProof/>
          <w:lang w:val="en-US"/>
        </w:rPr>
        <w:t>7</w:t>
      </w:r>
      <w:r w:rsidR="004C34BB" w:rsidRPr="004C34BB">
        <w:rPr>
          <w:noProof/>
          <w:lang w:val="en-US"/>
        </w:rPr>
        <w:t>)</w:t>
      </w:r>
      <w:r w:rsidRPr="00863252">
        <w:rPr>
          <w:noProof/>
          <w:lang w:val="en-US"/>
        </w:rPr>
        <w:t>, 981-993</w:t>
      </w:r>
      <w:r w:rsidR="004C34BB">
        <w:rPr>
          <w:noProof/>
          <w:lang w:val="en-US"/>
        </w:rPr>
        <w:t xml:space="preserve"> (</w:t>
      </w:r>
      <w:r w:rsidRPr="00863252">
        <w:rPr>
          <w:noProof/>
          <w:lang w:val="en-US"/>
        </w:rPr>
        <w:t>2005</w:t>
      </w:r>
      <w:r w:rsidR="004C34BB" w:rsidRPr="004C34BB">
        <w:rPr>
          <w:noProof/>
          <w:lang w:val="en-US"/>
        </w:rPr>
        <w:t>)</w:t>
      </w:r>
      <w:r w:rsidRPr="00863252">
        <w:rPr>
          <w:noProof/>
          <w:lang w:val="en-US"/>
        </w:rPr>
        <w:t>.</w:t>
      </w:r>
    </w:p>
    <w:p w14:paraId="5B3596CA" w14:textId="43A2BE4F" w:rsidR="00F935C7" w:rsidRPr="00863252" w:rsidRDefault="00F935C7" w:rsidP="004C34BB">
      <w:pPr>
        <w:pStyle w:val="EndNoteBibliography"/>
        <w:contextualSpacing/>
        <w:jc w:val="both"/>
        <w:rPr>
          <w:noProof/>
          <w:lang w:val="en-US"/>
        </w:rPr>
      </w:pPr>
      <w:r w:rsidRPr="00863252">
        <w:rPr>
          <w:noProof/>
          <w:lang w:val="en-US"/>
        </w:rPr>
        <w:t>15</w:t>
      </w:r>
      <w:r w:rsidRPr="00863252">
        <w:rPr>
          <w:noProof/>
          <w:lang w:val="en-US"/>
        </w:rPr>
        <w:tab/>
        <w:t>Dermine, J. F., Scianimanico, S., Prive, C., Descoteaux, A.</w:t>
      </w:r>
      <w:r w:rsidR="004C34BB">
        <w:rPr>
          <w:noProof/>
          <w:lang w:val="en-US"/>
        </w:rPr>
        <w:t xml:space="preserve">, </w:t>
      </w:r>
      <w:r w:rsidRPr="00863252">
        <w:rPr>
          <w:noProof/>
          <w:lang w:val="en-US"/>
        </w:rPr>
        <w:t xml:space="preserve">Desjardins, M. Leishmania promastigotes require lipophosphoglycan to actively modulate the fusion properties of phagosomes at an early step of phagocytosis. </w:t>
      </w:r>
      <w:r w:rsidR="00962961">
        <w:rPr>
          <w:i/>
          <w:noProof/>
          <w:lang w:val="en-US"/>
        </w:rPr>
        <w:t>Cellular Microbiology</w:t>
      </w:r>
      <w:r w:rsidRPr="00863252">
        <w:rPr>
          <w:i/>
          <w:noProof/>
          <w:lang w:val="en-US"/>
        </w:rPr>
        <w:t>.</w:t>
      </w:r>
      <w:r w:rsidRPr="00863252">
        <w:rPr>
          <w:noProof/>
          <w:lang w:val="en-US"/>
        </w:rPr>
        <w:t xml:space="preserve"> </w:t>
      </w:r>
      <w:r w:rsidRPr="00863252">
        <w:rPr>
          <w:b/>
          <w:noProof/>
          <w:lang w:val="en-US"/>
        </w:rPr>
        <w:t>2</w:t>
      </w:r>
      <w:r w:rsidRPr="00863252">
        <w:rPr>
          <w:noProof/>
          <w:lang w:val="en-US"/>
        </w:rPr>
        <w:t xml:space="preserve"> </w:t>
      </w:r>
      <w:r w:rsidR="004C34BB" w:rsidRPr="004C34BB">
        <w:rPr>
          <w:noProof/>
          <w:lang w:val="en-US"/>
        </w:rPr>
        <w:t>(</w:t>
      </w:r>
      <w:r w:rsidRPr="00863252">
        <w:rPr>
          <w:noProof/>
          <w:lang w:val="en-US"/>
        </w:rPr>
        <w:t>2</w:t>
      </w:r>
      <w:r w:rsidR="004C34BB" w:rsidRPr="004C34BB">
        <w:rPr>
          <w:noProof/>
          <w:lang w:val="en-US"/>
        </w:rPr>
        <w:t>)</w:t>
      </w:r>
      <w:r w:rsidRPr="00863252">
        <w:rPr>
          <w:noProof/>
          <w:lang w:val="en-US"/>
        </w:rPr>
        <w:t>, 115-126</w:t>
      </w:r>
      <w:r w:rsidR="004C34BB">
        <w:rPr>
          <w:noProof/>
          <w:lang w:val="en-US"/>
        </w:rPr>
        <w:t xml:space="preserve"> (</w:t>
      </w:r>
      <w:r w:rsidRPr="00863252">
        <w:rPr>
          <w:noProof/>
          <w:lang w:val="en-US"/>
        </w:rPr>
        <w:t>2000</w:t>
      </w:r>
      <w:r w:rsidR="004C34BB" w:rsidRPr="004C34BB">
        <w:rPr>
          <w:noProof/>
          <w:lang w:val="en-US"/>
        </w:rPr>
        <w:t>)</w:t>
      </w:r>
      <w:r w:rsidRPr="00863252">
        <w:rPr>
          <w:noProof/>
          <w:lang w:val="en-US"/>
        </w:rPr>
        <w:t>.</w:t>
      </w:r>
    </w:p>
    <w:p w14:paraId="31E69DAC" w14:textId="2F66C928" w:rsidR="00F935C7" w:rsidRPr="00863252" w:rsidRDefault="00F935C7" w:rsidP="004C34BB">
      <w:pPr>
        <w:pStyle w:val="EndNoteBibliography"/>
        <w:contextualSpacing/>
        <w:jc w:val="both"/>
        <w:rPr>
          <w:noProof/>
          <w:lang w:val="en-US"/>
        </w:rPr>
      </w:pPr>
      <w:r w:rsidRPr="00863252">
        <w:rPr>
          <w:noProof/>
          <w:lang w:val="en-US"/>
        </w:rPr>
        <w:t>16</w:t>
      </w:r>
      <w:r w:rsidRPr="00863252">
        <w:rPr>
          <w:noProof/>
          <w:lang w:val="en-US"/>
        </w:rPr>
        <w:tab/>
        <w:t>Desjardins, M.</w:t>
      </w:r>
      <w:r w:rsidR="004C34BB">
        <w:rPr>
          <w:noProof/>
          <w:lang w:val="en-US"/>
        </w:rPr>
        <w:t xml:space="preserve">, </w:t>
      </w:r>
      <w:r w:rsidRPr="00863252">
        <w:rPr>
          <w:noProof/>
          <w:lang w:val="en-US"/>
        </w:rPr>
        <w:t xml:space="preserve">Descoteaux, A. Inhibition of phagolysosomal biogenesis by the Leishmania lipophosphoglycan. </w:t>
      </w:r>
      <w:r w:rsidR="00962961">
        <w:rPr>
          <w:i/>
          <w:noProof/>
          <w:lang w:val="en-US"/>
        </w:rPr>
        <w:t>Journal of Experimental Medicine</w:t>
      </w:r>
      <w:r w:rsidRPr="00863252">
        <w:rPr>
          <w:i/>
          <w:noProof/>
          <w:lang w:val="en-US"/>
        </w:rPr>
        <w:t>.</w:t>
      </w:r>
      <w:r w:rsidRPr="00863252">
        <w:rPr>
          <w:noProof/>
          <w:lang w:val="en-US"/>
        </w:rPr>
        <w:t xml:space="preserve"> </w:t>
      </w:r>
      <w:r w:rsidRPr="00863252">
        <w:rPr>
          <w:b/>
          <w:noProof/>
          <w:lang w:val="en-US"/>
        </w:rPr>
        <w:t>185</w:t>
      </w:r>
      <w:r w:rsidRPr="00863252">
        <w:rPr>
          <w:noProof/>
          <w:lang w:val="en-US"/>
        </w:rPr>
        <w:t xml:space="preserve"> </w:t>
      </w:r>
      <w:r w:rsidR="004C34BB" w:rsidRPr="004C34BB">
        <w:rPr>
          <w:noProof/>
          <w:lang w:val="en-US"/>
        </w:rPr>
        <w:t>(</w:t>
      </w:r>
      <w:r w:rsidRPr="00863252">
        <w:rPr>
          <w:noProof/>
          <w:lang w:val="en-US"/>
        </w:rPr>
        <w:t>12</w:t>
      </w:r>
      <w:r w:rsidR="004C34BB" w:rsidRPr="004C34BB">
        <w:rPr>
          <w:noProof/>
          <w:lang w:val="en-US"/>
        </w:rPr>
        <w:t>)</w:t>
      </w:r>
      <w:r w:rsidRPr="00863252">
        <w:rPr>
          <w:noProof/>
          <w:lang w:val="en-US"/>
        </w:rPr>
        <w:t>, 2061-2068</w:t>
      </w:r>
      <w:r w:rsidR="004C34BB">
        <w:rPr>
          <w:noProof/>
          <w:lang w:val="en-US"/>
        </w:rPr>
        <w:t xml:space="preserve"> (</w:t>
      </w:r>
      <w:r w:rsidRPr="00863252">
        <w:rPr>
          <w:noProof/>
          <w:lang w:val="en-US"/>
        </w:rPr>
        <w:t>1997</w:t>
      </w:r>
      <w:r w:rsidR="004C34BB" w:rsidRPr="004C34BB">
        <w:rPr>
          <w:noProof/>
          <w:lang w:val="en-US"/>
        </w:rPr>
        <w:t>)</w:t>
      </w:r>
      <w:r w:rsidRPr="00863252">
        <w:rPr>
          <w:noProof/>
          <w:lang w:val="en-US"/>
        </w:rPr>
        <w:t>.</w:t>
      </w:r>
    </w:p>
    <w:p w14:paraId="773BA49A" w14:textId="2A8765E9" w:rsidR="00F935C7" w:rsidRPr="00863252" w:rsidRDefault="00F935C7" w:rsidP="004C34BB">
      <w:pPr>
        <w:pStyle w:val="EndNoteBibliography"/>
        <w:contextualSpacing/>
        <w:jc w:val="both"/>
        <w:rPr>
          <w:noProof/>
          <w:lang w:val="en-US"/>
        </w:rPr>
      </w:pPr>
      <w:r w:rsidRPr="00863252">
        <w:rPr>
          <w:noProof/>
          <w:lang w:val="en-US"/>
        </w:rPr>
        <w:t>17</w:t>
      </w:r>
      <w:r w:rsidRPr="00863252">
        <w:rPr>
          <w:noProof/>
          <w:lang w:val="en-US"/>
        </w:rPr>
        <w:tab/>
        <w:t>Antoine, J. C., Prina, E., Lang, T.</w:t>
      </w:r>
      <w:r w:rsidR="004C34BB">
        <w:rPr>
          <w:noProof/>
          <w:lang w:val="en-US"/>
        </w:rPr>
        <w:t xml:space="preserve">, </w:t>
      </w:r>
      <w:r w:rsidRPr="00863252">
        <w:rPr>
          <w:noProof/>
          <w:lang w:val="en-US"/>
        </w:rPr>
        <w:t xml:space="preserve">Courret, N. The biogenesis and properties of the parasitophorous vacuoles that harbour Leishmania in murine macrophages. </w:t>
      </w:r>
      <w:r w:rsidR="00962961">
        <w:rPr>
          <w:i/>
          <w:noProof/>
          <w:lang w:val="en-US"/>
        </w:rPr>
        <w:t>Trends in Microbiology</w:t>
      </w:r>
      <w:r w:rsidRPr="00863252">
        <w:rPr>
          <w:i/>
          <w:noProof/>
          <w:lang w:val="en-US"/>
        </w:rPr>
        <w:t>.</w:t>
      </w:r>
      <w:r w:rsidRPr="00863252">
        <w:rPr>
          <w:noProof/>
          <w:lang w:val="en-US"/>
        </w:rPr>
        <w:t xml:space="preserve"> </w:t>
      </w:r>
      <w:r w:rsidRPr="00863252">
        <w:rPr>
          <w:b/>
          <w:noProof/>
          <w:lang w:val="en-US"/>
        </w:rPr>
        <w:t>6</w:t>
      </w:r>
      <w:r w:rsidRPr="00863252">
        <w:rPr>
          <w:noProof/>
          <w:lang w:val="en-US"/>
        </w:rPr>
        <w:t xml:space="preserve"> </w:t>
      </w:r>
      <w:r w:rsidR="004C34BB" w:rsidRPr="004C34BB">
        <w:rPr>
          <w:noProof/>
          <w:lang w:val="en-US"/>
        </w:rPr>
        <w:t>(</w:t>
      </w:r>
      <w:r w:rsidRPr="00863252">
        <w:rPr>
          <w:noProof/>
          <w:lang w:val="en-US"/>
        </w:rPr>
        <w:t>10</w:t>
      </w:r>
      <w:r w:rsidR="004C34BB" w:rsidRPr="004C34BB">
        <w:rPr>
          <w:noProof/>
          <w:lang w:val="en-US"/>
        </w:rPr>
        <w:t>)</w:t>
      </w:r>
      <w:r w:rsidRPr="00863252">
        <w:rPr>
          <w:noProof/>
          <w:lang w:val="en-US"/>
        </w:rPr>
        <w:t>, 392-401</w:t>
      </w:r>
      <w:r w:rsidR="004C34BB">
        <w:rPr>
          <w:noProof/>
          <w:lang w:val="en-US"/>
        </w:rPr>
        <w:t xml:space="preserve"> (</w:t>
      </w:r>
      <w:r w:rsidRPr="00863252">
        <w:rPr>
          <w:noProof/>
          <w:lang w:val="en-US"/>
        </w:rPr>
        <w:t>1998</w:t>
      </w:r>
      <w:r w:rsidR="004C34BB" w:rsidRPr="004C34BB">
        <w:rPr>
          <w:noProof/>
          <w:lang w:val="en-US"/>
        </w:rPr>
        <w:t>)</w:t>
      </w:r>
      <w:r w:rsidRPr="00863252">
        <w:rPr>
          <w:noProof/>
          <w:lang w:val="en-US"/>
        </w:rPr>
        <w:t>.</w:t>
      </w:r>
    </w:p>
    <w:p w14:paraId="46268EF9" w14:textId="3C339856" w:rsidR="00F935C7" w:rsidRPr="00863252" w:rsidRDefault="00F935C7" w:rsidP="004C34BB">
      <w:pPr>
        <w:pStyle w:val="EndNoteBibliography"/>
        <w:contextualSpacing/>
        <w:jc w:val="both"/>
        <w:rPr>
          <w:noProof/>
          <w:lang w:val="en-US"/>
        </w:rPr>
      </w:pPr>
      <w:r w:rsidRPr="00863252">
        <w:rPr>
          <w:noProof/>
          <w:lang w:val="en-US"/>
        </w:rPr>
        <w:t>18</w:t>
      </w:r>
      <w:r w:rsidRPr="00863252">
        <w:rPr>
          <w:noProof/>
          <w:lang w:val="en-US"/>
        </w:rPr>
        <w:tab/>
        <w:t>Alexander, J.</w:t>
      </w:r>
      <w:r w:rsidRPr="00863252">
        <w:rPr>
          <w:i/>
          <w:noProof/>
          <w:lang w:val="en-US"/>
        </w:rPr>
        <w:t xml:space="preserve"> et al.</w:t>
      </w:r>
      <w:r w:rsidRPr="00863252">
        <w:rPr>
          <w:noProof/>
          <w:lang w:val="en-US"/>
        </w:rPr>
        <w:t xml:space="preserve"> An essential role for IL-13 in maintaining a non-healing response following Leishmania mexicana infection. </w:t>
      </w:r>
      <w:r w:rsidRPr="00863252">
        <w:rPr>
          <w:i/>
          <w:noProof/>
          <w:lang w:val="en-US"/>
        </w:rPr>
        <w:t>Eur</w:t>
      </w:r>
      <w:r w:rsidR="00962961">
        <w:rPr>
          <w:i/>
          <w:noProof/>
          <w:lang w:val="en-US"/>
        </w:rPr>
        <w:t>opean</w:t>
      </w:r>
      <w:r w:rsidRPr="00863252">
        <w:rPr>
          <w:i/>
          <w:noProof/>
          <w:lang w:val="en-US"/>
        </w:rPr>
        <w:t xml:space="preserve"> </w:t>
      </w:r>
      <w:r w:rsidR="00962961">
        <w:rPr>
          <w:i/>
          <w:noProof/>
          <w:lang w:val="en-US"/>
        </w:rPr>
        <w:t>Journal of Immunology</w:t>
      </w:r>
      <w:r w:rsidRPr="00863252">
        <w:rPr>
          <w:i/>
          <w:noProof/>
          <w:lang w:val="en-US"/>
        </w:rPr>
        <w:t>.</w:t>
      </w:r>
      <w:r w:rsidRPr="00863252">
        <w:rPr>
          <w:noProof/>
          <w:lang w:val="en-US"/>
        </w:rPr>
        <w:t xml:space="preserve"> </w:t>
      </w:r>
      <w:r w:rsidRPr="00863252">
        <w:rPr>
          <w:b/>
          <w:noProof/>
          <w:lang w:val="en-US"/>
        </w:rPr>
        <w:t>32</w:t>
      </w:r>
      <w:r w:rsidRPr="00863252">
        <w:rPr>
          <w:noProof/>
          <w:lang w:val="en-US"/>
        </w:rPr>
        <w:t xml:space="preserve"> </w:t>
      </w:r>
      <w:r w:rsidR="004C34BB" w:rsidRPr="004C34BB">
        <w:rPr>
          <w:noProof/>
          <w:lang w:val="en-US"/>
        </w:rPr>
        <w:t>(</w:t>
      </w:r>
      <w:r w:rsidRPr="00863252">
        <w:rPr>
          <w:noProof/>
          <w:lang w:val="en-US"/>
        </w:rPr>
        <w:t>10</w:t>
      </w:r>
      <w:r w:rsidR="004C34BB" w:rsidRPr="004C34BB">
        <w:rPr>
          <w:noProof/>
          <w:lang w:val="en-US"/>
        </w:rPr>
        <w:t>)</w:t>
      </w:r>
      <w:r w:rsidRPr="00863252">
        <w:rPr>
          <w:noProof/>
          <w:lang w:val="en-US"/>
        </w:rPr>
        <w:t>, 2923-2933</w:t>
      </w:r>
      <w:r w:rsidR="004C34BB">
        <w:rPr>
          <w:noProof/>
          <w:lang w:val="en-US"/>
        </w:rPr>
        <w:t xml:space="preserve"> (</w:t>
      </w:r>
      <w:r w:rsidRPr="00863252">
        <w:rPr>
          <w:noProof/>
          <w:lang w:val="en-US"/>
        </w:rPr>
        <w:t>2002</w:t>
      </w:r>
      <w:r w:rsidR="004C34BB" w:rsidRPr="004C34BB">
        <w:rPr>
          <w:noProof/>
          <w:lang w:val="en-US"/>
        </w:rPr>
        <w:t>)</w:t>
      </w:r>
      <w:r w:rsidRPr="00863252">
        <w:rPr>
          <w:noProof/>
          <w:lang w:val="en-US"/>
        </w:rPr>
        <w:t>.</w:t>
      </w:r>
    </w:p>
    <w:p w14:paraId="5047B701" w14:textId="5FCD92DB" w:rsidR="00F935C7" w:rsidRPr="00863252" w:rsidRDefault="00F935C7" w:rsidP="004C34BB">
      <w:pPr>
        <w:pStyle w:val="EndNoteBibliography"/>
        <w:contextualSpacing/>
        <w:jc w:val="both"/>
        <w:rPr>
          <w:noProof/>
          <w:lang w:val="en-US"/>
        </w:rPr>
      </w:pPr>
      <w:r w:rsidRPr="00863252">
        <w:rPr>
          <w:noProof/>
          <w:lang w:val="en-US"/>
        </w:rPr>
        <w:t>19</w:t>
      </w:r>
      <w:r w:rsidRPr="00863252">
        <w:rPr>
          <w:noProof/>
          <w:lang w:val="en-US"/>
        </w:rPr>
        <w:tab/>
        <w:t>Aderem, A.</w:t>
      </w:r>
      <w:r w:rsidR="004C34BB">
        <w:rPr>
          <w:noProof/>
          <w:lang w:val="en-US"/>
        </w:rPr>
        <w:t xml:space="preserve">, </w:t>
      </w:r>
      <w:r w:rsidRPr="00863252">
        <w:rPr>
          <w:noProof/>
          <w:lang w:val="en-US"/>
        </w:rPr>
        <w:t xml:space="preserve">Underhill, D. M. Mechanisms of phagocytosis in macrophages. </w:t>
      </w:r>
      <w:r w:rsidR="00962961">
        <w:rPr>
          <w:i/>
          <w:noProof/>
          <w:lang w:val="en-US"/>
        </w:rPr>
        <w:t>Annual Review of Immunology</w:t>
      </w:r>
      <w:r w:rsidRPr="00863252">
        <w:rPr>
          <w:i/>
          <w:noProof/>
          <w:lang w:val="en-US"/>
        </w:rPr>
        <w:t>.</w:t>
      </w:r>
      <w:r w:rsidRPr="00863252">
        <w:rPr>
          <w:noProof/>
          <w:lang w:val="en-US"/>
        </w:rPr>
        <w:t xml:space="preserve"> </w:t>
      </w:r>
      <w:r w:rsidRPr="00863252">
        <w:rPr>
          <w:b/>
          <w:noProof/>
          <w:lang w:val="en-US"/>
        </w:rPr>
        <w:t>17</w:t>
      </w:r>
      <w:r w:rsidR="00962961" w:rsidRPr="00863252">
        <w:rPr>
          <w:noProof/>
        </w:rPr>
        <w:t>,</w:t>
      </w:r>
      <w:r w:rsidRPr="00863252">
        <w:rPr>
          <w:noProof/>
          <w:lang w:val="en-US"/>
        </w:rPr>
        <w:t xml:space="preserve"> 593-623</w:t>
      </w:r>
      <w:r w:rsidR="004C34BB">
        <w:rPr>
          <w:noProof/>
          <w:lang w:val="en-US"/>
        </w:rPr>
        <w:t xml:space="preserve"> (</w:t>
      </w:r>
      <w:r w:rsidRPr="00863252">
        <w:rPr>
          <w:noProof/>
          <w:lang w:val="en-US"/>
        </w:rPr>
        <w:t>1999</w:t>
      </w:r>
      <w:r w:rsidR="004C34BB" w:rsidRPr="004C34BB">
        <w:rPr>
          <w:noProof/>
          <w:lang w:val="en-US"/>
        </w:rPr>
        <w:t>)</w:t>
      </w:r>
      <w:r w:rsidRPr="00863252">
        <w:rPr>
          <w:noProof/>
          <w:lang w:val="en-US"/>
        </w:rPr>
        <w:t>.</w:t>
      </w:r>
    </w:p>
    <w:p w14:paraId="6A448551" w14:textId="13C0C3FB" w:rsidR="00F935C7" w:rsidRPr="00863252" w:rsidRDefault="00F935C7" w:rsidP="004C34BB">
      <w:pPr>
        <w:pStyle w:val="EndNoteBibliography"/>
        <w:contextualSpacing/>
        <w:jc w:val="both"/>
        <w:rPr>
          <w:noProof/>
          <w:lang w:val="en-US"/>
        </w:rPr>
      </w:pPr>
      <w:r w:rsidRPr="00863252">
        <w:rPr>
          <w:noProof/>
          <w:lang w:val="en-US"/>
        </w:rPr>
        <w:t>20</w:t>
      </w:r>
      <w:r w:rsidRPr="00863252">
        <w:rPr>
          <w:noProof/>
          <w:lang w:val="en-US"/>
        </w:rPr>
        <w:tab/>
        <w:t>Olivier, M., Gregory, D. J.</w:t>
      </w:r>
      <w:r w:rsidR="004C34BB">
        <w:rPr>
          <w:noProof/>
          <w:lang w:val="en-US"/>
        </w:rPr>
        <w:t xml:space="preserve">, </w:t>
      </w:r>
      <w:r w:rsidRPr="00863252">
        <w:rPr>
          <w:noProof/>
          <w:lang w:val="en-US"/>
        </w:rPr>
        <w:t xml:space="preserve">Forget, G. Subversion mechanisms by which Leishmania parasites can escape the host immune response: a signaling point of view. </w:t>
      </w:r>
      <w:r w:rsidR="00962961">
        <w:rPr>
          <w:i/>
          <w:noProof/>
          <w:lang w:val="en-US"/>
        </w:rPr>
        <w:t>Clinical Microbiology Reviews</w:t>
      </w:r>
      <w:r w:rsidRPr="00863252">
        <w:rPr>
          <w:i/>
          <w:noProof/>
          <w:lang w:val="en-US"/>
        </w:rPr>
        <w:t>.</w:t>
      </w:r>
      <w:r w:rsidRPr="00863252">
        <w:rPr>
          <w:noProof/>
          <w:lang w:val="en-US"/>
        </w:rPr>
        <w:t xml:space="preserve"> </w:t>
      </w:r>
      <w:r w:rsidRPr="00863252">
        <w:rPr>
          <w:b/>
          <w:noProof/>
          <w:lang w:val="en-US"/>
        </w:rPr>
        <w:t>18</w:t>
      </w:r>
      <w:r w:rsidRPr="00863252">
        <w:rPr>
          <w:noProof/>
          <w:lang w:val="en-US"/>
        </w:rPr>
        <w:t xml:space="preserve"> </w:t>
      </w:r>
      <w:r w:rsidR="004C34BB" w:rsidRPr="004C34BB">
        <w:rPr>
          <w:noProof/>
          <w:lang w:val="en-US"/>
        </w:rPr>
        <w:t>(</w:t>
      </w:r>
      <w:r w:rsidRPr="00863252">
        <w:rPr>
          <w:noProof/>
          <w:lang w:val="en-US"/>
        </w:rPr>
        <w:t>2</w:t>
      </w:r>
      <w:r w:rsidR="004C34BB" w:rsidRPr="004C34BB">
        <w:rPr>
          <w:noProof/>
          <w:lang w:val="en-US"/>
        </w:rPr>
        <w:t>)</w:t>
      </w:r>
      <w:r w:rsidRPr="00863252">
        <w:rPr>
          <w:noProof/>
          <w:lang w:val="en-US"/>
        </w:rPr>
        <w:t>, 293-305</w:t>
      </w:r>
      <w:r w:rsidR="004C34BB">
        <w:rPr>
          <w:noProof/>
          <w:lang w:val="en-US"/>
        </w:rPr>
        <w:t xml:space="preserve"> (</w:t>
      </w:r>
      <w:r w:rsidRPr="00863252">
        <w:rPr>
          <w:noProof/>
          <w:lang w:val="en-US"/>
        </w:rPr>
        <w:t>2005</w:t>
      </w:r>
      <w:r w:rsidR="004C34BB" w:rsidRPr="004C34BB">
        <w:rPr>
          <w:noProof/>
          <w:lang w:val="en-US"/>
        </w:rPr>
        <w:t>)</w:t>
      </w:r>
      <w:r w:rsidRPr="00863252">
        <w:rPr>
          <w:noProof/>
          <w:lang w:val="en-US"/>
        </w:rPr>
        <w:t>.</w:t>
      </w:r>
    </w:p>
    <w:p w14:paraId="61BB5A1A" w14:textId="5C763638" w:rsidR="00F935C7" w:rsidRPr="00863252" w:rsidRDefault="00F935C7" w:rsidP="004C34BB">
      <w:pPr>
        <w:pStyle w:val="EndNoteBibliography"/>
        <w:contextualSpacing/>
        <w:jc w:val="both"/>
        <w:rPr>
          <w:noProof/>
          <w:lang w:val="en-US"/>
        </w:rPr>
      </w:pPr>
      <w:r w:rsidRPr="00863252">
        <w:rPr>
          <w:noProof/>
          <w:lang w:val="en-US"/>
        </w:rPr>
        <w:t>21</w:t>
      </w:r>
      <w:r w:rsidRPr="00863252">
        <w:rPr>
          <w:noProof/>
          <w:lang w:val="en-US"/>
        </w:rPr>
        <w:tab/>
        <w:t>English, D.</w:t>
      </w:r>
      <w:r w:rsidR="004C34BB">
        <w:rPr>
          <w:noProof/>
          <w:lang w:val="en-US"/>
        </w:rPr>
        <w:t xml:space="preserve">, </w:t>
      </w:r>
      <w:r w:rsidRPr="00863252">
        <w:rPr>
          <w:noProof/>
          <w:lang w:val="en-US"/>
        </w:rPr>
        <w:t xml:space="preserve">Andersen, B. R. Single-step separation of red blood cells. Granulocytes and mononuclear leukocytes on discontinuous density gradients of Ficoll-Hypaque. </w:t>
      </w:r>
      <w:r w:rsidR="00962961">
        <w:rPr>
          <w:i/>
          <w:noProof/>
          <w:lang w:val="en-US"/>
        </w:rPr>
        <w:t>Journal of Immunology</w:t>
      </w:r>
      <w:r w:rsidRPr="00863252">
        <w:rPr>
          <w:i/>
          <w:noProof/>
          <w:lang w:val="en-US"/>
        </w:rPr>
        <w:t xml:space="preserve"> Methods.</w:t>
      </w:r>
      <w:r w:rsidRPr="00863252">
        <w:rPr>
          <w:noProof/>
          <w:lang w:val="en-US"/>
        </w:rPr>
        <w:t xml:space="preserve"> </w:t>
      </w:r>
      <w:r w:rsidRPr="00863252">
        <w:rPr>
          <w:b/>
          <w:noProof/>
          <w:lang w:val="en-US"/>
        </w:rPr>
        <w:t>5</w:t>
      </w:r>
      <w:r w:rsidRPr="00863252">
        <w:rPr>
          <w:noProof/>
          <w:lang w:val="en-US"/>
        </w:rPr>
        <w:t xml:space="preserve"> </w:t>
      </w:r>
      <w:r w:rsidR="004C34BB" w:rsidRPr="004C34BB">
        <w:rPr>
          <w:noProof/>
          <w:lang w:val="en-US"/>
        </w:rPr>
        <w:t>(</w:t>
      </w:r>
      <w:r w:rsidRPr="00863252">
        <w:rPr>
          <w:noProof/>
          <w:lang w:val="en-US"/>
        </w:rPr>
        <w:t>3</w:t>
      </w:r>
      <w:r w:rsidR="004C34BB" w:rsidRPr="004C34BB">
        <w:rPr>
          <w:noProof/>
          <w:lang w:val="en-US"/>
        </w:rPr>
        <w:t>)</w:t>
      </w:r>
      <w:r w:rsidRPr="00863252">
        <w:rPr>
          <w:noProof/>
          <w:lang w:val="en-US"/>
        </w:rPr>
        <w:t>, 249-252</w:t>
      </w:r>
      <w:r w:rsidR="004C34BB">
        <w:rPr>
          <w:noProof/>
          <w:lang w:val="en-US"/>
        </w:rPr>
        <w:t xml:space="preserve"> (</w:t>
      </w:r>
      <w:r w:rsidRPr="00863252">
        <w:rPr>
          <w:noProof/>
          <w:lang w:val="en-US"/>
        </w:rPr>
        <w:t>1974</w:t>
      </w:r>
      <w:r w:rsidR="004C34BB" w:rsidRPr="004C34BB">
        <w:rPr>
          <w:noProof/>
          <w:lang w:val="en-US"/>
        </w:rPr>
        <w:t>)</w:t>
      </w:r>
      <w:r w:rsidRPr="00863252">
        <w:rPr>
          <w:noProof/>
          <w:lang w:val="en-US"/>
        </w:rPr>
        <w:t>.</w:t>
      </w:r>
    </w:p>
    <w:p w14:paraId="6B7C83F0" w14:textId="6FEC801A" w:rsidR="00F935C7" w:rsidRPr="00863252" w:rsidRDefault="00F935C7" w:rsidP="004C34BB">
      <w:pPr>
        <w:pStyle w:val="EndNoteBibliography"/>
        <w:contextualSpacing/>
        <w:jc w:val="both"/>
        <w:rPr>
          <w:noProof/>
          <w:lang w:val="en-US"/>
        </w:rPr>
      </w:pPr>
      <w:r w:rsidRPr="00863252">
        <w:rPr>
          <w:noProof/>
          <w:lang w:val="en-US"/>
        </w:rPr>
        <w:t>22</w:t>
      </w:r>
      <w:r w:rsidRPr="00863252">
        <w:rPr>
          <w:noProof/>
          <w:lang w:val="en-US"/>
        </w:rPr>
        <w:tab/>
        <w:t>Petersen, A. L.</w:t>
      </w:r>
      <w:r w:rsidRPr="00863252">
        <w:rPr>
          <w:i/>
          <w:noProof/>
          <w:lang w:val="en-US"/>
        </w:rPr>
        <w:t xml:space="preserve"> et al.</w:t>
      </w:r>
      <w:r w:rsidRPr="00863252">
        <w:rPr>
          <w:noProof/>
          <w:lang w:val="en-US"/>
        </w:rPr>
        <w:t xml:space="preserve"> 17-AAG kills intracellular Leishmania amazonensis while reducing inflammatory responses in infected macrophages. </w:t>
      </w:r>
      <w:r w:rsidRPr="00863252">
        <w:rPr>
          <w:i/>
          <w:noProof/>
          <w:lang w:val="en-US"/>
        </w:rPr>
        <w:t>PLoS One.</w:t>
      </w:r>
      <w:r w:rsidRPr="00863252">
        <w:rPr>
          <w:noProof/>
          <w:lang w:val="en-US"/>
        </w:rPr>
        <w:t xml:space="preserve"> </w:t>
      </w:r>
      <w:r w:rsidRPr="00863252">
        <w:rPr>
          <w:b/>
          <w:noProof/>
          <w:lang w:val="en-US"/>
        </w:rPr>
        <w:t>7</w:t>
      </w:r>
      <w:r w:rsidRPr="00863252">
        <w:rPr>
          <w:noProof/>
          <w:lang w:val="en-US"/>
        </w:rPr>
        <w:t xml:space="preserve"> </w:t>
      </w:r>
      <w:r w:rsidR="004C34BB" w:rsidRPr="004C34BB">
        <w:rPr>
          <w:noProof/>
          <w:lang w:val="en-US"/>
        </w:rPr>
        <w:t>(</w:t>
      </w:r>
      <w:r w:rsidRPr="00863252">
        <w:rPr>
          <w:noProof/>
          <w:lang w:val="en-US"/>
        </w:rPr>
        <w:t>11</w:t>
      </w:r>
      <w:r w:rsidR="004C34BB" w:rsidRPr="004C34BB">
        <w:rPr>
          <w:noProof/>
          <w:lang w:val="en-US"/>
        </w:rPr>
        <w:t>)</w:t>
      </w:r>
      <w:r w:rsidRPr="00863252">
        <w:rPr>
          <w:noProof/>
          <w:lang w:val="en-US"/>
        </w:rPr>
        <w:t>, e49496</w:t>
      </w:r>
      <w:r w:rsidR="004C34BB">
        <w:rPr>
          <w:noProof/>
          <w:lang w:val="en-US"/>
        </w:rPr>
        <w:t xml:space="preserve"> (</w:t>
      </w:r>
      <w:r w:rsidRPr="00863252">
        <w:rPr>
          <w:noProof/>
          <w:lang w:val="en-US"/>
        </w:rPr>
        <w:t>2012</w:t>
      </w:r>
      <w:r w:rsidR="004C34BB" w:rsidRPr="004C34BB">
        <w:rPr>
          <w:noProof/>
          <w:lang w:val="en-US"/>
        </w:rPr>
        <w:t>)</w:t>
      </w:r>
      <w:r w:rsidRPr="00863252">
        <w:rPr>
          <w:noProof/>
          <w:lang w:val="en-US"/>
        </w:rPr>
        <w:t>.</w:t>
      </w:r>
    </w:p>
    <w:p w14:paraId="22DE8EFE" w14:textId="14F5B052" w:rsidR="00F935C7" w:rsidRPr="00863252" w:rsidRDefault="00F935C7" w:rsidP="004C34BB">
      <w:pPr>
        <w:pStyle w:val="EndNoteBibliography"/>
        <w:contextualSpacing/>
        <w:jc w:val="both"/>
        <w:rPr>
          <w:noProof/>
          <w:lang w:val="en-US"/>
        </w:rPr>
      </w:pPr>
      <w:r w:rsidRPr="00863252">
        <w:rPr>
          <w:noProof/>
          <w:lang w:val="en-US"/>
        </w:rPr>
        <w:t>23</w:t>
      </w:r>
      <w:r w:rsidRPr="00863252">
        <w:rPr>
          <w:noProof/>
          <w:lang w:val="en-US"/>
        </w:rPr>
        <w:tab/>
        <w:t>Maess, M. B., Wittig, B.</w:t>
      </w:r>
      <w:r w:rsidR="004C34BB">
        <w:rPr>
          <w:noProof/>
          <w:lang w:val="en-US"/>
        </w:rPr>
        <w:t xml:space="preserve">, </w:t>
      </w:r>
      <w:r w:rsidRPr="00863252">
        <w:rPr>
          <w:noProof/>
          <w:lang w:val="en-US"/>
        </w:rPr>
        <w:t xml:space="preserve">Lorkowski, S. Highly efficient transfection of human THP-1 macrophages by nucleofection. </w:t>
      </w:r>
      <w:r w:rsidR="00962961">
        <w:rPr>
          <w:i/>
          <w:noProof/>
          <w:lang w:val="en-US"/>
        </w:rPr>
        <w:t>Journal of Visualized Experiments</w:t>
      </w:r>
      <w:r w:rsidRPr="00863252">
        <w:rPr>
          <w:i/>
          <w:noProof/>
          <w:lang w:val="en-US"/>
        </w:rPr>
        <w:t>.</w:t>
      </w:r>
      <w:r w:rsidRPr="00863252">
        <w:rPr>
          <w:noProof/>
          <w:lang w:val="en-US"/>
        </w:rPr>
        <w:t xml:space="preserve"> 10.3791/51960 </w:t>
      </w:r>
      <w:r w:rsidR="004C34BB" w:rsidRPr="004C34BB">
        <w:rPr>
          <w:noProof/>
          <w:lang w:val="en-US"/>
        </w:rPr>
        <w:t>(</w:t>
      </w:r>
      <w:r w:rsidRPr="00863252">
        <w:rPr>
          <w:noProof/>
          <w:lang w:val="en-US"/>
        </w:rPr>
        <w:t>91</w:t>
      </w:r>
      <w:r w:rsidR="004C34BB" w:rsidRPr="004C34BB">
        <w:rPr>
          <w:noProof/>
          <w:lang w:val="en-US"/>
        </w:rPr>
        <w:t>)</w:t>
      </w:r>
      <w:r w:rsidRPr="00863252">
        <w:rPr>
          <w:noProof/>
          <w:lang w:val="en-US"/>
        </w:rPr>
        <w:t>, e51960</w:t>
      </w:r>
      <w:r w:rsidR="004C34BB">
        <w:rPr>
          <w:noProof/>
          <w:lang w:val="en-US"/>
        </w:rPr>
        <w:t xml:space="preserve"> (</w:t>
      </w:r>
      <w:r w:rsidRPr="00863252">
        <w:rPr>
          <w:noProof/>
          <w:lang w:val="en-US"/>
        </w:rPr>
        <w:t>2014</w:t>
      </w:r>
      <w:r w:rsidR="004C34BB" w:rsidRPr="004C34BB">
        <w:rPr>
          <w:noProof/>
          <w:lang w:val="en-US"/>
        </w:rPr>
        <w:t>)</w:t>
      </w:r>
      <w:r w:rsidRPr="00863252">
        <w:rPr>
          <w:noProof/>
          <w:lang w:val="en-US"/>
        </w:rPr>
        <w:t>.</w:t>
      </w:r>
    </w:p>
    <w:p w14:paraId="4F20630A" w14:textId="102AEA25" w:rsidR="00F935C7" w:rsidRPr="00863252" w:rsidRDefault="00F935C7" w:rsidP="004C34BB">
      <w:pPr>
        <w:pStyle w:val="EndNoteBibliography"/>
        <w:contextualSpacing/>
        <w:jc w:val="both"/>
        <w:rPr>
          <w:noProof/>
          <w:lang w:val="en-US"/>
        </w:rPr>
      </w:pPr>
      <w:r w:rsidRPr="00863252">
        <w:rPr>
          <w:noProof/>
          <w:lang w:val="en-US"/>
        </w:rPr>
        <w:t>24</w:t>
      </w:r>
      <w:r w:rsidRPr="00863252">
        <w:rPr>
          <w:noProof/>
          <w:lang w:val="en-US"/>
        </w:rPr>
        <w:tab/>
        <w:t>Berges, R.</w:t>
      </w:r>
      <w:r w:rsidRPr="00863252">
        <w:rPr>
          <w:i/>
          <w:noProof/>
          <w:lang w:val="en-US"/>
        </w:rPr>
        <w:t xml:space="preserve"> et al.</w:t>
      </w:r>
      <w:r w:rsidRPr="00863252">
        <w:rPr>
          <w:noProof/>
          <w:lang w:val="en-US"/>
        </w:rPr>
        <w:t xml:space="preserve"> End-binding 1 protein overexpression correlates with glioblastoma progression and sensitizes to Vinca-alkaloids in vitro and in vivo. </w:t>
      </w:r>
      <w:r w:rsidRPr="00863252">
        <w:rPr>
          <w:i/>
          <w:noProof/>
          <w:lang w:val="en-US"/>
        </w:rPr>
        <w:t>Oncotarget.</w:t>
      </w:r>
      <w:r w:rsidRPr="00863252">
        <w:rPr>
          <w:noProof/>
          <w:lang w:val="en-US"/>
        </w:rPr>
        <w:t xml:space="preserve"> </w:t>
      </w:r>
      <w:r w:rsidRPr="00863252">
        <w:rPr>
          <w:b/>
          <w:noProof/>
          <w:lang w:val="en-US"/>
        </w:rPr>
        <w:t>5</w:t>
      </w:r>
      <w:r w:rsidRPr="00863252">
        <w:rPr>
          <w:noProof/>
          <w:lang w:val="en-US"/>
        </w:rPr>
        <w:t xml:space="preserve"> </w:t>
      </w:r>
      <w:r w:rsidR="004C34BB" w:rsidRPr="004C34BB">
        <w:rPr>
          <w:noProof/>
          <w:lang w:val="en-US"/>
        </w:rPr>
        <w:t>(</w:t>
      </w:r>
      <w:r w:rsidRPr="00863252">
        <w:rPr>
          <w:noProof/>
          <w:lang w:val="en-US"/>
        </w:rPr>
        <w:t>24</w:t>
      </w:r>
      <w:r w:rsidR="004C34BB" w:rsidRPr="004C34BB">
        <w:rPr>
          <w:noProof/>
          <w:lang w:val="en-US"/>
        </w:rPr>
        <w:t>)</w:t>
      </w:r>
      <w:r w:rsidRPr="00863252">
        <w:rPr>
          <w:noProof/>
          <w:lang w:val="en-US"/>
        </w:rPr>
        <w:t>, 12769-12787</w:t>
      </w:r>
      <w:r w:rsidR="004C34BB">
        <w:rPr>
          <w:noProof/>
          <w:lang w:val="en-US"/>
        </w:rPr>
        <w:t xml:space="preserve"> (</w:t>
      </w:r>
      <w:r w:rsidRPr="00863252">
        <w:rPr>
          <w:noProof/>
          <w:lang w:val="en-US"/>
        </w:rPr>
        <w:t>2014</w:t>
      </w:r>
      <w:r w:rsidR="004C34BB" w:rsidRPr="004C34BB">
        <w:rPr>
          <w:noProof/>
          <w:lang w:val="en-US"/>
        </w:rPr>
        <w:t>)</w:t>
      </w:r>
      <w:r w:rsidRPr="00863252">
        <w:rPr>
          <w:noProof/>
          <w:lang w:val="en-US"/>
        </w:rPr>
        <w:t>.</w:t>
      </w:r>
    </w:p>
    <w:p w14:paraId="28845C63" w14:textId="299946DC" w:rsidR="00F935C7" w:rsidRPr="00863252" w:rsidRDefault="00F935C7" w:rsidP="004C34BB">
      <w:pPr>
        <w:pStyle w:val="EndNoteBibliography"/>
        <w:contextualSpacing/>
        <w:jc w:val="both"/>
        <w:rPr>
          <w:noProof/>
          <w:lang w:val="en-US"/>
        </w:rPr>
      </w:pPr>
      <w:r w:rsidRPr="00863252">
        <w:rPr>
          <w:noProof/>
          <w:lang w:val="en-US"/>
        </w:rPr>
        <w:t>25</w:t>
      </w:r>
      <w:r w:rsidRPr="00863252">
        <w:rPr>
          <w:noProof/>
          <w:lang w:val="en-US"/>
        </w:rPr>
        <w:tab/>
        <w:t>Franco, L. H.</w:t>
      </w:r>
      <w:r w:rsidRPr="00863252">
        <w:rPr>
          <w:i/>
          <w:noProof/>
          <w:lang w:val="en-US"/>
        </w:rPr>
        <w:t xml:space="preserve"> et al.</w:t>
      </w:r>
      <w:r w:rsidRPr="00863252">
        <w:rPr>
          <w:noProof/>
          <w:lang w:val="en-US"/>
        </w:rPr>
        <w:t xml:space="preserve"> The Ubiquitin Ligase Smurf1 Functions in Selective Autophagy of Mycobacterium tuberculosis and Anti-tuberculous Host Defense. </w:t>
      </w:r>
      <w:r w:rsidR="00962961">
        <w:rPr>
          <w:i/>
          <w:noProof/>
          <w:lang w:val="en-US"/>
        </w:rPr>
        <w:t>Cell Host &amp; Microbe</w:t>
      </w:r>
      <w:r w:rsidRPr="00863252">
        <w:rPr>
          <w:i/>
          <w:noProof/>
          <w:lang w:val="en-US"/>
        </w:rPr>
        <w:t>.</w:t>
      </w:r>
      <w:r w:rsidRPr="00863252">
        <w:rPr>
          <w:noProof/>
          <w:lang w:val="en-US"/>
        </w:rPr>
        <w:t xml:space="preserve"> </w:t>
      </w:r>
      <w:r w:rsidRPr="00863252">
        <w:rPr>
          <w:b/>
          <w:noProof/>
          <w:lang w:val="en-US"/>
        </w:rPr>
        <w:t>22</w:t>
      </w:r>
      <w:r w:rsidRPr="00863252">
        <w:rPr>
          <w:noProof/>
          <w:lang w:val="en-US"/>
        </w:rPr>
        <w:t xml:space="preserve"> </w:t>
      </w:r>
      <w:r w:rsidR="004C34BB" w:rsidRPr="004C34BB">
        <w:rPr>
          <w:noProof/>
          <w:lang w:val="en-US"/>
        </w:rPr>
        <w:t>(</w:t>
      </w:r>
      <w:r w:rsidRPr="00863252">
        <w:rPr>
          <w:noProof/>
          <w:lang w:val="en-US"/>
        </w:rPr>
        <w:t>3</w:t>
      </w:r>
      <w:r w:rsidR="004C34BB" w:rsidRPr="004C34BB">
        <w:rPr>
          <w:noProof/>
          <w:lang w:val="en-US"/>
        </w:rPr>
        <w:t>)</w:t>
      </w:r>
      <w:r w:rsidRPr="00863252">
        <w:rPr>
          <w:noProof/>
          <w:lang w:val="en-US"/>
        </w:rPr>
        <w:t>, 421-423</w:t>
      </w:r>
      <w:r w:rsidR="004C34BB">
        <w:rPr>
          <w:noProof/>
          <w:lang w:val="en-US"/>
        </w:rPr>
        <w:t xml:space="preserve"> (</w:t>
      </w:r>
      <w:r w:rsidRPr="00863252">
        <w:rPr>
          <w:noProof/>
          <w:lang w:val="en-US"/>
        </w:rPr>
        <w:t>2017</w:t>
      </w:r>
      <w:r w:rsidR="004C34BB" w:rsidRPr="004C34BB">
        <w:rPr>
          <w:noProof/>
          <w:lang w:val="en-US"/>
        </w:rPr>
        <w:t>)</w:t>
      </w:r>
      <w:r w:rsidRPr="00863252">
        <w:rPr>
          <w:noProof/>
          <w:lang w:val="en-US"/>
        </w:rPr>
        <w:t>.</w:t>
      </w:r>
    </w:p>
    <w:p w14:paraId="78D90F10" w14:textId="6F6D4127" w:rsidR="00F935C7" w:rsidRPr="00863252" w:rsidRDefault="00F935C7" w:rsidP="004C34BB">
      <w:pPr>
        <w:pStyle w:val="EndNoteBibliography"/>
        <w:contextualSpacing/>
        <w:jc w:val="both"/>
        <w:rPr>
          <w:noProof/>
          <w:lang w:val="en-US"/>
        </w:rPr>
      </w:pPr>
      <w:r w:rsidRPr="00863252">
        <w:rPr>
          <w:noProof/>
          <w:lang w:val="en-US"/>
        </w:rPr>
        <w:t>26</w:t>
      </w:r>
      <w:r w:rsidRPr="00863252">
        <w:rPr>
          <w:noProof/>
          <w:lang w:val="en-US"/>
        </w:rPr>
        <w:tab/>
        <w:t>Corbett-Nelson, E. F., Mason, D., Marshall, J. G., Collette, Y.</w:t>
      </w:r>
      <w:r w:rsidR="004C34BB">
        <w:rPr>
          <w:noProof/>
          <w:lang w:val="en-US"/>
        </w:rPr>
        <w:t xml:space="preserve">, </w:t>
      </w:r>
      <w:r w:rsidRPr="00863252">
        <w:rPr>
          <w:noProof/>
          <w:lang w:val="en-US"/>
        </w:rPr>
        <w:t xml:space="preserve">Grinstein, S. Signaling-dependent immobilization of acylated proteins in the inner monolayer of the plasma membrane. </w:t>
      </w:r>
      <w:r w:rsidR="00962961">
        <w:rPr>
          <w:i/>
          <w:noProof/>
          <w:lang w:val="en-US"/>
        </w:rPr>
        <w:t>Journal of Cell Biology</w:t>
      </w:r>
      <w:r w:rsidRPr="00863252">
        <w:rPr>
          <w:i/>
          <w:noProof/>
          <w:lang w:val="en-US"/>
        </w:rPr>
        <w:t>.</w:t>
      </w:r>
      <w:r w:rsidRPr="00863252">
        <w:rPr>
          <w:noProof/>
          <w:lang w:val="en-US"/>
        </w:rPr>
        <w:t xml:space="preserve"> </w:t>
      </w:r>
      <w:r w:rsidRPr="00863252">
        <w:rPr>
          <w:b/>
          <w:noProof/>
          <w:lang w:val="en-US"/>
        </w:rPr>
        <w:t>174</w:t>
      </w:r>
      <w:r w:rsidRPr="00863252">
        <w:rPr>
          <w:noProof/>
          <w:lang w:val="en-US"/>
        </w:rPr>
        <w:t xml:space="preserve"> </w:t>
      </w:r>
      <w:r w:rsidR="004C34BB" w:rsidRPr="004C34BB">
        <w:rPr>
          <w:noProof/>
          <w:lang w:val="en-US"/>
        </w:rPr>
        <w:t>(</w:t>
      </w:r>
      <w:r w:rsidRPr="00863252">
        <w:rPr>
          <w:noProof/>
          <w:lang w:val="en-US"/>
        </w:rPr>
        <w:t>2</w:t>
      </w:r>
      <w:r w:rsidR="004C34BB" w:rsidRPr="004C34BB">
        <w:rPr>
          <w:noProof/>
          <w:lang w:val="en-US"/>
        </w:rPr>
        <w:t>)</w:t>
      </w:r>
      <w:r w:rsidRPr="00863252">
        <w:rPr>
          <w:noProof/>
          <w:lang w:val="en-US"/>
        </w:rPr>
        <w:t>, 255-265</w:t>
      </w:r>
      <w:r w:rsidR="004C34BB">
        <w:rPr>
          <w:noProof/>
          <w:lang w:val="en-US"/>
        </w:rPr>
        <w:t xml:space="preserve"> (</w:t>
      </w:r>
      <w:r w:rsidRPr="00863252">
        <w:rPr>
          <w:noProof/>
          <w:lang w:val="en-US"/>
        </w:rPr>
        <w:t>2006</w:t>
      </w:r>
      <w:r w:rsidR="004C34BB" w:rsidRPr="004C34BB">
        <w:rPr>
          <w:noProof/>
          <w:lang w:val="en-US"/>
        </w:rPr>
        <w:t>)</w:t>
      </w:r>
      <w:r w:rsidRPr="00863252">
        <w:rPr>
          <w:noProof/>
          <w:lang w:val="en-US"/>
        </w:rPr>
        <w:t>.</w:t>
      </w:r>
    </w:p>
    <w:p w14:paraId="3A23D57E" w14:textId="7E195FA7" w:rsidR="00F935C7" w:rsidRPr="00863252" w:rsidRDefault="00F935C7" w:rsidP="004C34BB">
      <w:pPr>
        <w:pStyle w:val="EndNoteBibliography"/>
        <w:contextualSpacing/>
        <w:jc w:val="both"/>
        <w:rPr>
          <w:noProof/>
          <w:lang w:val="en-US"/>
        </w:rPr>
      </w:pPr>
      <w:r w:rsidRPr="00863252">
        <w:rPr>
          <w:noProof/>
          <w:lang w:val="en-US"/>
        </w:rPr>
        <w:t>27</w:t>
      </w:r>
      <w:r w:rsidRPr="00863252">
        <w:rPr>
          <w:noProof/>
          <w:lang w:val="en-US"/>
        </w:rPr>
        <w:tab/>
        <w:t>Yeung, T.</w:t>
      </w:r>
      <w:r w:rsidRPr="00863252">
        <w:rPr>
          <w:i/>
          <w:noProof/>
          <w:lang w:val="en-US"/>
        </w:rPr>
        <w:t xml:space="preserve"> et al.</w:t>
      </w:r>
      <w:r w:rsidRPr="00863252">
        <w:rPr>
          <w:noProof/>
          <w:lang w:val="en-US"/>
        </w:rPr>
        <w:t xml:space="preserve"> Receptor activation alters inner surface potential during phagocytosis. </w:t>
      </w:r>
      <w:r w:rsidRPr="00863252">
        <w:rPr>
          <w:i/>
          <w:noProof/>
          <w:lang w:val="en-US"/>
        </w:rPr>
        <w:t>Science.</w:t>
      </w:r>
      <w:r w:rsidRPr="00863252">
        <w:rPr>
          <w:noProof/>
          <w:lang w:val="en-US"/>
        </w:rPr>
        <w:t xml:space="preserve"> </w:t>
      </w:r>
      <w:r w:rsidRPr="00863252">
        <w:rPr>
          <w:b/>
          <w:noProof/>
          <w:lang w:val="en-US"/>
        </w:rPr>
        <w:t>313</w:t>
      </w:r>
      <w:r w:rsidRPr="00863252">
        <w:rPr>
          <w:noProof/>
          <w:lang w:val="en-US"/>
        </w:rPr>
        <w:t xml:space="preserve"> </w:t>
      </w:r>
      <w:r w:rsidR="004C34BB" w:rsidRPr="004C34BB">
        <w:rPr>
          <w:noProof/>
          <w:lang w:val="en-US"/>
        </w:rPr>
        <w:t>(</w:t>
      </w:r>
      <w:r w:rsidRPr="00863252">
        <w:rPr>
          <w:noProof/>
          <w:lang w:val="en-US"/>
        </w:rPr>
        <w:t>5785</w:t>
      </w:r>
      <w:r w:rsidR="004C34BB" w:rsidRPr="004C34BB">
        <w:rPr>
          <w:noProof/>
          <w:lang w:val="en-US"/>
        </w:rPr>
        <w:t>)</w:t>
      </w:r>
      <w:r w:rsidRPr="00863252">
        <w:rPr>
          <w:noProof/>
          <w:lang w:val="en-US"/>
        </w:rPr>
        <w:t>, 347-351</w:t>
      </w:r>
      <w:r w:rsidR="004C34BB">
        <w:rPr>
          <w:noProof/>
          <w:lang w:val="en-US"/>
        </w:rPr>
        <w:t xml:space="preserve"> (</w:t>
      </w:r>
      <w:r w:rsidRPr="00863252">
        <w:rPr>
          <w:noProof/>
          <w:lang w:val="en-US"/>
        </w:rPr>
        <w:t>2006</w:t>
      </w:r>
      <w:r w:rsidR="004C34BB" w:rsidRPr="004C34BB">
        <w:rPr>
          <w:noProof/>
          <w:lang w:val="en-US"/>
        </w:rPr>
        <w:t>)</w:t>
      </w:r>
      <w:r w:rsidRPr="00863252">
        <w:rPr>
          <w:noProof/>
          <w:lang w:val="en-US"/>
        </w:rPr>
        <w:t>.</w:t>
      </w:r>
    </w:p>
    <w:p w14:paraId="0BC22635" w14:textId="2054FD29" w:rsidR="00F935C7" w:rsidRPr="00863252" w:rsidRDefault="00F935C7" w:rsidP="004C34BB">
      <w:pPr>
        <w:pStyle w:val="EndNoteBibliography"/>
        <w:contextualSpacing/>
        <w:jc w:val="both"/>
        <w:rPr>
          <w:noProof/>
          <w:lang w:val="en-US"/>
        </w:rPr>
      </w:pPr>
      <w:r w:rsidRPr="00863252">
        <w:rPr>
          <w:noProof/>
          <w:lang w:val="en-US"/>
        </w:rPr>
        <w:t>28</w:t>
      </w:r>
      <w:r w:rsidRPr="00863252">
        <w:rPr>
          <w:noProof/>
          <w:lang w:val="en-US"/>
        </w:rPr>
        <w:tab/>
        <w:t>Romano, P. S., Gutierrez, M. G., Beron, W., Rabinovitch, M.</w:t>
      </w:r>
      <w:r w:rsidR="004C34BB">
        <w:rPr>
          <w:noProof/>
          <w:lang w:val="en-US"/>
        </w:rPr>
        <w:t xml:space="preserve">, </w:t>
      </w:r>
      <w:r w:rsidRPr="00863252">
        <w:rPr>
          <w:noProof/>
          <w:lang w:val="en-US"/>
        </w:rPr>
        <w:t xml:space="preserve">Colombo, M. I. The autophagic pathway is actively modulated by phase II Coxiella burnetii to efficiently replicate in the host cell. </w:t>
      </w:r>
      <w:r w:rsidR="00962961">
        <w:rPr>
          <w:i/>
          <w:noProof/>
          <w:lang w:val="en-US"/>
        </w:rPr>
        <w:t>Cellular Microbiology</w:t>
      </w:r>
      <w:r w:rsidRPr="00863252">
        <w:rPr>
          <w:i/>
          <w:noProof/>
          <w:lang w:val="en-US"/>
        </w:rPr>
        <w:t>.</w:t>
      </w:r>
      <w:r w:rsidRPr="00863252">
        <w:rPr>
          <w:noProof/>
          <w:lang w:val="en-US"/>
        </w:rPr>
        <w:t xml:space="preserve"> </w:t>
      </w:r>
      <w:r w:rsidRPr="00863252">
        <w:rPr>
          <w:b/>
          <w:noProof/>
          <w:lang w:val="en-US"/>
        </w:rPr>
        <w:t>9</w:t>
      </w:r>
      <w:r w:rsidRPr="00863252">
        <w:rPr>
          <w:noProof/>
          <w:lang w:val="en-US"/>
        </w:rPr>
        <w:t xml:space="preserve"> </w:t>
      </w:r>
      <w:r w:rsidR="004C34BB" w:rsidRPr="004C34BB">
        <w:rPr>
          <w:noProof/>
          <w:lang w:val="en-US"/>
        </w:rPr>
        <w:t>(</w:t>
      </w:r>
      <w:r w:rsidRPr="00863252">
        <w:rPr>
          <w:noProof/>
          <w:lang w:val="en-US"/>
        </w:rPr>
        <w:t>4</w:t>
      </w:r>
      <w:r w:rsidR="004C34BB" w:rsidRPr="004C34BB">
        <w:rPr>
          <w:noProof/>
          <w:lang w:val="en-US"/>
        </w:rPr>
        <w:t>)</w:t>
      </w:r>
      <w:r w:rsidRPr="00863252">
        <w:rPr>
          <w:noProof/>
          <w:lang w:val="en-US"/>
        </w:rPr>
        <w:t>, 891-909</w:t>
      </w:r>
      <w:r w:rsidR="004C34BB">
        <w:rPr>
          <w:noProof/>
          <w:lang w:val="en-US"/>
        </w:rPr>
        <w:t xml:space="preserve"> (</w:t>
      </w:r>
      <w:r w:rsidRPr="00863252">
        <w:rPr>
          <w:noProof/>
          <w:lang w:val="en-US"/>
        </w:rPr>
        <w:t>2007</w:t>
      </w:r>
      <w:r w:rsidR="004C34BB" w:rsidRPr="004C34BB">
        <w:rPr>
          <w:noProof/>
          <w:lang w:val="en-US"/>
        </w:rPr>
        <w:t>)</w:t>
      </w:r>
      <w:r w:rsidRPr="00863252">
        <w:rPr>
          <w:noProof/>
          <w:lang w:val="en-US"/>
        </w:rPr>
        <w:t>.</w:t>
      </w:r>
    </w:p>
    <w:p w14:paraId="32407428" w14:textId="1372698B" w:rsidR="00F935C7" w:rsidRPr="00863252" w:rsidRDefault="00F935C7" w:rsidP="004C34BB">
      <w:pPr>
        <w:pStyle w:val="EndNoteBibliography"/>
        <w:contextualSpacing/>
        <w:jc w:val="both"/>
        <w:rPr>
          <w:noProof/>
          <w:lang w:val="en-US"/>
        </w:rPr>
      </w:pPr>
      <w:r w:rsidRPr="00863252">
        <w:rPr>
          <w:noProof/>
          <w:lang w:val="en-US"/>
        </w:rPr>
        <w:t>29</w:t>
      </w:r>
      <w:r w:rsidRPr="00863252">
        <w:rPr>
          <w:noProof/>
          <w:lang w:val="en-US"/>
        </w:rPr>
        <w:tab/>
        <w:t>Vieira, O. V.</w:t>
      </w:r>
      <w:r w:rsidRPr="00863252">
        <w:rPr>
          <w:i/>
          <w:noProof/>
          <w:lang w:val="en-US"/>
        </w:rPr>
        <w:t xml:space="preserve"> et al.</w:t>
      </w:r>
      <w:r w:rsidRPr="00863252">
        <w:rPr>
          <w:noProof/>
          <w:lang w:val="en-US"/>
        </w:rPr>
        <w:t xml:space="preserve"> Modulation of Rab5 and Rab7 recruitment to phagosomes by phosphatidylinositol 3-kinase. </w:t>
      </w:r>
      <w:r w:rsidR="00962961">
        <w:rPr>
          <w:i/>
          <w:noProof/>
          <w:lang w:val="en-US"/>
        </w:rPr>
        <w:t>Molecular and Cellular Biology</w:t>
      </w:r>
      <w:r w:rsidRPr="00863252">
        <w:rPr>
          <w:i/>
          <w:noProof/>
          <w:lang w:val="en-US"/>
        </w:rPr>
        <w:t>.</w:t>
      </w:r>
      <w:r w:rsidRPr="00863252">
        <w:rPr>
          <w:noProof/>
          <w:lang w:val="en-US"/>
        </w:rPr>
        <w:t xml:space="preserve"> </w:t>
      </w:r>
      <w:r w:rsidRPr="00863252">
        <w:rPr>
          <w:b/>
          <w:noProof/>
          <w:lang w:val="en-US"/>
        </w:rPr>
        <w:t>23</w:t>
      </w:r>
      <w:r w:rsidRPr="00863252">
        <w:rPr>
          <w:noProof/>
          <w:lang w:val="en-US"/>
        </w:rPr>
        <w:t xml:space="preserve"> </w:t>
      </w:r>
      <w:r w:rsidR="004C34BB" w:rsidRPr="004C34BB">
        <w:rPr>
          <w:noProof/>
          <w:lang w:val="en-US"/>
        </w:rPr>
        <w:t>(</w:t>
      </w:r>
      <w:r w:rsidRPr="00863252">
        <w:rPr>
          <w:noProof/>
          <w:lang w:val="en-US"/>
        </w:rPr>
        <w:t>7</w:t>
      </w:r>
      <w:r w:rsidR="004C34BB" w:rsidRPr="004C34BB">
        <w:rPr>
          <w:noProof/>
          <w:lang w:val="en-US"/>
        </w:rPr>
        <w:t>)</w:t>
      </w:r>
      <w:r w:rsidRPr="00863252">
        <w:rPr>
          <w:noProof/>
          <w:lang w:val="en-US"/>
        </w:rPr>
        <w:t>, 2501-2514</w:t>
      </w:r>
      <w:r w:rsidR="004C34BB">
        <w:rPr>
          <w:noProof/>
          <w:lang w:val="en-US"/>
        </w:rPr>
        <w:t xml:space="preserve"> (</w:t>
      </w:r>
      <w:r w:rsidRPr="00863252">
        <w:rPr>
          <w:noProof/>
          <w:lang w:val="en-US"/>
        </w:rPr>
        <w:t>2003</w:t>
      </w:r>
      <w:r w:rsidR="004C34BB" w:rsidRPr="004C34BB">
        <w:rPr>
          <w:noProof/>
          <w:lang w:val="en-US"/>
        </w:rPr>
        <w:t>)</w:t>
      </w:r>
      <w:r w:rsidRPr="00863252">
        <w:rPr>
          <w:noProof/>
          <w:lang w:val="en-US"/>
        </w:rPr>
        <w:t>.</w:t>
      </w:r>
    </w:p>
    <w:p w14:paraId="6DB4DF25" w14:textId="6861732B" w:rsidR="00F935C7" w:rsidRPr="00863252" w:rsidRDefault="00F935C7" w:rsidP="004C34BB">
      <w:pPr>
        <w:pStyle w:val="EndNoteBibliography"/>
        <w:contextualSpacing/>
        <w:jc w:val="both"/>
        <w:rPr>
          <w:noProof/>
          <w:lang w:val="en-US"/>
        </w:rPr>
      </w:pPr>
      <w:r w:rsidRPr="00863252">
        <w:rPr>
          <w:noProof/>
          <w:lang w:val="en-US"/>
        </w:rPr>
        <w:t>30</w:t>
      </w:r>
      <w:r w:rsidRPr="00863252">
        <w:rPr>
          <w:noProof/>
          <w:lang w:val="en-US"/>
        </w:rPr>
        <w:tab/>
        <w:t>Roberts, R. L., Barbieri, M. A., Ullrich, J.</w:t>
      </w:r>
      <w:r w:rsidR="004C34BB">
        <w:rPr>
          <w:noProof/>
          <w:lang w:val="en-US"/>
        </w:rPr>
        <w:t xml:space="preserve">, </w:t>
      </w:r>
      <w:r w:rsidRPr="00863252">
        <w:rPr>
          <w:noProof/>
          <w:lang w:val="en-US"/>
        </w:rPr>
        <w:t xml:space="preserve">Stahl, P. D. Dynamics of rab5 activation in endocytosis and phagocytosis. </w:t>
      </w:r>
      <w:r w:rsidR="00962961">
        <w:rPr>
          <w:i/>
          <w:noProof/>
          <w:lang w:val="en-US"/>
        </w:rPr>
        <w:t>Journal of Leukocyte Biology</w:t>
      </w:r>
      <w:r w:rsidRPr="00863252">
        <w:rPr>
          <w:i/>
          <w:noProof/>
          <w:lang w:val="en-US"/>
        </w:rPr>
        <w:t>.</w:t>
      </w:r>
      <w:r w:rsidRPr="00863252">
        <w:rPr>
          <w:noProof/>
          <w:lang w:val="en-US"/>
        </w:rPr>
        <w:t xml:space="preserve"> </w:t>
      </w:r>
      <w:r w:rsidRPr="00863252">
        <w:rPr>
          <w:b/>
          <w:noProof/>
          <w:lang w:val="en-US"/>
        </w:rPr>
        <w:t>68</w:t>
      </w:r>
      <w:r w:rsidRPr="00863252">
        <w:rPr>
          <w:noProof/>
          <w:lang w:val="en-US"/>
        </w:rPr>
        <w:t xml:space="preserve"> </w:t>
      </w:r>
      <w:r w:rsidR="004C34BB" w:rsidRPr="004C34BB">
        <w:rPr>
          <w:noProof/>
          <w:lang w:val="en-US"/>
        </w:rPr>
        <w:t>(</w:t>
      </w:r>
      <w:r w:rsidRPr="00863252">
        <w:rPr>
          <w:noProof/>
          <w:lang w:val="en-US"/>
        </w:rPr>
        <w:t>5</w:t>
      </w:r>
      <w:r w:rsidR="004C34BB" w:rsidRPr="004C34BB">
        <w:rPr>
          <w:noProof/>
          <w:lang w:val="en-US"/>
        </w:rPr>
        <w:t>)</w:t>
      </w:r>
      <w:r w:rsidRPr="00863252">
        <w:rPr>
          <w:noProof/>
          <w:lang w:val="en-US"/>
        </w:rPr>
        <w:t>, 627-632</w:t>
      </w:r>
      <w:r w:rsidR="004C34BB">
        <w:rPr>
          <w:noProof/>
          <w:lang w:val="en-US"/>
        </w:rPr>
        <w:t xml:space="preserve"> (</w:t>
      </w:r>
      <w:r w:rsidRPr="00863252">
        <w:rPr>
          <w:noProof/>
          <w:lang w:val="en-US"/>
        </w:rPr>
        <w:t>2000</w:t>
      </w:r>
      <w:r w:rsidR="004C34BB" w:rsidRPr="004C34BB">
        <w:rPr>
          <w:noProof/>
          <w:lang w:val="en-US"/>
        </w:rPr>
        <w:t>)</w:t>
      </w:r>
      <w:r w:rsidRPr="00863252">
        <w:rPr>
          <w:noProof/>
          <w:lang w:val="en-US"/>
        </w:rPr>
        <w:t>.</w:t>
      </w:r>
    </w:p>
    <w:p w14:paraId="4EE18C9F" w14:textId="6281EF7F" w:rsidR="00F935C7" w:rsidRPr="00863252" w:rsidRDefault="00F935C7" w:rsidP="004C34BB">
      <w:pPr>
        <w:pStyle w:val="EndNoteBibliography"/>
        <w:contextualSpacing/>
        <w:jc w:val="both"/>
        <w:rPr>
          <w:noProof/>
          <w:lang w:val="en-US"/>
        </w:rPr>
      </w:pPr>
      <w:r w:rsidRPr="00863252">
        <w:rPr>
          <w:noProof/>
          <w:lang w:val="en-US"/>
        </w:rPr>
        <w:lastRenderedPageBreak/>
        <w:t>31</w:t>
      </w:r>
      <w:r w:rsidRPr="00863252">
        <w:rPr>
          <w:noProof/>
          <w:lang w:val="en-US"/>
        </w:rPr>
        <w:tab/>
        <w:t>Vitelli, R.</w:t>
      </w:r>
      <w:r w:rsidRPr="00863252">
        <w:rPr>
          <w:i/>
          <w:noProof/>
          <w:lang w:val="en-US"/>
        </w:rPr>
        <w:t xml:space="preserve"> et al.</w:t>
      </w:r>
      <w:r w:rsidRPr="00863252">
        <w:rPr>
          <w:noProof/>
          <w:lang w:val="en-US"/>
        </w:rPr>
        <w:t xml:space="preserve"> Role of the small GTPase Rab7 in the late endocytic pathway. </w:t>
      </w:r>
      <w:r w:rsidR="00962961">
        <w:rPr>
          <w:i/>
          <w:noProof/>
          <w:lang w:val="en-US"/>
        </w:rPr>
        <w:t>Journal of Biological Chemistry</w:t>
      </w:r>
      <w:r w:rsidRPr="00863252">
        <w:rPr>
          <w:i/>
          <w:noProof/>
          <w:lang w:val="en-US"/>
        </w:rPr>
        <w:t>.</w:t>
      </w:r>
      <w:r w:rsidRPr="00863252">
        <w:rPr>
          <w:noProof/>
          <w:lang w:val="en-US"/>
        </w:rPr>
        <w:t xml:space="preserve"> </w:t>
      </w:r>
      <w:r w:rsidRPr="00863252">
        <w:rPr>
          <w:b/>
          <w:noProof/>
          <w:lang w:val="en-US"/>
        </w:rPr>
        <w:t>272</w:t>
      </w:r>
      <w:r w:rsidRPr="00863252">
        <w:rPr>
          <w:noProof/>
          <w:lang w:val="en-US"/>
        </w:rPr>
        <w:t xml:space="preserve"> </w:t>
      </w:r>
      <w:r w:rsidR="004C34BB" w:rsidRPr="004C34BB">
        <w:rPr>
          <w:noProof/>
          <w:lang w:val="en-US"/>
        </w:rPr>
        <w:t>(</w:t>
      </w:r>
      <w:r w:rsidRPr="00863252">
        <w:rPr>
          <w:noProof/>
          <w:lang w:val="en-US"/>
        </w:rPr>
        <w:t>7</w:t>
      </w:r>
      <w:r w:rsidR="004C34BB" w:rsidRPr="004C34BB">
        <w:rPr>
          <w:noProof/>
          <w:lang w:val="en-US"/>
        </w:rPr>
        <w:t>)</w:t>
      </w:r>
      <w:r w:rsidRPr="00863252">
        <w:rPr>
          <w:noProof/>
          <w:lang w:val="en-US"/>
        </w:rPr>
        <w:t>, 4391-4397</w:t>
      </w:r>
      <w:r w:rsidR="004C34BB">
        <w:rPr>
          <w:noProof/>
          <w:lang w:val="en-US"/>
        </w:rPr>
        <w:t xml:space="preserve"> (</w:t>
      </w:r>
      <w:r w:rsidRPr="00863252">
        <w:rPr>
          <w:noProof/>
          <w:lang w:val="en-US"/>
        </w:rPr>
        <w:t>1997</w:t>
      </w:r>
      <w:r w:rsidR="004C34BB" w:rsidRPr="004C34BB">
        <w:rPr>
          <w:noProof/>
          <w:lang w:val="en-US"/>
        </w:rPr>
        <w:t>)</w:t>
      </w:r>
      <w:r w:rsidRPr="00863252">
        <w:rPr>
          <w:noProof/>
          <w:lang w:val="en-US"/>
        </w:rPr>
        <w:t>.</w:t>
      </w:r>
    </w:p>
    <w:p w14:paraId="3DDC851B" w14:textId="4D9F2D7E" w:rsidR="00F935C7" w:rsidRPr="00863252" w:rsidRDefault="00F935C7" w:rsidP="004C34BB">
      <w:pPr>
        <w:pStyle w:val="EndNoteBibliography"/>
        <w:contextualSpacing/>
        <w:jc w:val="both"/>
        <w:rPr>
          <w:noProof/>
          <w:lang w:val="en-US"/>
        </w:rPr>
      </w:pPr>
      <w:r w:rsidRPr="00863252">
        <w:rPr>
          <w:noProof/>
          <w:lang w:val="en-US"/>
        </w:rPr>
        <w:t>32</w:t>
      </w:r>
      <w:r w:rsidRPr="00863252">
        <w:rPr>
          <w:noProof/>
          <w:lang w:val="en-US"/>
        </w:rPr>
        <w:tab/>
        <w:t>Matte, C.</w:t>
      </w:r>
      <w:r w:rsidRPr="00863252">
        <w:rPr>
          <w:i/>
          <w:noProof/>
          <w:lang w:val="en-US"/>
        </w:rPr>
        <w:t xml:space="preserve"> et al.</w:t>
      </w:r>
      <w:r w:rsidRPr="00863252">
        <w:rPr>
          <w:noProof/>
          <w:lang w:val="en-US"/>
        </w:rPr>
        <w:t xml:space="preserve"> Leishmania major Promastigotes Evade LC3-Associated Phagocytosis through the Action of GP63. </w:t>
      </w:r>
      <w:r w:rsidRPr="00863252">
        <w:rPr>
          <w:i/>
          <w:noProof/>
          <w:lang w:val="en-US"/>
        </w:rPr>
        <w:t>PLoS Pathog</w:t>
      </w:r>
      <w:r w:rsidR="00962961">
        <w:rPr>
          <w:i/>
          <w:noProof/>
          <w:lang w:val="en-US"/>
        </w:rPr>
        <w:t>ens</w:t>
      </w:r>
      <w:r w:rsidRPr="00863252">
        <w:rPr>
          <w:i/>
          <w:noProof/>
          <w:lang w:val="en-US"/>
        </w:rPr>
        <w:t>.</w:t>
      </w:r>
      <w:r w:rsidRPr="00863252">
        <w:rPr>
          <w:noProof/>
          <w:lang w:val="en-US"/>
        </w:rPr>
        <w:t xml:space="preserve"> </w:t>
      </w:r>
      <w:r w:rsidRPr="00863252">
        <w:rPr>
          <w:b/>
          <w:noProof/>
          <w:lang w:val="en-US"/>
        </w:rPr>
        <w:t>12</w:t>
      </w:r>
      <w:r w:rsidRPr="00863252">
        <w:rPr>
          <w:noProof/>
          <w:lang w:val="en-US"/>
        </w:rPr>
        <w:t xml:space="preserve"> </w:t>
      </w:r>
      <w:r w:rsidR="004C34BB" w:rsidRPr="004C34BB">
        <w:rPr>
          <w:noProof/>
          <w:lang w:val="en-US"/>
        </w:rPr>
        <w:t>(</w:t>
      </w:r>
      <w:r w:rsidRPr="00863252">
        <w:rPr>
          <w:noProof/>
          <w:lang w:val="en-US"/>
        </w:rPr>
        <w:t>6</w:t>
      </w:r>
      <w:r w:rsidR="004C34BB" w:rsidRPr="004C34BB">
        <w:rPr>
          <w:noProof/>
          <w:lang w:val="en-US"/>
        </w:rPr>
        <w:t>)</w:t>
      </w:r>
      <w:r w:rsidRPr="00863252">
        <w:rPr>
          <w:noProof/>
          <w:lang w:val="en-US"/>
        </w:rPr>
        <w:t>, e1005690</w:t>
      </w:r>
      <w:r w:rsidR="004C34BB">
        <w:rPr>
          <w:noProof/>
          <w:lang w:val="en-US"/>
        </w:rPr>
        <w:t xml:space="preserve"> (</w:t>
      </w:r>
      <w:r w:rsidRPr="00863252">
        <w:rPr>
          <w:noProof/>
          <w:lang w:val="en-US"/>
        </w:rPr>
        <w:t>2016</w:t>
      </w:r>
      <w:r w:rsidR="004C34BB" w:rsidRPr="004C34BB">
        <w:rPr>
          <w:noProof/>
          <w:lang w:val="en-US"/>
        </w:rPr>
        <w:t>)</w:t>
      </w:r>
      <w:r w:rsidRPr="00863252">
        <w:rPr>
          <w:noProof/>
          <w:lang w:val="en-US"/>
        </w:rPr>
        <w:t>.</w:t>
      </w:r>
    </w:p>
    <w:p w14:paraId="4FEB3260" w14:textId="6AC956AF" w:rsidR="00F935C7" w:rsidRPr="00863252" w:rsidRDefault="00F935C7" w:rsidP="004C34BB">
      <w:pPr>
        <w:pStyle w:val="EndNoteBibliography"/>
        <w:contextualSpacing/>
        <w:jc w:val="both"/>
        <w:rPr>
          <w:noProof/>
          <w:lang w:val="en-US"/>
        </w:rPr>
      </w:pPr>
      <w:r w:rsidRPr="00863252">
        <w:rPr>
          <w:noProof/>
          <w:lang w:val="en-US"/>
        </w:rPr>
        <w:t>33</w:t>
      </w:r>
      <w:r w:rsidRPr="00863252">
        <w:rPr>
          <w:noProof/>
          <w:lang w:val="en-US"/>
        </w:rPr>
        <w:tab/>
        <w:t>Dias, B. R. S.</w:t>
      </w:r>
      <w:r w:rsidRPr="00863252">
        <w:rPr>
          <w:i/>
          <w:noProof/>
          <w:lang w:val="en-US"/>
        </w:rPr>
        <w:t xml:space="preserve"> et al.</w:t>
      </w:r>
      <w:r w:rsidRPr="00863252">
        <w:rPr>
          <w:noProof/>
          <w:lang w:val="en-US"/>
        </w:rPr>
        <w:t xml:space="preserve"> Autophagic Induction Greatly Enhances Leishmania major Intracellular Survival Compared to Leishmania amazonensis in CBA/j-Infected Macrophages. </w:t>
      </w:r>
      <w:r w:rsidR="00962961">
        <w:rPr>
          <w:i/>
          <w:noProof/>
          <w:lang w:val="en-US"/>
        </w:rPr>
        <w:t>Frontiers in Microbiology</w:t>
      </w:r>
      <w:r w:rsidRPr="00863252">
        <w:rPr>
          <w:i/>
          <w:noProof/>
          <w:lang w:val="en-US"/>
        </w:rPr>
        <w:t>.</w:t>
      </w:r>
      <w:r w:rsidRPr="00863252">
        <w:rPr>
          <w:noProof/>
          <w:lang w:val="en-US"/>
        </w:rPr>
        <w:t xml:space="preserve"> </w:t>
      </w:r>
      <w:r w:rsidRPr="00863252">
        <w:rPr>
          <w:b/>
          <w:noProof/>
          <w:lang w:val="en-US"/>
        </w:rPr>
        <w:t>9</w:t>
      </w:r>
      <w:r w:rsidR="00962961" w:rsidRPr="00863252">
        <w:rPr>
          <w:noProof/>
        </w:rPr>
        <w:t>,</w:t>
      </w:r>
      <w:r w:rsidRPr="00863252">
        <w:rPr>
          <w:noProof/>
          <w:lang w:val="en-US"/>
        </w:rPr>
        <w:t xml:space="preserve"> 1890</w:t>
      </w:r>
      <w:r w:rsidR="004C34BB">
        <w:rPr>
          <w:noProof/>
          <w:lang w:val="en-US"/>
        </w:rPr>
        <w:t xml:space="preserve"> (</w:t>
      </w:r>
      <w:r w:rsidRPr="00863252">
        <w:rPr>
          <w:noProof/>
          <w:lang w:val="en-US"/>
        </w:rPr>
        <w:t>2018</w:t>
      </w:r>
      <w:r w:rsidR="004C34BB" w:rsidRPr="004C34BB">
        <w:rPr>
          <w:noProof/>
          <w:lang w:val="en-US"/>
        </w:rPr>
        <w:t>)</w:t>
      </w:r>
      <w:r w:rsidRPr="00863252">
        <w:rPr>
          <w:noProof/>
          <w:lang w:val="en-US"/>
        </w:rPr>
        <w:t>.</w:t>
      </w:r>
    </w:p>
    <w:p w14:paraId="0CF8775A" w14:textId="18BFC06B" w:rsidR="00F935C7" w:rsidRPr="00863252" w:rsidRDefault="00F935C7" w:rsidP="004C34BB">
      <w:pPr>
        <w:pStyle w:val="EndNoteBibliography"/>
        <w:contextualSpacing/>
        <w:jc w:val="both"/>
        <w:rPr>
          <w:noProof/>
          <w:lang w:val="en-US"/>
        </w:rPr>
      </w:pPr>
      <w:r w:rsidRPr="00863252">
        <w:rPr>
          <w:noProof/>
          <w:lang w:val="en-US"/>
        </w:rPr>
        <w:t>34</w:t>
      </w:r>
      <w:r w:rsidRPr="00863252">
        <w:rPr>
          <w:noProof/>
          <w:lang w:val="en-US"/>
        </w:rPr>
        <w:tab/>
        <w:t xml:space="preserve">Babcock, G. F. Quantitation of phagocytosis by confocal microscopy. </w:t>
      </w:r>
      <w:r w:rsidR="00962961">
        <w:rPr>
          <w:i/>
          <w:noProof/>
          <w:lang w:val="en-US"/>
        </w:rPr>
        <w:t>Methods in Enzymology</w:t>
      </w:r>
      <w:r w:rsidRPr="00863252">
        <w:rPr>
          <w:i/>
          <w:noProof/>
          <w:lang w:val="en-US"/>
        </w:rPr>
        <w:t>.</w:t>
      </w:r>
      <w:r w:rsidRPr="00863252">
        <w:rPr>
          <w:noProof/>
          <w:lang w:val="en-US"/>
        </w:rPr>
        <w:t xml:space="preserve"> </w:t>
      </w:r>
      <w:r w:rsidRPr="00863252">
        <w:rPr>
          <w:b/>
          <w:noProof/>
          <w:lang w:val="en-US"/>
        </w:rPr>
        <w:t>307</w:t>
      </w:r>
      <w:r w:rsidR="00962961" w:rsidRPr="00863252">
        <w:rPr>
          <w:noProof/>
        </w:rPr>
        <w:t>,</w:t>
      </w:r>
      <w:r w:rsidRPr="00863252">
        <w:rPr>
          <w:noProof/>
          <w:lang w:val="en-US"/>
        </w:rPr>
        <w:t xml:space="preserve"> 319-328</w:t>
      </w:r>
      <w:r w:rsidR="004C34BB">
        <w:rPr>
          <w:noProof/>
          <w:lang w:val="en-US"/>
        </w:rPr>
        <w:t xml:space="preserve"> (</w:t>
      </w:r>
      <w:r w:rsidRPr="00863252">
        <w:rPr>
          <w:noProof/>
          <w:lang w:val="en-US"/>
        </w:rPr>
        <w:t>1999</w:t>
      </w:r>
      <w:r w:rsidR="004C34BB" w:rsidRPr="004C34BB">
        <w:rPr>
          <w:noProof/>
          <w:lang w:val="en-US"/>
        </w:rPr>
        <w:t>)</w:t>
      </w:r>
      <w:r w:rsidRPr="00863252">
        <w:rPr>
          <w:noProof/>
          <w:lang w:val="en-US"/>
        </w:rPr>
        <w:t>.</w:t>
      </w:r>
    </w:p>
    <w:p w14:paraId="33076F71" w14:textId="039F7680" w:rsidR="00F935C7" w:rsidRPr="00863252" w:rsidRDefault="00F935C7" w:rsidP="004C34BB">
      <w:pPr>
        <w:pStyle w:val="EndNoteBibliography"/>
        <w:contextualSpacing/>
        <w:jc w:val="both"/>
        <w:rPr>
          <w:noProof/>
          <w:lang w:val="en-US"/>
        </w:rPr>
      </w:pPr>
      <w:r w:rsidRPr="00863252">
        <w:rPr>
          <w:noProof/>
          <w:lang w:val="en-US"/>
        </w:rPr>
        <w:t>35</w:t>
      </w:r>
      <w:r w:rsidRPr="00863252">
        <w:rPr>
          <w:noProof/>
          <w:lang w:val="en-US"/>
        </w:rPr>
        <w:tab/>
        <w:t>Sanderson, M. J., Smith, I., Parker, I.</w:t>
      </w:r>
      <w:r w:rsidR="004C34BB">
        <w:rPr>
          <w:noProof/>
          <w:lang w:val="en-US"/>
        </w:rPr>
        <w:t xml:space="preserve">, </w:t>
      </w:r>
      <w:r w:rsidRPr="00863252">
        <w:rPr>
          <w:noProof/>
          <w:lang w:val="en-US"/>
        </w:rPr>
        <w:t xml:space="preserve">Bootman, M. D. Fluorescence microscopy. </w:t>
      </w:r>
      <w:r w:rsidR="00962961">
        <w:rPr>
          <w:i/>
          <w:noProof/>
          <w:lang w:val="en-US"/>
        </w:rPr>
        <w:t>Cold Spring Harbor Protocols</w:t>
      </w:r>
      <w:r w:rsidRPr="00863252">
        <w:rPr>
          <w:i/>
          <w:noProof/>
          <w:lang w:val="en-US"/>
        </w:rPr>
        <w:t>.</w:t>
      </w:r>
      <w:r w:rsidRPr="00863252">
        <w:rPr>
          <w:noProof/>
          <w:lang w:val="en-US"/>
        </w:rPr>
        <w:t xml:space="preserve"> </w:t>
      </w:r>
      <w:r w:rsidRPr="00863252">
        <w:rPr>
          <w:b/>
          <w:noProof/>
          <w:lang w:val="en-US"/>
        </w:rPr>
        <w:t>2014</w:t>
      </w:r>
      <w:r w:rsidRPr="00863252">
        <w:rPr>
          <w:noProof/>
          <w:lang w:val="en-US"/>
        </w:rPr>
        <w:t xml:space="preserve"> </w:t>
      </w:r>
      <w:r w:rsidR="004C34BB" w:rsidRPr="004C34BB">
        <w:rPr>
          <w:noProof/>
          <w:lang w:val="en-US"/>
        </w:rPr>
        <w:t>(</w:t>
      </w:r>
      <w:r w:rsidRPr="00863252">
        <w:rPr>
          <w:noProof/>
          <w:lang w:val="en-US"/>
        </w:rPr>
        <w:t>10</w:t>
      </w:r>
      <w:r w:rsidR="004C34BB" w:rsidRPr="004C34BB">
        <w:rPr>
          <w:noProof/>
          <w:lang w:val="en-US"/>
        </w:rPr>
        <w:t>)</w:t>
      </w:r>
      <w:r w:rsidRPr="00863252">
        <w:rPr>
          <w:noProof/>
          <w:lang w:val="en-US"/>
        </w:rPr>
        <w:t>, pdb top071795</w:t>
      </w:r>
      <w:r w:rsidR="004C34BB">
        <w:rPr>
          <w:noProof/>
          <w:lang w:val="en-US"/>
        </w:rPr>
        <w:t xml:space="preserve"> (</w:t>
      </w:r>
      <w:r w:rsidRPr="00863252">
        <w:rPr>
          <w:noProof/>
          <w:lang w:val="en-US"/>
        </w:rPr>
        <w:t>2014</w:t>
      </w:r>
      <w:r w:rsidR="004C34BB" w:rsidRPr="004C34BB">
        <w:rPr>
          <w:noProof/>
          <w:lang w:val="en-US"/>
        </w:rPr>
        <w:t>)</w:t>
      </w:r>
      <w:r w:rsidRPr="00863252">
        <w:rPr>
          <w:noProof/>
          <w:lang w:val="en-US"/>
        </w:rPr>
        <w:t>.</w:t>
      </w:r>
    </w:p>
    <w:p w14:paraId="3F4B2149" w14:textId="1B8B66BB" w:rsidR="00F935C7" w:rsidRPr="00863252" w:rsidRDefault="00F935C7" w:rsidP="004C34BB">
      <w:pPr>
        <w:pStyle w:val="EndNoteBibliography"/>
        <w:contextualSpacing/>
        <w:jc w:val="both"/>
        <w:rPr>
          <w:noProof/>
          <w:lang w:val="en-US"/>
        </w:rPr>
      </w:pPr>
      <w:r w:rsidRPr="00863252">
        <w:rPr>
          <w:noProof/>
          <w:lang w:val="en-US"/>
        </w:rPr>
        <w:t>36</w:t>
      </w:r>
      <w:r w:rsidRPr="00863252">
        <w:rPr>
          <w:noProof/>
          <w:lang w:val="en-US"/>
        </w:rPr>
        <w:tab/>
        <w:t xml:space="preserve">Lennartz, M. R. Phospholipases and phagocytosis: the role of phospholipid-derived second messengers in phagocytosis. </w:t>
      </w:r>
      <w:r w:rsidR="00962961">
        <w:rPr>
          <w:i/>
          <w:noProof/>
          <w:lang w:val="en-US"/>
        </w:rPr>
        <w:t>International Journal of Biochemistry &amp; Cell Biology</w:t>
      </w:r>
      <w:r w:rsidRPr="00863252">
        <w:rPr>
          <w:i/>
          <w:noProof/>
          <w:lang w:val="en-US"/>
        </w:rPr>
        <w:t>.</w:t>
      </w:r>
      <w:r w:rsidRPr="00863252">
        <w:rPr>
          <w:noProof/>
          <w:lang w:val="en-US"/>
        </w:rPr>
        <w:t xml:space="preserve"> </w:t>
      </w:r>
      <w:r w:rsidRPr="00863252">
        <w:rPr>
          <w:b/>
          <w:noProof/>
          <w:lang w:val="en-US"/>
        </w:rPr>
        <w:t>31</w:t>
      </w:r>
      <w:r w:rsidRPr="00863252">
        <w:rPr>
          <w:noProof/>
          <w:lang w:val="en-US"/>
        </w:rPr>
        <w:t xml:space="preserve"> </w:t>
      </w:r>
      <w:r w:rsidR="004C34BB" w:rsidRPr="004C34BB">
        <w:rPr>
          <w:noProof/>
          <w:lang w:val="en-US"/>
        </w:rPr>
        <w:t>(</w:t>
      </w:r>
      <w:r w:rsidRPr="00863252">
        <w:rPr>
          <w:noProof/>
          <w:lang w:val="en-US"/>
        </w:rPr>
        <w:t>3-4</w:t>
      </w:r>
      <w:r w:rsidR="004C34BB" w:rsidRPr="004C34BB">
        <w:rPr>
          <w:noProof/>
          <w:lang w:val="en-US"/>
        </w:rPr>
        <w:t>)</w:t>
      </w:r>
      <w:r w:rsidRPr="00863252">
        <w:rPr>
          <w:noProof/>
          <w:lang w:val="en-US"/>
        </w:rPr>
        <w:t>, 415-430</w:t>
      </w:r>
      <w:r w:rsidR="004C34BB">
        <w:rPr>
          <w:noProof/>
          <w:lang w:val="en-US"/>
        </w:rPr>
        <w:t xml:space="preserve"> (</w:t>
      </w:r>
      <w:r w:rsidRPr="00863252">
        <w:rPr>
          <w:noProof/>
          <w:lang w:val="en-US"/>
        </w:rPr>
        <w:t>1999</w:t>
      </w:r>
      <w:r w:rsidR="004C34BB" w:rsidRPr="004C34BB">
        <w:rPr>
          <w:noProof/>
          <w:lang w:val="en-US"/>
        </w:rPr>
        <w:t>)</w:t>
      </w:r>
      <w:r w:rsidRPr="00863252">
        <w:rPr>
          <w:noProof/>
          <w:lang w:val="en-US"/>
        </w:rPr>
        <w:t>.</w:t>
      </w:r>
    </w:p>
    <w:p w14:paraId="4048C230" w14:textId="54BD6B44" w:rsidR="00F935C7" w:rsidRPr="00863252" w:rsidRDefault="00F935C7" w:rsidP="004C34BB">
      <w:pPr>
        <w:pStyle w:val="EndNoteBibliography"/>
        <w:contextualSpacing/>
        <w:jc w:val="both"/>
        <w:rPr>
          <w:noProof/>
          <w:lang w:val="en-US"/>
        </w:rPr>
      </w:pPr>
      <w:r w:rsidRPr="00863252">
        <w:rPr>
          <w:noProof/>
          <w:lang w:val="en-US"/>
        </w:rPr>
        <w:t>37</w:t>
      </w:r>
      <w:r w:rsidRPr="00863252">
        <w:rPr>
          <w:noProof/>
          <w:lang w:val="en-US"/>
        </w:rPr>
        <w:tab/>
        <w:t>Rashidfarrokhi, A., Richina, V.</w:t>
      </w:r>
      <w:r w:rsidR="004C34BB">
        <w:rPr>
          <w:noProof/>
          <w:lang w:val="en-US"/>
        </w:rPr>
        <w:t xml:space="preserve">, </w:t>
      </w:r>
      <w:r w:rsidRPr="00863252">
        <w:rPr>
          <w:noProof/>
          <w:lang w:val="en-US"/>
        </w:rPr>
        <w:t xml:space="preserve">Tafesse, F. G. Visualizing the Early Stages of Phagocytosis. </w:t>
      </w:r>
      <w:r w:rsidR="00962961">
        <w:rPr>
          <w:i/>
          <w:noProof/>
          <w:lang w:val="en-US"/>
        </w:rPr>
        <w:t>Journal of Visualized Experiments</w:t>
      </w:r>
      <w:r w:rsidRPr="00863252">
        <w:rPr>
          <w:i/>
          <w:noProof/>
          <w:lang w:val="en-US"/>
        </w:rPr>
        <w:t>.</w:t>
      </w:r>
      <w:r w:rsidRPr="00863252">
        <w:rPr>
          <w:noProof/>
          <w:lang w:val="en-US"/>
        </w:rPr>
        <w:t xml:space="preserve"> 10.3791/54646 </w:t>
      </w:r>
      <w:r w:rsidR="004C34BB" w:rsidRPr="004C34BB">
        <w:rPr>
          <w:noProof/>
          <w:lang w:val="en-US"/>
        </w:rPr>
        <w:t>(</w:t>
      </w:r>
      <w:r w:rsidRPr="00863252">
        <w:rPr>
          <w:noProof/>
          <w:lang w:val="en-US"/>
        </w:rPr>
        <w:t>120</w:t>
      </w:r>
      <w:r w:rsidR="004C34BB" w:rsidRPr="004C34BB">
        <w:rPr>
          <w:noProof/>
          <w:lang w:val="en-US"/>
        </w:rPr>
        <w:t>)</w:t>
      </w:r>
      <w:r w:rsidR="004C34BB">
        <w:rPr>
          <w:noProof/>
          <w:lang w:val="en-US"/>
        </w:rPr>
        <w:t xml:space="preserve"> (</w:t>
      </w:r>
      <w:r w:rsidRPr="00863252">
        <w:rPr>
          <w:noProof/>
          <w:lang w:val="en-US"/>
        </w:rPr>
        <w:t>2017</w:t>
      </w:r>
      <w:r w:rsidR="004C34BB" w:rsidRPr="004C34BB">
        <w:rPr>
          <w:noProof/>
          <w:lang w:val="en-US"/>
        </w:rPr>
        <w:t>)</w:t>
      </w:r>
      <w:r w:rsidRPr="00863252">
        <w:rPr>
          <w:noProof/>
          <w:lang w:val="en-US"/>
        </w:rPr>
        <w:t>.</w:t>
      </w:r>
    </w:p>
    <w:p w14:paraId="424E8F04" w14:textId="561D36F5" w:rsidR="00F935C7" w:rsidRPr="00863252" w:rsidRDefault="00F935C7" w:rsidP="004C34BB">
      <w:pPr>
        <w:pStyle w:val="EndNoteBibliography"/>
        <w:contextualSpacing/>
        <w:jc w:val="both"/>
        <w:rPr>
          <w:noProof/>
          <w:lang w:val="en-US"/>
        </w:rPr>
      </w:pPr>
      <w:r w:rsidRPr="00863252">
        <w:rPr>
          <w:noProof/>
          <w:lang w:val="en-US"/>
        </w:rPr>
        <w:t>38</w:t>
      </w:r>
      <w:r w:rsidRPr="00863252">
        <w:rPr>
          <w:noProof/>
          <w:lang w:val="en-US"/>
        </w:rPr>
        <w:tab/>
        <w:t>Ramarao, N.</w:t>
      </w:r>
      <w:r w:rsidR="004C34BB">
        <w:rPr>
          <w:noProof/>
          <w:lang w:val="en-US"/>
        </w:rPr>
        <w:t xml:space="preserve">, </w:t>
      </w:r>
      <w:r w:rsidRPr="00863252">
        <w:rPr>
          <w:noProof/>
          <w:lang w:val="en-US"/>
        </w:rPr>
        <w:t xml:space="preserve">Meyer, T. F. Helicobacter pylori resists phagocytosis by macrophages: quantitative assessment by confocal microscopy and fluorescence-activated cell sorting. </w:t>
      </w:r>
      <w:r w:rsidR="00962961">
        <w:rPr>
          <w:i/>
          <w:noProof/>
          <w:lang w:val="en-US"/>
        </w:rPr>
        <w:t>Infection and Immunity</w:t>
      </w:r>
      <w:r w:rsidRPr="00863252">
        <w:rPr>
          <w:i/>
          <w:noProof/>
          <w:lang w:val="en-US"/>
        </w:rPr>
        <w:t>.</w:t>
      </w:r>
      <w:r w:rsidRPr="00863252">
        <w:rPr>
          <w:noProof/>
          <w:lang w:val="en-US"/>
        </w:rPr>
        <w:t xml:space="preserve"> </w:t>
      </w:r>
      <w:r w:rsidRPr="00863252">
        <w:rPr>
          <w:b/>
          <w:noProof/>
          <w:lang w:val="en-US"/>
        </w:rPr>
        <w:t>69</w:t>
      </w:r>
      <w:r w:rsidRPr="00863252">
        <w:rPr>
          <w:noProof/>
          <w:lang w:val="en-US"/>
        </w:rPr>
        <w:t xml:space="preserve"> </w:t>
      </w:r>
      <w:r w:rsidR="004C34BB" w:rsidRPr="004C34BB">
        <w:rPr>
          <w:noProof/>
          <w:lang w:val="en-US"/>
        </w:rPr>
        <w:t>(</w:t>
      </w:r>
      <w:r w:rsidRPr="00863252">
        <w:rPr>
          <w:noProof/>
          <w:lang w:val="en-US"/>
        </w:rPr>
        <w:t>4</w:t>
      </w:r>
      <w:r w:rsidR="004C34BB" w:rsidRPr="004C34BB">
        <w:rPr>
          <w:noProof/>
          <w:lang w:val="en-US"/>
        </w:rPr>
        <w:t>)</w:t>
      </w:r>
      <w:r w:rsidRPr="00863252">
        <w:rPr>
          <w:noProof/>
          <w:lang w:val="en-US"/>
        </w:rPr>
        <w:t>, 2604-2611</w:t>
      </w:r>
      <w:r w:rsidR="004C34BB">
        <w:rPr>
          <w:noProof/>
          <w:lang w:val="en-US"/>
        </w:rPr>
        <w:t xml:space="preserve"> (</w:t>
      </w:r>
      <w:r w:rsidRPr="00863252">
        <w:rPr>
          <w:noProof/>
          <w:lang w:val="en-US"/>
        </w:rPr>
        <w:t>2001</w:t>
      </w:r>
      <w:r w:rsidR="004C34BB" w:rsidRPr="004C34BB">
        <w:rPr>
          <w:noProof/>
          <w:lang w:val="en-US"/>
        </w:rPr>
        <w:t>)</w:t>
      </w:r>
      <w:r w:rsidRPr="00863252">
        <w:rPr>
          <w:noProof/>
          <w:lang w:val="en-US"/>
        </w:rPr>
        <w:t>.</w:t>
      </w:r>
    </w:p>
    <w:p w14:paraId="5AD175A7" w14:textId="415F5E17" w:rsidR="00F935C7" w:rsidRPr="00863252" w:rsidRDefault="00F935C7" w:rsidP="004C34BB">
      <w:pPr>
        <w:pStyle w:val="EndNoteBibliography"/>
        <w:contextualSpacing/>
        <w:jc w:val="both"/>
        <w:rPr>
          <w:noProof/>
        </w:rPr>
      </w:pPr>
      <w:r w:rsidRPr="00863252">
        <w:rPr>
          <w:noProof/>
          <w:lang w:val="en-US"/>
        </w:rPr>
        <w:t>39</w:t>
      </w:r>
      <w:r w:rsidRPr="00863252">
        <w:rPr>
          <w:noProof/>
          <w:lang w:val="en-US"/>
        </w:rPr>
        <w:tab/>
        <w:t>Bain, J., Gow, N. A.</w:t>
      </w:r>
      <w:r w:rsidR="004C34BB">
        <w:rPr>
          <w:noProof/>
          <w:lang w:val="en-US"/>
        </w:rPr>
        <w:t xml:space="preserve">, </w:t>
      </w:r>
      <w:r w:rsidRPr="00863252">
        <w:rPr>
          <w:noProof/>
          <w:lang w:val="en-US"/>
        </w:rPr>
        <w:t xml:space="preserve">Erwig, L. P. Novel insights into host-fungal pathogen interactions derived from live-cell imaging. </w:t>
      </w:r>
      <w:r w:rsidR="00962961">
        <w:rPr>
          <w:i/>
          <w:noProof/>
        </w:rPr>
        <w:t>Seminars in Immunopathology</w:t>
      </w:r>
      <w:r w:rsidRPr="00863252">
        <w:rPr>
          <w:i/>
          <w:noProof/>
        </w:rPr>
        <w:t>.</w:t>
      </w:r>
      <w:r w:rsidRPr="00863252">
        <w:rPr>
          <w:noProof/>
        </w:rPr>
        <w:t xml:space="preserve"> </w:t>
      </w:r>
      <w:r w:rsidRPr="00863252">
        <w:rPr>
          <w:b/>
          <w:noProof/>
        </w:rPr>
        <w:t>37</w:t>
      </w:r>
      <w:r w:rsidRPr="00863252">
        <w:rPr>
          <w:noProof/>
        </w:rPr>
        <w:t xml:space="preserve"> </w:t>
      </w:r>
      <w:r w:rsidR="004C34BB" w:rsidRPr="004C34BB">
        <w:rPr>
          <w:noProof/>
        </w:rPr>
        <w:t>(</w:t>
      </w:r>
      <w:r w:rsidRPr="00863252">
        <w:rPr>
          <w:noProof/>
        </w:rPr>
        <w:t>2</w:t>
      </w:r>
      <w:r w:rsidR="004C34BB" w:rsidRPr="004C34BB">
        <w:rPr>
          <w:noProof/>
        </w:rPr>
        <w:t>)</w:t>
      </w:r>
      <w:r w:rsidRPr="00863252">
        <w:rPr>
          <w:noProof/>
        </w:rPr>
        <w:t>, 131-139</w:t>
      </w:r>
      <w:r w:rsidR="004C34BB">
        <w:rPr>
          <w:noProof/>
        </w:rPr>
        <w:t xml:space="preserve"> (</w:t>
      </w:r>
      <w:r w:rsidRPr="00863252">
        <w:rPr>
          <w:noProof/>
        </w:rPr>
        <w:t>2015</w:t>
      </w:r>
      <w:r w:rsidR="004C34BB" w:rsidRPr="004C34BB">
        <w:rPr>
          <w:noProof/>
        </w:rPr>
        <w:t>)</w:t>
      </w:r>
      <w:r w:rsidRPr="00863252">
        <w:rPr>
          <w:noProof/>
        </w:rPr>
        <w:t>.</w:t>
      </w:r>
    </w:p>
    <w:p w14:paraId="309B6268" w14:textId="77777777" w:rsidR="00F935C7" w:rsidRPr="00863252" w:rsidRDefault="00F935C7" w:rsidP="004C34BB">
      <w:pPr>
        <w:pBdr>
          <w:top w:val="nil"/>
          <w:left w:val="nil"/>
          <w:bottom w:val="nil"/>
          <w:right w:val="nil"/>
          <w:between w:val="nil"/>
        </w:pBdr>
        <w:contextualSpacing/>
        <w:rPr>
          <w:color w:val="7F7F7F"/>
        </w:rPr>
      </w:pPr>
    </w:p>
    <w:p w14:paraId="541B0858" w14:textId="77777777" w:rsidR="00BE15B1" w:rsidRPr="00863252" w:rsidRDefault="00BE15B1" w:rsidP="004C34BB">
      <w:pPr>
        <w:contextualSpacing/>
      </w:pPr>
    </w:p>
    <w:sectPr w:rsidR="00BE15B1" w:rsidRPr="00863252" w:rsidSect="009F5277">
      <w:headerReference w:type="even" r:id="rId16"/>
      <w:headerReference w:type="default" r:id="rId17"/>
      <w:footerReference w:type="even" r:id="rId18"/>
      <w:headerReference w:type="first" r:id="rId1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C8D0F" w14:textId="77777777" w:rsidR="00875DBC" w:rsidRDefault="00875DBC">
      <w:r>
        <w:separator/>
      </w:r>
    </w:p>
  </w:endnote>
  <w:endnote w:type="continuationSeparator" w:id="0">
    <w:p w14:paraId="4D91851B" w14:textId="77777777" w:rsidR="00875DBC" w:rsidRDefault="00875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A9E9E" w14:textId="77777777" w:rsidR="000D7755" w:rsidRDefault="000D775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30644" w14:textId="77777777" w:rsidR="00875DBC" w:rsidRDefault="00875DBC">
      <w:r>
        <w:separator/>
      </w:r>
    </w:p>
  </w:footnote>
  <w:footnote w:type="continuationSeparator" w:id="0">
    <w:p w14:paraId="0CF29361" w14:textId="77777777" w:rsidR="00875DBC" w:rsidRDefault="00875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8FB20" w14:textId="77777777" w:rsidR="000D7755" w:rsidRDefault="000D775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3457A" w14:textId="77777777" w:rsidR="000D7755" w:rsidRDefault="000D7755">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0AD69" w14:textId="77777777" w:rsidR="000D7755" w:rsidRDefault="000D7755">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t>Standard Manuscript Template</w:t>
    </w:r>
    <w:r>
      <w:rPr>
        <w:b/>
        <w:color w:val="1F497D"/>
        <w:sz w:val="32"/>
        <w:szCs w:val="32"/>
      </w:rPr>
      <w:br/>
    </w:r>
    <w:r>
      <w:rPr>
        <w:noProof/>
      </w:rPr>
      <w:drawing>
        <wp:anchor distT="0" distB="0" distL="0" distR="0" simplePos="0" relativeHeight="251659264" behindDoc="0" locked="0" layoutInCell="1" hidden="0" allowOverlap="1" wp14:anchorId="16C5C98F" wp14:editId="3CD24299">
          <wp:simplePos x="0" y="0"/>
          <wp:positionH relativeFrom="column">
            <wp:posOffset>0</wp:posOffset>
          </wp:positionH>
          <wp:positionV relativeFrom="paragraph">
            <wp:posOffset>-428624</wp:posOffset>
          </wp:positionV>
          <wp:extent cx="2843586" cy="934085"/>
          <wp:effectExtent l="0" t="0" r="0" b="0"/>
          <wp:wrapSquare wrapText="bothSides" distT="0" distB="0" distL="0" distR="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843586" cy="9340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17D73"/>
    <w:multiLevelType w:val="multilevel"/>
    <w:tmpl w:val="EDDEEA9E"/>
    <w:lvl w:ilvl="0">
      <w:start w:val="6"/>
      <w:numFmt w:val="decimal"/>
      <w:lvlText w:val="%1"/>
      <w:lvlJc w:val="left"/>
      <w:pPr>
        <w:ind w:left="480" w:hanging="480"/>
      </w:pPr>
      <w:rPr>
        <w:rFonts w:eastAsia="Calibri" w:hint="default"/>
      </w:rPr>
    </w:lvl>
    <w:lvl w:ilvl="1">
      <w:start w:val="5"/>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14BD389D"/>
    <w:multiLevelType w:val="hybridMultilevel"/>
    <w:tmpl w:val="F2AC3BA4"/>
    <w:lvl w:ilvl="0" w:tplc="0416000F">
      <w:start w:val="7"/>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3D0671D"/>
    <w:multiLevelType w:val="multilevel"/>
    <w:tmpl w:val="06C62F76"/>
    <w:lvl w:ilvl="0">
      <w:start w:val="7"/>
      <w:numFmt w:val="decimal"/>
      <w:lvlText w:val="%1"/>
      <w:lvlJc w:val="left"/>
      <w:pPr>
        <w:ind w:left="420" w:hanging="420"/>
      </w:pPr>
      <w:rPr>
        <w:rFonts w:hint="default"/>
      </w:rPr>
    </w:lvl>
    <w:lvl w:ilvl="1">
      <w:start w:val="15"/>
      <w:numFmt w:val="decimal"/>
      <w:lvlText w:val="%1.%2"/>
      <w:lvlJc w:val="left"/>
      <w:pPr>
        <w:ind w:left="800" w:hanging="42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2980" w:hanging="108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100" w:hanging="1440"/>
      </w:pPr>
      <w:rPr>
        <w:rFonts w:hint="default"/>
      </w:rPr>
    </w:lvl>
    <w:lvl w:ilvl="8">
      <w:start w:val="1"/>
      <w:numFmt w:val="decimal"/>
      <w:lvlText w:val="%1.%2.%3.%4.%5.%6.%7.%8.%9"/>
      <w:lvlJc w:val="left"/>
      <w:pPr>
        <w:ind w:left="4840" w:hanging="1800"/>
      </w:pPr>
      <w:rPr>
        <w:rFonts w:hint="default"/>
      </w:rPr>
    </w:lvl>
  </w:abstractNum>
  <w:abstractNum w:abstractNumId="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745F55"/>
    <w:multiLevelType w:val="multilevel"/>
    <w:tmpl w:val="AFF4912A"/>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b w:val="0"/>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6021AA9"/>
    <w:multiLevelType w:val="multilevel"/>
    <w:tmpl w:val="75D293FA"/>
    <w:lvl w:ilvl="0">
      <w:start w:val="8"/>
      <w:numFmt w:val="decimal"/>
      <w:lvlText w:val="%1"/>
      <w:lvlJc w:val="left"/>
      <w:pPr>
        <w:ind w:left="360" w:hanging="360"/>
      </w:pPr>
      <w:rPr>
        <w:rFonts w:hint="default"/>
        <w:b w:val="0"/>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15" w15:restartNumberingAfterBreak="0">
    <w:nsid w:val="68AE35AC"/>
    <w:multiLevelType w:val="multilevel"/>
    <w:tmpl w:val="9A08B014"/>
    <w:lvl w:ilvl="0">
      <w:start w:val="2"/>
      <w:numFmt w:val="decimal"/>
      <w:lvlText w:val="%1."/>
      <w:lvlJc w:val="left"/>
      <w:pPr>
        <w:ind w:left="360" w:hanging="360"/>
      </w:pPr>
      <w:rPr>
        <w:rFonts w:hint="default"/>
      </w:rPr>
    </w:lvl>
    <w:lvl w:ilvl="1">
      <w:start w:val="1"/>
      <w:numFmt w:val="decimal"/>
      <w:lvlText w:val="%1.%2"/>
      <w:lvlJc w:val="left"/>
      <w:pPr>
        <w:ind w:left="480" w:hanging="480"/>
      </w:pPr>
      <w:rPr>
        <w:rFonts w:ascii="Calibri" w:hAnsi="Calibri" w:cs="Calibri" w:hint="default"/>
        <w:b w:val="0"/>
        <w:bCs w:val="0"/>
      </w:rPr>
    </w:lvl>
    <w:lvl w:ilvl="2">
      <w:start w:val="1"/>
      <w:numFmt w:val="none"/>
      <w:lvlText w:val="1.2.6"/>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1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95E5C8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1"/>
  </w:num>
  <w:num w:numId="3">
    <w:abstractNumId w:val="17"/>
  </w:num>
  <w:num w:numId="4">
    <w:abstractNumId w:val="2"/>
  </w:num>
  <w:num w:numId="5">
    <w:abstractNumId w:val="13"/>
  </w:num>
  <w:num w:numId="6">
    <w:abstractNumId w:val="16"/>
  </w:num>
  <w:num w:numId="7">
    <w:abstractNumId w:val="7"/>
  </w:num>
  <w:num w:numId="8">
    <w:abstractNumId w:val="9"/>
  </w:num>
  <w:num w:numId="9">
    <w:abstractNumId w:val="3"/>
  </w:num>
  <w:num w:numId="10">
    <w:abstractNumId w:val="8"/>
  </w:num>
  <w:num w:numId="11">
    <w:abstractNumId w:val="12"/>
  </w:num>
  <w:num w:numId="12">
    <w:abstractNumId w:val="4"/>
  </w:num>
  <w:num w:numId="13">
    <w:abstractNumId w:val="15"/>
  </w:num>
  <w:num w:numId="14">
    <w:abstractNumId w:val="18"/>
  </w:num>
  <w:num w:numId="15">
    <w:abstractNumId w:val="1"/>
  </w:num>
  <w:num w:numId="16">
    <w:abstractNumId w:val="10"/>
  </w:num>
  <w:num w:numId="17">
    <w:abstractNumId w:val="14"/>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F935C7"/>
    <w:rsid w:val="00012B08"/>
    <w:rsid w:val="0002438B"/>
    <w:rsid w:val="00060A9D"/>
    <w:rsid w:val="00075E21"/>
    <w:rsid w:val="00076222"/>
    <w:rsid w:val="000809FD"/>
    <w:rsid w:val="000A7967"/>
    <w:rsid w:val="000A7C5A"/>
    <w:rsid w:val="000C3CC1"/>
    <w:rsid w:val="000D4371"/>
    <w:rsid w:val="000D7755"/>
    <w:rsid w:val="0012142D"/>
    <w:rsid w:val="001239A6"/>
    <w:rsid w:val="0019737F"/>
    <w:rsid w:val="001B25EF"/>
    <w:rsid w:val="001B5C59"/>
    <w:rsid w:val="00223223"/>
    <w:rsid w:val="0022424E"/>
    <w:rsid w:val="002338D5"/>
    <w:rsid w:val="00245191"/>
    <w:rsid w:val="0025529D"/>
    <w:rsid w:val="0027052E"/>
    <w:rsid w:val="0027394B"/>
    <w:rsid w:val="0028293F"/>
    <w:rsid w:val="002B3B5D"/>
    <w:rsid w:val="002B7149"/>
    <w:rsid w:val="002D27EA"/>
    <w:rsid w:val="002D5B61"/>
    <w:rsid w:val="002E4113"/>
    <w:rsid w:val="00351432"/>
    <w:rsid w:val="003531FC"/>
    <w:rsid w:val="00392569"/>
    <w:rsid w:val="00395D74"/>
    <w:rsid w:val="003C1E89"/>
    <w:rsid w:val="003D33C8"/>
    <w:rsid w:val="003E07F2"/>
    <w:rsid w:val="003E09B5"/>
    <w:rsid w:val="003F42C7"/>
    <w:rsid w:val="00413FB1"/>
    <w:rsid w:val="00441CD5"/>
    <w:rsid w:val="00455345"/>
    <w:rsid w:val="00491361"/>
    <w:rsid w:val="004A0717"/>
    <w:rsid w:val="004A4459"/>
    <w:rsid w:val="004C34BB"/>
    <w:rsid w:val="004D3C66"/>
    <w:rsid w:val="004E53C2"/>
    <w:rsid w:val="00505E94"/>
    <w:rsid w:val="00513137"/>
    <w:rsid w:val="00527CE4"/>
    <w:rsid w:val="00532D7A"/>
    <w:rsid w:val="00537B14"/>
    <w:rsid w:val="005503BD"/>
    <w:rsid w:val="00560F39"/>
    <w:rsid w:val="00566F1F"/>
    <w:rsid w:val="00582F45"/>
    <w:rsid w:val="00583EEB"/>
    <w:rsid w:val="0059290C"/>
    <w:rsid w:val="005A244D"/>
    <w:rsid w:val="005C7D45"/>
    <w:rsid w:val="005E5DE5"/>
    <w:rsid w:val="005F5A0D"/>
    <w:rsid w:val="006033F7"/>
    <w:rsid w:val="00604F91"/>
    <w:rsid w:val="00630B75"/>
    <w:rsid w:val="00637A18"/>
    <w:rsid w:val="00644C98"/>
    <w:rsid w:val="00646CCF"/>
    <w:rsid w:val="00665CCF"/>
    <w:rsid w:val="00671CC2"/>
    <w:rsid w:val="00683A3D"/>
    <w:rsid w:val="00686E10"/>
    <w:rsid w:val="006A5F8D"/>
    <w:rsid w:val="006C55F7"/>
    <w:rsid w:val="006F2741"/>
    <w:rsid w:val="0070076B"/>
    <w:rsid w:val="00705C51"/>
    <w:rsid w:val="007C1689"/>
    <w:rsid w:val="007E148D"/>
    <w:rsid w:val="008024DA"/>
    <w:rsid w:val="00807FBD"/>
    <w:rsid w:val="00863252"/>
    <w:rsid w:val="0087017C"/>
    <w:rsid w:val="00875DBC"/>
    <w:rsid w:val="008A5AED"/>
    <w:rsid w:val="008B09A3"/>
    <w:rsid w:val="008B4CBB"/>
    <w:rsid w:val="008C7F56"/>
    <w:rsid w:val="008D0EDE"/>
    <w:rsid w:val="008D1B54"/>
    <w:rsid w:val="008E1547"/>
    <w:rsid w:val="00906578"/>
    <w:rsid w:val="009072AC"/>
    <w:rsid w:val="00935882"/>
    <w:rsid w:val="00957B11"/>
    <w:rsid w:val="0096001B"/>
    <w:rsid w:val="00962961"/>
    <w:rsid w:val="00967377"/>
    <w:rsid w:val="00970D15"/>
    <w:rsid w:val="00972FCF"/>
    <w:rsid w:val="00977B99"/>
    <w:rsid w:val="009C23E9"/>
    <w:rsid w:val="009C6FA7"/>
    <w:rsid w:val="009E7E9F"/>
    <w:rsid w:val="009F5277"/>
    <w:rsid w:val="00A023AB"/>
    <w:rsid w:val="00A11963"/>
    <w:rsid w:val="00A16021"/>
    <w:rsid w:val="00A37657"/>
    <w:rsid w:val="00A431D7"/>
    <w:rsid w:val="00A526FF"/>
    <w:rsid w:val="00A65D9F"/>
    <w:rsid w:val="00A951EE"/>
    <w:rsid w:val="00AA490B"/>
    <w:rsid w:val="00AC2992"/>
    <w:rsid w:val="00AD5077"/>
    <w:rsid w:val="00AD70AA"/>
    <w:rsid w:val="00B35D96"/>
    <w:rsid w:val="00B941E8"/>
    <w:rsid w:val="00BA182B"/>
    <w:rsid w:val="00BE15B1"/>
    <w:rsid w:val="00BF3626"/>
    <w:rsid w:val="00C13B97"/>
    <w:rsid w:val="00C41DD1"/>
    <w:rsid w:val="00C457B2"/>
    <w:rsid w:val="00C52E7F"/>
    <w:rsid w:val="00C53DA2"/>
    <w:rsid w:val="00C605DB"/>
    <w:rsid w:val="00C92D70"/>
    <w:rsid w:val="00CC0920"/>
    <w:rsid w:val="00CD264C"/>
    <w:rsid w:val="00CF0267"/>
    <w:rsid w:val="00CF0C1D"/>
    <w:rsid w:val="00D2399A"/>
    <w:rsid w:val="00D62ABA"/>
    <w:rsid w:val="00D73381"/>
    <w:rsid w:val="00DA404B"/>
    <w:rsid w:val="00DF77E1"/>
    <w:rsid w:val="00E0746E"/>
    <w:rsid w:val="00E44319"/>
    <w:rsid w:val="00E513DD"/>
    <w:rsid w:val="00E56648"/>
    <w:rsid w:val="00E57642"/>
    <w:rsid w:val="00E72A6B"/>
    <w:rsid w:val="00E748E3"/>
    <w:rsid w:val="00E84EFA"/>
    <w:rsid w:val="00E93D45"/>
    <w:rsid w:val="00EB74D6"/>
    <w:rsid w:val="00EC57D9"/>
    <w:rsid w:val="00ED3231"/>
    <w:rsid w:val="00F04EE1"/>
    <w:rsid w:val="00F0605C"/>
    <w:rsid w:val="00F229F5"/>
    <w:rsid w:val="00F36B5C"/>
    <w:rsid w:val="00F935C7"/>
    <w:rsid w:val="00FB4B4F"/>
    <w:rsid w:val="00FB6791"/>
    <w:rsid w:val="00FC1225"/>
    <w:rsid w:val="00FE5048"/>
    <w:rsid w:val="00FF2ABD"/>
    <w:rsid w:val="00FF3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1B859"/>
  <w15:chartTrackingRefBased/>
  <w15:docId w15:val="{975DA4D4-A04F-9745-A1E4-6DD67D05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5C7"/>
    <w:pPr>
      <w:widowControl w:val="0"/>
      <w:jc w:val="both"/>
    </w:pPr>
    <w:rPr>
      <w:rFonts w:ascii="Calibri" w:eastAsia="Calibri" w:hAnsi="Calibri" w:cs="Calibri"/>
    </w:rPr>
  </w:style>
  <w:style w:type="paragraph" w:styleId="Heading1">
    <w:name w:val="heading 1"/>
    <w:basedOn w:val="Normal"/>
    <w:next w:val="Normal"/>
    <w:link w:val="Heading1Char"/>
    <w:uiPriority w:val="9"/>
    <w:qFormat/>
    <w:rsid w:val="00F935C7"/>
    <w:pPr>
      <w:keepNext/>
      <w:spacing w:before="240" w:after="60"/>
      <w:outlineLvl w:val="0"/>
    </w:pPr>
    <w:rPr>
      <w:b/>
      <w:sz w:val="28"/>
      <w:szCs w:val="28"/>
    </w:rPr>
  </w:style>
  <w:style w:type="paragraph" w:styleId="Heading2">
    <w:name w:val="heading 2"/>
    <w:basedOn w:val="Normal"/>
    <w:next w:val="Normal"/>
    <w:link w:val="Heading2Char"/>
    <w:uiPriority w:val="9"/>
    <w:semiHidden/>
    <w:unhideWhenUsed/>
    <w:qFormat/>
    <w:rsid w:val="00F935C7"/>
    <w:pPr>
      <w:keepNext/>
      <w:outlineLvl w:val="1"/>
    </w:pPr>
    <w:rPr>
      <w:b/>
    </w:rPr>
  </w:style>
  <w:style w:type="paragraph" w:styleId="Heading3">
    <w:name w:val="heading 3"/>
    <w:basedOn w:val="Normal"/>
    <w:next w:val="Normal"/>
    <w:link w:val="Heading3Char"/>
    <w:uiPriority w:val="9"/>
    <w:semiHidden/>
    <w:unhideWhenUsed/>
    <w:qFormat/>
    <w:rsid w:val="00F935C7"/>
    <w:pPr>
      <w:keepNext/>
      <w:keepLines/>
      <w:spacing w:before="200"/>
      <w:outlineLvl w:val="2"/>
    </w:pPr>
    <w:rPr>
      <w:rFonts w:ascii="Cambria" w:eastAsia="Cambria" w:hAnsi="Cambria" w:cs="Cambria"/>
      <w:b/>
      <w:color w:val="4F81BD"/>
    </w:rPr>
  </w:style>
  <w:style w:type="paragraph" w:styleId="Heading4">
    <w:name w:val="heading 4"/>
    <w:basedOn w:val="Normal"/>
    <w:next w:val="Normal"/>
    <w:link w:val="Heading4Char"/>
    <w:uiPriority w:val="9"/>
    <w:semiHidden/>
    <w:unhideWhenUsed/>
    <w:qFormat/>
    <w:rsid w:val="00F935C7"/>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F935C7"/>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F935C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5C7"/>
    <w:rPr>
      <w:rFonts w:ascii="Calibri" w:eastAsia="Calibri" w:hAnsi="Calibri" w:cs="Calibri"/>
      <w:b/>
      <w:sz w:val="28"/>
      <w:szCs w:val="28"/>
    </w:rPr>
  </w:style>
  <w:style w:type="character" w:customStyle="1" w:styleId="Heading2Char">
    <w:name w:val="Heading 2 Char"/>
    <w:basedOn w:val="DefaultParagraphFont"/>
    <w:link w:val="Heading2"/>
    <w:uiPriority w:val="9"/>
    <w:semiHidden/>
    <w:rsid w:val="00F935C7"/>
    <w:rPr>
      <w:rFonts w:ascii="Calibri" w:eastAsia="Calibri" w:hAnsi="Calibri" w:cs="Calibri"/>
      <w:b/>
    </w:rPr>
  </w:style>
  <w:style w:type="character" w:customStyle="1" w:styleId="Heading3Char">
    <w:name w:val="Heading 3 Char"/>
    <w:basedOn w:val="DefaultParagraphFont"/>
    <w:link w:val="Heading3"/>
    <w:uiPriority w:val="9"/>
    <w:semiHidden/>
    <w:rsid w:val="00F935C7"/>
    <w:rPr>
      <w:rFonts w:ascii="Cambria" w:eastAsia="Cambria" w:hAnsi="Cambria" w:cs="Cambria"/>
      <w:b/>
      <w:color w:val="4F81BD"/>
    </w:rPr>
  </w:style>
  <w:style w:type="character" w:customStyle="1" w:styleId="Heading4Char">
    <w:name w:val="Heading 4 Char"/>
    <w:basedOn w:val="DefaultParagraphFont"/>
    <w:link w:val="Heading4"/>
    <w:uiPriority w:val="9"/>
    <w:semiHidden/>
    <w:rsid w:val="00F935C7"/>
    <w:rPr>
      <w:rFonts w:ascii="Calibri" w:eastAsia="Calibri" w:hAnsi="Calibri" w:cs="Calibri"/>
      <w:b/>
    </w:rPr>
  </w:style>
  <w:style w:type="character" w:customStyle="1" w:styleId="Heading5Char">
    <w:name w:val="Heading 5 Char"/>
    <w:basedOn w:val="DefaultParagraphFont"/>
    <w:link w:val="Heading5"/>
    <w:uiPriority w:val="9"/>
    <w:semiHidden/>
    <w:rsid w:val="00F935C7"/>
    <w:rPr>
      <w:rFonts w:ascii="Calibri" w:eastAsia="Calibri" w:hAnsi="Calibri" w:cs="Calibri"/>
      <w:b/>
      <w:sz w:val="22"/>
      <w:szCs w:val="22"/>
    </w:rPr>
  </w:style>
  <w:style w:type="character" w:customStyle="1" w:styleId="Heading6Char">
    <w:name w:val="Heading 6 Char"/>
    <w:basedOn w:val="DefaultParagraphFont"/>
    <w:link w:val="Heading6"/>
    <w:uiPriority w:val="9"/>
    <w:semiHidden/>
    <w:rsid w:val="00F935C7"/>
    <w:rPr>
      <w:rFonts w:ascii="Calibri" w:eastAsia="Calibri" w:hAnsi="Calibri" w:cs="Calibri"/>
      <w:b/>
      <w:sz w:val="20"/>
      <w:szCs w:val="20"/>
    </w:rPr>
  </w:style>
  <w:style w:type="paragraph" w:styleId="Title">
    <w:name w:val="Title"/>
    <w:basedOn w:val="Normal"/>
    <w:next w:val="Normal"/>
    <w:link w:val="TitleChar"/>
    <w:uiPriority w:val="10"/>
    <w:qFormat/>
    <w:rsid w:val="00F935C7"/>
    <w:pPr>
      <w:keepNext/>
      <w:keepLines/>
      <w:spacing w:before="480" w:after="120"/>
    </w:pPr>
    <w:rPr>
      <w:b/>
      <w:sz w:val="72"/>
      <w:szCs w:val="72"/>
    </w:rPr>
  </w:style>
  <w:style w:type="character" w:customStyle="1" w:styleId="TitleChar">
    <w:name w:val="Title Char"/>
    <w:basedOn w:val="DefaultParagraphFont"/>
    <w:link w:val="Title"/>
    <w:uiPriority w:val="10"/>
    <w:rsid w:val="00F935C7"/>
    <w:rPr>
      <w:rFonts w:ascii="Calibri" w:eastAsia="Calibri" w:hAnsi="Calibri" w:cs="Calibri"/>
      <w:b/>
      <w:sz w:val="72"/>
      <w:szCs w:val="72"/>
    </w:rPr>
  </w:style>
  <w:style w:type="paragraph" w:styleId="Subtitle">
    <w:name w:val="Subtitle"/>
    <w:basedOn w:val="Normal"/>
    <w:next w:val="Normal"/>
    <w:link w:val="SubtitleChar"/>
    <w:uiPriority w:val="11"/>
    <w:qFormat/>
    <w:rsid w:val="00F935C7"/>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F935C7"/>
    <w:rPr>
      <w:rFonts w:ascii="Georgia" w:eastAsia="Georgia" w:hAnsi="Georgia" w:cs="Georgia"/>
      <w:i/>
      <w:color w:val="666666"/>
      <w:sz w:val="48"/>
      <w:szCs w:val="48"/>
    </w:rPr>
  </w:style>
  <w:style w:type="character" w:styleId="Hyperlink">
    <w:name w:val="Hyperlink"/>
    <w:basedOn w:val="DefaultParagraphFont"/>
    <w:uiPriority w:val="99"/>
    <w:unhideWhenUsed/>
    <w:rsid w:val="00F935C7"/>
    <w:rPr>
      <w:color w:val="0563C1" w:themeColor="hyperlink"/>
      <w:u w:val="single"/>
    </w:rPr>
  </w:style>
  <w:style w:type="character" w:styleId="UnresolvedMention">
    <w:name w:val="Unresolved Mention"/>
    <w:basedOn w:val="DefaultParagraphFont"/>
    <w:uiPriority w:val="99"/>
    <w:semiHidden/>
    <w:unhideWhenUsed/>
    <w:rsid w:val="00F935C7"/>
    <w:rPr>
      <w:color w:val="605E5C"/>
      <w:shd w:val="clear" w:color="auto" w:fill="E1DFDD"/>
    </w:rPr>
  </w:style>
  <w:style w:type="character" w:styleId="FollowedHyperlink">
    <w:name w:val="FollowedHyperlink"/>
    <w:basedOn w:val="DefaultParagraphFont"/>
    <w:uiPriority w:val="99"/>
    <w:semiHidden/>
    <w:unhideWhenUsed/>
    <w:rsid w:val="00F935C7"/>
    <w:rPr>
      <w:color w:val="954F72" w:themeColor="followedHyperlink"/>
      <w:u w:val="single"/>
    </w:rPr>
  </w:style>
  <w:style w:type="character" w:styleId="CommentReference">
    <w:name w:val="annotation reference"/>
    <w:uiPriority w:val="99"/>
    <w:semiHidden/>
    <w:unhideWhenUsed/>
    <w:rsid w:val="00F935C7"/>
    <w:rPr>
      <w:sz w:val="16"/>
      <w:szCs w:val="16"/>
    </w:rPr>
  </w:style>
  <w:style w:type="paragraph" w:styleId="CommentText">
    <w:name w:val="annotation text"/>
    <w:basedOn w:val="Normal"/>
    <w:link w:val="CommentTextChar"/>
    <w:uiPriority w:val="99"/>
    <w:unhideWhenUsed/>
    <w:rsid w:val="00F935C7"/>
    <w:pPr>
      <w:widowControl/>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935C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F935C7"/>
    <w:pPr>
      <w:widowControl/>
      <w:ind w:left="720"/>
      <w:contextualSpacing/>
      <w:jc w:val="left"/>
    </w:pPr>
    <w:rPr>
      <w:rFonts w:ascii="Times New Roman" w:eastAsia="Times New Roman" w:hAnsi="Times New Roman" w:cs="Times New Roman"/>
    </w:rPr>
  </w:style>
  <w:style w:type="paragraph" w:styleId="NormalWeb">
    <w:name w:val="Normal (Web)"/>
    <w:basedOn w:val="Normal"/>
    <w:uiPriority w:val="99"/>
    <w:unhideWhenUsed/>
    <w:rsid w:val="00F935C7"/>
    <w:pPr>
      <w:widowControl/>
      <w:spacing w:before="100" w:beforeAutospacing="1" w:after="100" w:afterAutospacing="1"/>
      <w:jc w:val="left"/>
    </w:pPr>
    <w:rPr>
      <w:rFonts w:ascii="Times New Roman" w:eastAsia="Times New Roman" w:hAnsi="Times New Roman" w:cs="Times New Roman"/>
    </w:rPr>
  </w:style>
  <w:style w:type="paragraph" w:customStyle="1" w:styleId="Normal1">
    <w:name w:val="Normal1"/>
    <w:rsid w:val="00F935C7"/>
    <w:pPr>
      <w:spacing w:line="276" w:lineRule="auto"/>
    </w:pPr>
    <w:rPr>
      <w:rFonts w:ascii="Arial" w:eastAsia="Arial" w:hAnsi="Arial" w:cs="Arial"/>
      <w:sz w:val="22"/>
      <w:szCs w:val="22"/>
      <w:lang w:val="pt-BR"/>
    </w:rPr>
  </w:style>
  <w:style w:type="paragraph" w:customStyle="1" w:styleId="EndNoteBibliography">
    <w:name w:val="EndNote Bibliography"/>
    <w:basedOn w:val="Normal"/>
    <w:link w:val="EndNoteBibliographyChar"/>
    <w:rsid w:val="00F935C7"/>
    <w:pPr>
      <w:widowControl/>
      <w:jc w:val="left"/>
    </w:pPr>
    <w:rPr>
      <w:rFonts w:eastAsia="Times New Roman"/>
      <w:lang w:val="pt-BR" w:eastAsia="pt-BR"/>
    </w:rPr>
  </w:style>
  <w:style w:type="character" w:customStyle="1" w:styleId="EndNoteBibliographyChar">
    <w:name w:val="EndNote Bibliography Char"/>
    <w:link w:val="EndNoteBibliography"/>
    <w:rsid w:val="00F935C7"/>
    <w:rPr>
      <w:rFonts w:ascii="Calibri" w:eastAsia="Times New Roman" w:hAnsi="Calibri" w:cs="Calibri"/>
      <w:lang w:val="pt-BR" w:eastAsia="pt-BR"/>
    </w:rPr>
  </w:style>
  <w:style w:type="character" w:styleId="LineNumber">
    <w:name w:val="line number"/>
    <w:basedOn w:val="DefaultParagraphFont"/>
    <w:uiPriority w:val="99"/>
    <w:semiHidden/>
    <w:unhideWhenUsed/>
    <w:rsid w:val="00F935C7"/>
  </w:style>
  <w:style w:type="paragraph" w:styleId="CommentSubject">
    <w:name w:val="annotation subject"/>
    <w:basedOn w:val="CommentText"/>
    <w:next w:val="CommentText"/>
    <w:link w:val="CommentSubjectChar"/>
    <w:uiPriority w:val="99"/>
    <w:semiHidden/>
    <w:unhideWhenUsed/>
    <w:rsid w:val="00F935C7"/>
    <w:pPr>
      <w:widowControl w:val="0"/>
      <w:jc w:val="both"/>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F935C7"/>
    <w:rPr>
      <w:rFonts w:ascii="Calibri" w:eastAsia="Calibri" w:hAnsi="Calibri" w:cs="Calibri"/>
      <w:b/>
      <w:bCs/>
      <w:sz w:val="20"/>
      <w:szCs w:val="20"/>
    </w:rPr>
  </w:style>
  <w:style w:type="paragraph" w:styleId="Revision">
    <w:name w:val="Revision"/>
    <w:hidden/>
    <w:uiPriority w:val="99"/>
    <w:semiHidden/>
    <w:rsid w:val="00F935C7"/>
    <w:rPr>
      <w:rFonts w:ascii="Calibri" w:eastAsia="Calibri" w:hAnsi="Calibri" w:cs="Calibri"/>
    </w:rPr>
  </w:style>
  <w:style w:type="paragraph" w:customStyle="1" w:styleId="EndNoteBibliographyTitle">
    <w:name w:val="EndNote Bibliography Title"/>
    <w:basedOn w:val="Normal"/>
    <w:link w:val="EndNoteBibliographyTitleChar"/>
    <w:rsid w:val="00F935C7"/>
    <w:pPr>
      <w:jc w:val="center"/>
    </w:pPr>
  </w:style>
  <w:style w:type="character" w:customStyle="1" w:styleId="ListParagraphChar">
    <w:name w:val="List Paragraph Char"/>
    <w:basedOn w:val="DefaultParagraphFont"/>
    <w:link w:val="ListParagraph"/>
    <w:uiPriority w:val="34"/>
    <w:rsid w:val="00F935C7"/>
    <w:rPr>
      <w:rFonts w:ascii="Times New Roman" w:eastAsia="Times New Roman" w:hAnsi="Times New Roman" w:cs="Times New Roman"/>
    </w:rPr>
  </w:style>
  <w:style w:type="character" w:customStyle="1" w:styleId="EndNoteBibliographyTitleChar">
    <w:name w:val="EndNote Bibliography Title Char"/>
    <w:basedOn w:val="ListParagraphChar"/>
    <w:link w:val="EndNoteBibliographyTitle"/>
    <w:rsid w:val="00F935C7"/>
    <w:rPr>
      <w:rFonts w:ascii="Calibri" w:eastAsia="Calibri" w:hAnsi="Calibri" w:cs="Calibri"/>
    </w:rPr>
  </w:style>
  <w:style w:type="character" w:customStyle="1" w:styleId="title-text">
    <w:name w:val="title-text"/>
    <w:basedOn w:val="DefaultParagraphFont"/>
    <w:rsid w:val="00F935C7"/>
  </w:style>
  <w:style w:type="character" w:customStyle="1" w:styleId="sr-only">
    <w:name w:val="sr-only"/>
    <w:basedOn w:val="DefaultParagraphFont"/>
    <w:rsid w:val="00F935C7"/>
  </w:style>
  <w:style w:type="character" w:customStyle="1" w:styleId="text">
    <w:name w:val="text"/>
    <w:basedOn w:val="DefaultParagraphFont"/>
    <w:rsid w:val="00F935C7"/>
  </w:style>
  <w:style w:type="character" w:customStyle="1" w:styleId="author-ref">
    <w:name w:val="author-ref"/>
    <w:basedOn w:val="DefaultParagraphFont"/>
    <w:rsid w:val="00F935C7"/>
  </w:style>
  <w:style w:type="paragraph" w:styleId="Footer">
    <w:name w:val="footer"/>
    <w:basedOn w:val="Normal"/>
    <w:link w:val="FooterChar"/>
    <w:uiPriority w:val="99"/>
    <w:unhideWhenUsed/>
    <w:rsid w:val="00F935C7"/>
    <w:pPr>
      <w:tabs>
        <w:tab w:val="center" w:pos="4252"/>
        <w:tab w:val="right" w:pos="8504"/>
      </w:tabs>
    </w:pPr>
  </w:style>
  <w:style w:type="character" w:customStyle="1" w:styleId="FooterChar">
    <w:name w:val="Footer Char"/>
    <w:basedOn w:val="DefaultParagraphFont"/>
    <w:link w:val="Footer"/>
    <w:uiPriority w:val="99"/>
    <w:rsid w:val="00F935C7"/>
    <w:rPr>
      <w:rFonts w:ascii="Calibri" w:eastAsia="Calibri" w:hAnsi="Calibri" w:cs="Calibri"/>
    </w:rPr>
  </w:style>
  <w:style w:type="character" w:styleId="PlaceholderText">
    <w:name w:val="Placeholder Text"/>
    <w:basedOn w:val="DefaultParagraphFont"/>
    <w:uiPriority w:val="99"/>
    <w:semiHidden/>
    <w:rsid w:val="00F935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ndareboucas95@gmail.com" TargetMode="External"/><Relationship Id="rId13" Type="http://schemas.openxmlformats.org/officeDocument/2006/relationships/hyperlink" Target="mailto:julianaperrone@g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brodskyn2009@gmail.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machado302@gmail.com" TargetMode="External"/><Relationship Id="rId5" Type="http://schemas.openxmlformats.org/officeDocument/2006/relationships/webSettings" Target="webSettings.xml"/><Relationship Id="rId15" Type="http://schemas.openxmlformats.org/officeDocument/2006/relationships/hyperlink" Target="mailto:pstveras@gmail.com" TargetMode="External"/><Relationship Id="rId10" Type="http://schemas.openxmlformats.org/officeDocument/2006/relationships/hyperlink" Target="mailto:luanabio@hotmail.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beatrizrsdias@gmail.com" TargetMode="External"/><Relationship Id="rId14" Type="http://schemas.openxmlformats.org/officeDocument/2006/relationships/hyperlink" Target="mailto:patricia.veras@fiocruz.b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0BCE4-21E9-DB49-8425-DC4F2E367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15</Pages>
  <Words>5535</Words>
  <Characters>31556</Characters>
  <Application>Microsoft Office Word</Application>
  <DocSecurity>0</DocSecurity>
  <Lines>262</Lines>
  <Paragraphs>74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Dias</dc:creator>
  <cp:keywords/>
  <dc:description/>
  <cp:lastModifiedBy>Nam Nguyen</cp:lastModifiedBy>
  <cp:revision>7</cp:revision>
  <dcterms:created xsi:type="dcterms:W3CDTF">2021-04-30T15:02:00Z</dcterms:created>
  <dcterms:modified xsi:type="dcterms:W3CDTF">2021-05-20T15:06:00Z</dcterms:modified>
</cp:coreProperties>
</file>