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Organoid Induction System for Derivation of 3D Retinal Tissues from Human Pluripotent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Yuanyuan Guan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Bingbing Xie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Xiufeng Zhong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Ophthalmology, Zhongshan Ophthalmic Center, Sun Yat-sen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Yuanyuan Guan</w:t>
        <w:tab/>
        <w:t xml:space="preserve">(guanyy8@mail2.sysu.edu.cn)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Bingbing Xie</w:t>
        <w:tab/>
        <w:tab/>
        <w:t xml:space="preserve">(583747158@qq.com)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Xiufeng Zhong</w:t>
        <w:tab/>
        <w:tab/>
        <w:t xml:space="preserve">(zhongxf7@mail.sysu.edu.cn)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Xiufeng Zhong</w:t>
        <w:tab/>
        <w:tab/>
        <w:t xml:space="preserve">(zhongxf7@mail.sysu.edu.cn)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optimized retinal organoid induction system, which is suitable for various human pluripotent stem cell lines to generate retinal tissues with high reproducibility and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degenerative diseases are the main causes of irreversible blindness without effective treatment. Pluripotent stem cells that have the potential to differentiate into all types of retinal cells, even mini-retinal tissues, hold huge promises for patients with these diseases and many opportunities in disease modeling and drug screening. However, the induction process from hPSCs to retinal cells is complicated and time-consuming. Here, we describe an optimized retinal induction protocol to generate retinal tissues with high reproducibility and efficiency, suitable for various human pluripotent stem cells. This protocol is performed without the addition of retinoic acid, which benefits the enrichment of cone photoreceptors. The advantage of this protocol is the quantification of EB size and plating density to significantly enhance the efficiency and repeatability of retinal induction. With this method, all major retinal cells sequentially appear and recapitulate the main steps of retinal development. It will facilitate the downstream applications, such as disease modeling and cell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degenerative diseases (RDs), such as age-related macular degeneration (AMD) and retinitis pigmentosa (RP) are characterized by the dysfunction and death of photoreceptor cells, typically lead to irreversible vision loss without effective ways to cure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mechanism underlying these diseases is largely unknown partially due to lack of human disease models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Over the past decades, significant advances have been accomplished in regenerative medicine through stem cell technology. Many researches, including ourselves, have shown that human pluripotent stem cells (hPSCs), including human embryonic stem cells (hESCs) and human induced pluripotent stem cells (hiPSCs), can differentiate into all types of retinal cells, even mini-retinal tissues through various differentiation approaches</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providing a huge promise in disease modeling and cell therapy</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induction process from hPSCs to retinal cells is highly complicated, time-consuming, and of low repeatability, which requires researchers with rich experience and high skills. During the complex and dynamic induction process, a number of factors will impact yield of retinal tissues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Also, different induction methods often vary considerably in timing and robust expression of retinal markers, which might confound the sample collection and data interpretation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a straightforward protocol of retinal differentiation from hPSCs with step-by-step guidance would be in demand.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based on our published studies</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an optimized retinal induction protocol to generate retinal organoids (ROs) with rich cone photoreceptors from hPSCs is described, which does not require the supplement of retinoic acid (RA). This protocol focuses on the description of the multi-step method to generate neural retina and RPE. EBs formation is the essential part of the early induction stage. Both size and plating density of EBs are quantitatively optimized, which scientifically enhances the yield of retinal tissues and promotes the repeatability. In the second part of the induction, Optic vesicles (OVs) self-organize in the adherence culture and ROs form in the suspension culture, the time courses and efficiencies of this part vary considerably in different hPSC lines. The maturation and specification of retinal cells in ROs mainly occur in the late stage of induction. Without the addition of RA, mature photoreceptors with both rich cone and rod can be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quantitatively describe and detail each step for inexperienced researcher to repeat. Various hPSC lines have been successfully induced into ROs by this protocol with robust yield of cone-rich retinal tissues and high repeatability. HPSCs-derived ROs with this protocol can recapitulate the main steps of retinal development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survive for long-term, which facilitate the downstream applications, such as disease modeling, drug screening, and cell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Culture and expansion of hPSCs</w:t>
      </w:r>
    </w:p>
    <w:p>
      <w:pPr>
        <w:tabs>
          <w:tab w:val="left" w:pos="312"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HPSC culture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Coat two wells of a 6-well plate with extracellular matrix (ECM, hESC-qualified Matrix). Prepare 50 mL of an ECM solution containing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&amp;#181;g/mL of ECM in Dulbecco's Modified Eagle's Medium (DMEM). In 50 mL of DMEM, add 1 mL of the thawed ECM stock solution (50x). Add 1 mL of the ECM solution to each well of a 6-well plate. Incubate it for 1 h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Prepare hPSC maintenance medium (MM) according to the manufacturer's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Pre-warm MM at room temperature (RT)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Thaw a cryogenic vial of hPSCs (hiPSCs or hESCs) (about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from a liquid nitrogen tank by incubation in a water bath at 37 &amp;#176;C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Take out the vial, carefully disinfect it using a 75% disinfection alcohol spray. Put it in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Transfer the cell suspension from the vial to a 15 mL tube, add 5 mL of pre-warmed MM drop by drop to the tube using a 5 mL pipette. Meanwhile, gently shake the tube to blend the hPSCs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Centrifuge the tube at 170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Remove most of the supernatant using a 1 mL pipette carefully and leave behind about 50 &amp;#181;L supernatant to avoid losing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Add 1 mL MM to the tube, resuspend the pellet by gently pipetting up and down once or twice with a 1 mL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Single cells of hPSCs are difficult to survive. Small cell clumps with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cells are preferred to keep hPSCs growing in colonies.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Remove ECM from the pre-coated wells (step 1.1.1), add 1.5 mL MM to each well, and then distribute 0.5 mL cell suspension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w:t>
        <w:tab/>
        <w:t xml:space="preserve">Gently shake the plate to distribute the hPSCs uniformly, put the plate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Do not move the plate for at least 24 h to promote the cell adherence.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Change MM every other day and passage the hPSCs when the confluence has reached about 80%.</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ab/>
        <w:t xml:space="preserve">Passaging of hPSCs</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maintenance of the undifferentiated state in hPSCs is quite critical for further applications. Under the adherent conditions, hPSCs grow in colonies with well-defined border. The cells should be passaged when the confluence of hPSCs reaches about 80%.</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Observe the cells under a microscope, the clearly visible differentiated cells (&amp;lt;5%) should be marked and mechanically removed before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the ECM-coated plate as described in step 1.1.1.</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Pre-warm MM and 1x phosphate buffer saline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RT.</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Pre-warm 0.5 mM EDTA (in 1x PBS) solution in a water bath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Remove the medium from the culture plate using a vacuum-aspiration system, add 1mL 1x PBS in each well to wash the cells using a 1 mL pipette and repeat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Add 1 mL EDTA solution per well to dissociate the hPSCs in a cell culture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5 min. Do not exceed the recommended incubation time in order to avoid dissociation to single cells.</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Take out the plate and check for the detachment of cells under the microscope. The confluent hPSCs loosen up and each cell border can be seen, but the cells cannot easily come off by gently shaking the cell plate.</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Remove the EDTA solution with a 1 mL pipette, add 1 mL of MM to stop the dissociation. Gently pipette the hPSCs once or twice with a 1 mL pipette to resuspend the cells. (Don’t need centrifuge to collect cells.)</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most of cells come off from the plate after incubation of EDTA, cells can be collected by centrifuge.</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Remove ECM from the pre-coated wells (step 1.2.2), add 1.5 mL MM per well.</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Transfer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of cell clumps to each well. Generally, hPSCs can be passaged at a ratio of 1:6. For example, cells from one well of a 6-well plate can be distributed to six new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Gently shake the plate to distribute the hPSCs uniformly and culture the hPSCs in the incubator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at least 24 h without touching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Change MM every other day as described in step 1.1.</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Retinal differentiation from hPSCs</w:t>
      </w:r>
    </w:p>
    <w:p>
      <w:pPr>
        <w:tabs>
          <w:tab w:val="left" w:pos="312"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colonies reach ~80% confluence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they can be guided to differentiate into retinal organoids following the protocol schematized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ensure the hPSCs have high quality and good yield, regularly evaluate the pluripotency with molecular markers such as OCT4 or NANOG using IFC or QPCR. HPSCs should be discarded if differentiate cells account for more than 5% of the total cells. Check for mycoplasma contamination with a mycoplasma detection kit according to the manufacturer's instructions. Use only mycoplasma-free hPSCs as mycoplasma can alter the differentiation capability of hPSCs.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Prepare media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neural induction medium (NIM) by mixing the following: 500 mL Dulbecco's Modified Eagle Medium/Nutrient Mixture F-12 (DMEM/F-12, 1:1), 5 mL 1% N2 supplement, 0.5 mL 0.1% heparin (2 mg/mL in 1x PBS), and 5 mL 1% MEM Non-Essential Amino Acids (NEAA).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retinal differentiation medium (RDM) containing 300 mL DMEM/F-12, 200 mL DMEM basic, 10 mL 2% B27 supplement, 5 mL 1% Antibiotic Antimycotic, and 5 mL 1% MEM NEAA.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NIM and RDM are not filtered but the sterility test is performed. Take out 1 mL medium and add it into a 35 mm dish, culture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in an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media can be stored at 4 &amp;#176;C and should be used within 2 weeks to ensure the activity of the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Prepare 10 mM Blebbistatin (1,000x) in DMSO. Add 1,710 &amp;#181;L DMSO to dissolve 5 mg Blebbistatin to obtain 10 mM stock solution (1,000x), aliquot at 10 &amp;#181;L/tube,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media and reagents should be warmed at RT for 30 min before use, unless otherwise mentioned.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Embryoid body (EB)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On day 0 (D0), initiate the differentiation. Take out one well of hPSCs in a 6-well plate, which grows to an ~80% confluence. Collect the cells with EDTA dissociation solution as described in steps 1.2.1 to 1.2.6.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Remove the EDTA solution, add 1 mL MM containing 10 &amp;#181;M Blebbistatin to stop cell dissociation, collect the cells with a 1 mL pipette. The size of cell clumps is one of the key factors impacting the yield of EBs. Approximately, five cells per clumps are preferred to produce the right size of EBs on D5 to D7.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a key step. Do not pipette the cells too many times since single cells of hPSCs are hard to form EB-like aggregates.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Transfer the cell suspension (about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a 100 mm ultralow-attached petri dish and add 9 mL MM containing 10 &amp;#181;M Blebbistatin to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Gently shake the dish twice to distribute the cells uniformly, put the dish in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On D1, after the cells are cultured for at least 24 h, take out the dish and observe it under the microscope. A large number of the small cell aggregates will be formed spontaneously by this time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Prepare 12 mL of mixture with MM and NIM at 3:1 ratio (9 mL MM and 3 mL NIM) in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Transfer the cell cultures to a 15 mL centrifuge tube by a 10 mL pipette perpendicularly, add 10 mL of the pre-warmed mixture to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Centrifuge the tube at 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to collect the aggregates, remove the supernatant using a 5 mL pipette and leave behind about 500 &amp;#181;L to avoid losing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Add 2 mL of the mixture to the tube, transfer the suspension to the same dish (step 2.2.7).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Gently shake the dish to make the cell aggregates uniformly distributed, put back the dish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On D2, prepare 12 mL of a new mixture with MM and NIM at 1:1 ratio (6 mL MM and 6 mL NIM) in a 15 mL tube. Change cell medium with the fresh prepared mixture by repeating the steps from 2.2.5 to 2.2.10.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On D3, change cell medium with 15 mL NIM as described above. Culture the cells for at least 5 days under the suspension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D1 to D3, the medium should be changed each day, providing enough nutrition. Since D3, NIM can be changed every other day. Also, EBs can be divided into several dishes to provide abundant nutrition.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Seed the EBs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D5 to D7, choose an appropriate time point to plate the EBs on the ECM-coated dishes according to the size of EBs. Approximate 200 &amp;#181;M in diameter of EBs is appropriate for the retinal differentiation. In general, one well of hPSCs in a 6-well plate can produce about 300 to 1,000 EBs. The variation of EB yielding is varied by the hPSC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On D4, prepare ECM-coated dishes for EBs adherent culture. Add 5 mL ECM to each 100 mm tissue culture dish (surface treated), put them in the incubator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On D5, remove ECM from the pre-coated dishes, add 10 mL pre-warmed NIM to each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Take out the dish containing EBs. Check the quality of EBs under the microscope and ensure that they are quite bright and round in shape. The size of the EBs is approximate 200 &amp;#181;M in diameter. Collect all EBs in a 15 mL tube. Transfer the EBs from the dishes to a 15 mL tube by a 5 ml pipette. Let the EBs settle down for 5 min. Remove the most supernatant, leaving behind about 2 mL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Distribute the EBs into the coated dishes containing 10 mL NIM drop by drop with a 1 mL pipette. Seed the EBs at the density of approximate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EBs per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example, add about 120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180 EBs into a 100 mm dish. To roughly judge the EB number, take out one drop of EBs suspension onto a coverslip, count the number of EBs under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Plating density of EBs is one of key factor impacting the efficiency of retinal induction. The density can be also adjusted by each hPSC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Gently shake the dishes to distribute the EBs uniformly. Put them in the incubator at 37&amp;#176;C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Don’t move the dishes for at least 24 h to enhance the adherence of EBs (Caution).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tab/>
        <w:t xml:space="preserve">Induction of optic vesicles (OVs) and retinal pigment epithelium (RPE) in adherent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EBs seeded on the ECM coated surface, hPSCs can develop OV-like structures consisting of neural retinal domain surrounded by the RPE domain, which can be observed as early as D20 after differentiation. In this protocol, specific growth factors or signaling molecules are not required to guide the hPSCs into the retinal fate except the addition of the supplements of N2 and B27 in the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On D8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D9, take out the dishes and observe the EBs under the microscope. All EBs will be attached and spread out on the dishes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Add 10 mL fresh NIM to each 100 mm dish containing 10 mL old medium. Put them back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remove the old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On D12, change half of the medium with NIM using a 10 mL pipette. Keep the culture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On D16, remove all NIM from the dishes using a vacuum-aspiration system. Add 20 mL RDM to each dish. Keep culturing in RDM and change half of the medium every other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During D10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D30, observe the morphological changes of the cells twice a week under a microscope and evaluate the efficiency of retinal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D10, eye field (EF) domains are self-organized in the peripheral zones of adherent EBs. The OV-like structures appear between D20 to D25, gradually protrude from the dish, and self-form an optic cup, which is surrounded by the pigmented RPE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OVs can be easily recognized with the bright, refractive, and thick NR 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tab/>
        <w:t xml:space="preserve">Detach and culture OVs and RPE in suspension to obtain retinal organoids (ROs)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On D28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D35, most of OVs appear in the dishes. Use a Tungsten needle or a needle with 1 mL syringe to mechanically detach the morphologically identifiable OVs along with the adjacent RPE. Culture them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appearance and yield of OVs and RPE vary widely in different hPSC lines. So, the time point of detaching OV and RPE is flexible. Obvious OVs with the adjacent RPE can be detached, and then moved to a low adhesive culture dish containing RDM. Keep culturing the rest of the cells until all OVs and RPEs are lifted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Put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OVs into each 100 mm low attachment culture dish containing 15 mL RDM for the ROs formation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Change RDM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until D42, when the ROs are well round-shaped.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Retinal development and maturation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serum is required to keep the ROs grow and mature for long-term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Retinal lamination and specification in ROs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10 mL of 100 mM taurine (1,000x) in 1x PBS. Weigh 125 mg taurine, dissolve in 10 mL of 1x PBS. Filter the solution with a 0.22 &amp;#181;m syringe filter. Aliquot at 500 &amp;#181;L/tube,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retinal culture medium 1 (RC1). Mix the following components: 300 mL DMEM/F-12, 200 mL DMEM basic, 50 mL fetal bovine serum,10 mL 2% B27 supplement, 5 mL 1% Antibiotic Antimycotic, 5 mL 1% MEM NEAA, 0.5 mL 100 &amp;#181;M taurine, and 5 mL 2 mM L-alanyl-L-glutamine.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retinal culture medium 2 (RC2) containing 450 mL DMEM/F-12, 50 mL fetal bovine serum, 5 mL 1% N2 supplement, 5 mL 1% Antibiotic Antimycotic, 0.5 mL 100 &amp;#181;M taurine, and 5 mL MEM NEAA.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RC1 and RC2 are not filtered. Take out 1 mL medium, add it into a 35 mm dish, culture it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in the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ensure the sterility before use. The medium can be stored at 4 &amp;#176;C and should be used within 2 weeks to ensure the activity of the components. All media and reagents should be pre-warmed at RT for 30 min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On D42, switch the culture medium from RDM to RC1.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Tilt the dishes at about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settle the ROs down for 30 s. Remove the old RDM with a 10 mL pipette leaving behind about 1 mL medium to avoid losing ROs. Add 15 mL fresh RC1 to each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Gently shake the dishes to distribute the ROs uniformly. Put the dishes back in the incubator. Change the whole medium twice a week thereafter.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During D50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D90, select out high quality of ROs for long-term culture, which were round-shaped with thick and bright NR. Place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ROs in a 100 mm low attachment dish with 20 mL RC1, change the whole medium twice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For the long-term suspension culture of ROs, pipette the ROs to avoid RO-RO reattaching using a pipette. Transfer ROs to new culture dishes once a month to avoid ROs sticking to the surface of the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Under the suspension culture conditions, ROs are round-shaped, comprising a bright and thick NR ring attached with more or less RPE at one side. Laminated neural retina develop and retinal cell subtypes sequentially appear with retinal ganglion cells first generated, followed by photoreceptor cells, amacrine cells, and bipolar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Human photoreceptor maturation with enrichment of cones in ROs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After D90, switch the medium from RC1 to RC2, which is suitable for photoreceptor maturation.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Change the medium as described in steps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Under this culture condition, ROs can grow for long-term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up to D300 tested. Retinal cells in ROs become mature, and all cell subtypes of neural retina, including muller glial cells, rods and cones are also acquired. Without any addition of RA, cone photoreceptors are also rich in ROs.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retinal induction process in this protocol mimics the development of human fetal retina. To initiate the retinal differentiation, hPSCs were dissociated into small clumps and cultured in suspension to induce the formation of EBs. On D1, the uniformed cell aggregates or EBs formed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culture medium was gradually transitioned into NIM. On D5, EBs were plated onto the ECM-coated culture dishes. Cells gradually migrated out of the EBs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From D10, eye fields self-organized in the peripheral zone of adherent EBs. On D16, the induction medium was replaced by RDM. Afterwards, the NR domains gradually formed, protruded from the dish, and self-formed OV-like structures surrounded by the RPE cells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During D28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D35, OVs along with the adjacent RPE were lifted up with a sharp needle and cultured in suspension. Under the suspension culture conditions, ROs self-formed comprising neural retina (NR) attached with more or less RPE sphere at one side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could survive and mature overtime as long as FBS were added to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retinal differentiation and specification progressed, hPSCs produced all major retinal cell subtypes sequentially. The subtypes of neural retina gradually lined up in layers, mimicking the architecture features of native human retina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Retinal ganglion cells (RGCs) were first generated from retinal progenitors and accumulated in the basal side of NRs. Photoreceptor cells located in the apical side, while amacrine cells, horizontal cells, bipolar cells, and muller glial cells all located in the intermediate layer of NRs.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protocol, ROs developed into the highly mature photoreceptors with both rods and cones (</w:t>
      </w:r>
      <w:r>
        <w:rPr>
          <w:rFonts w:ascii="Calibri" w:hAnsi="Calibri" w:cs="Calibri" w:eastAsia="Calibri"/>
          <w:b/>
          <w:color w:val="auto"/>
          <w:spacing w:val="0"/>
          <w:position w:val="0"/>
          <w:sz w:val="24"/>
          <w:shd w:fill="auto" w:val="clear"/>
        </w:rPr>
        <w:t xml:space="preserve">Figure 2G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Photoreceptors increased rapidly in the developing out nuclear layer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after week 8, and gradually matured from week 17 onward. From week 21, all subtypes of photoreceptors including rods, red/green cones, and blue cones can be detected in ROs. Both rich rods and cones can be obtained in this induction protocol without any addition of RA throughout the whole differentiation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Induction and morphological features of retinal organoids from hPSCs.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retinal induction from hPSCs.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typical colony of hPSCs (10x).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EBs on D1 (4x).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 D7, plated EBs were attached and spread out on the dishes (4x).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On D25, the optic vesicle like structures (OVs) formed and protruded from the dish (indicated by the red circle), surrounded by pigmented RPE (4x).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Retinal organoids self-formed after OVs were lifted up and cultured in suspension conditions (the arrows pointed NR and RPE (4x).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retinal organoid comprising NR (red arrow) and RPE (black arrow) on D180 (4x). Scale bars = 200 &amp;#181;m.</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Subtypes of retinal cells were sequentially detected in three-dimensional retinal tissues.</w:t>
      </w:r>
      <w:r>
        <w:rPr>
          <w:rFonts w:ascii="Calibri" w:hAnsi="Calibri" w:cs="Calibri" w:eastAsia="Calibri"/>
          <w:color w:val="auto"/>
          <w:spacing w:val="0"/>
          <w:position w:val="0"/>
          <w:sz w:val="24"/>
          <w:shd w:fill="auto" w:val="clear"/>
        </w:rPr>
        <w:t xml:space="preserve"> Example images of major retinal cell types expressing specific markers by immunofluorescent staining.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Retinal progenitor cells expressed Ki67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VSX2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Islet1 positive retinal ganglion cells located in the basal side of the neural retina.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Amacrine cells positive for AP2&amp;#945;.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Muller glial cells positive for SOX9.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PKC&amp;#945; positive bipolar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Recoverin positive photoreceptor cells.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Rhodopsin positive rod photoreceptors.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L/M-opsin positive cone photoreceptors.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multi-step retinal induction protocol, hPSCs were guided step by step to gain the retinal fate, and self-organized into retinal organoids containing laminated NR and RPE. During the differentiation, hPSCs recapitulated all major steps of human retinal development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from EF, OV, and RPE, to retinal lamination, generating all subtypes of retinal cells, including retinal ganglion cells, amacrine cells, bipolar cells, rod, and cone photoreceptors, and muller glial cells in a spatial and temporal order. The recapitulation of retinal development would benefit the downstream applications, such as retinal disease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couple of protocols have been established to generate retinal organoids from hPSCs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According to the culture conditions, the protocols can be classified into 2D, 3D, and the combination of 2D and 3D approaches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The 2D approaches</w:t>
      </w:r>
      <w:r>
        <w:rPr>
          <w:rFonts w:ascii="Calibri" w:hAnsi="Calibri" w:cs="Calibri" w:eastAsia="Calibri"/>
          <w:color w:val="auto"/>
          <w:spacing w:val="0"/>
          <w:position w:val="0"/>
          <w:sz w:val="24"/>
          <w:shd w:fill="auto" w:val="clear"/>
          <w:vertAlign w:val="superscript"/>
        </w:rPr>
        <w:t xml:space="preserve">6,10,22</w:t>
      </w:r>
      <w:r>
        <w:rPr>
          <w:rFonts w:ascii="Calibri" w:hAnsi="Calibri" w:cs="Calibri" w:eastAsia="Calibri"/>
          <w:color w:val="auto"/>
          <w:spacing w:val="0"/>
          <w:position w:val="0"/>
          <w:sz w:val="24"/>
          <w:shd w:fill="auto" w:val="clear"/>
        </w:rPr>
        <w:t xml:space="preserve"> mean all the induction process occurs in the adherent culture conditions, generating retinal cells without architecture from hPSCs. In contrast, the 3D approaches</w:t>
      </w:r>
      <w:r>
        <w:rPr>
          <w:rFonts w:ascii="Calibri" w:hAnsi="Calibri" w:cs="Calibri" w:eastAsia="Calibri"/>
          <w:color w:val="auto"/>
          <w:spacing w:val="0"/>
          <w:position w:val="0"/>
          <w:sz w:val="24"/>
          <w:shd w:fill="auto" w:val="clear"/>
          <w:vertAlign w:val="superscript"/>
        </w:rPr>
        <w:t xml:space="preserve">7,11,23 </w:t>
      </w:r>
      <w:r>
        <w:rPr>
          <w:rFonts w:ascii="Calibri" w:hAnsi="Calibri" w:cs="Calibri" w:eastAsia="Calibri"/>
          <w:color w:val="auto"/>
          <w:spacing w:val="0"/>
          <w:position w:val="0"/>
          <w:sz w:val="24"/>
          <w:shd w:fill="auto" w:val="clear"/>
        </w:rPr>
        <w:t xml:space="preserve">mean all the induction process is under the suspension culture conditions, yielding organized retinal tissues. For example, Sasai, Y. et al.</w:t>
      </w:r>
      <w:r>
        <w:rPr>
          <w:rFonts w:ascii="Calibri" w:hAnsi="Calibri" w:cs="Calibri" w:eastAsia="Calibri"/>
          <w:color w:val="auto"/>
          <w:spacing w:val="0"/>
          <w:position w:val="0"/>
          <w:sz w:val="24"/>
          <w:shd w:fill="auto" w:val="clear"/>
          <w:vertAlign w:val="superscript"/>
        </w:rPr>
        <w:t xml:space="preserve">7,24</w:t>
      </w:r>
      <w:r>
        <w:rPr>
          <w:rFonts w:ascii="Calibri" w:hAnsi="Calibri" w:cs="Calibri" w:eastAsia="Calibri"/>
          <w:color w:val="auto"/>
          <w:spacing w:val="0"/>
          <w:position w:val="0"/>
          <w:sz w:val="24"/>
          <w:shd w:fill="auto" w:val="clear"/>
        </w:rPr>
        <w:t xml:space="preserve"> reported a SFEBq method (serum-free floating culture of embryoid-body-like aggregates with quick re-aggregation) to guide ESCs to differentiate into optic cups in suspension culture. Using the multi-steps 3D approaches</w:t>
      </w:r>
      <w:r>
        <w:rPr>
          <w:rFonts w:ascii="Calibri" w:hAnsi="Calibri" w:cs="Calibri" w:eastAsia="Calibri"/>
          <w:color w:val="auto"/>
          <w:spacing w:val="0"/>
          <w:position w:val="0"/>
          <w:sz w:val="24"/>
          <w:shd w:fill="auto" w:val="clear"/>
          <w:vertAlign w:val="superscript"/>
        </w:rPr>
        <w:t xml:space="preserve">8,11,18,20,25</w:t>
      </w:r>
      <w:r>
        <w:rPr>
          <w:rFonts w:ascii="Calibri" w:hAnsi="Calibri" w:cs="Calibri" w:eastAsia="Calibri"/>
          <w:color w:val="auto"/>
          <w:spacing w:val="0"/>
          <w:position w:val="0"/>
          <w:sz w:val="24"/>
          <w:shd w:fill="auto" w:val="clear"/>
        </w:rPr>
        <w:t xml:space="preserve"> including this protocol, hPSCs have been induced toward retinal fates and organoids under both adherent and suspension culture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induce hPSCs to neural retinal fate, a series of exogenous factors have been added to the media in many protocols. For example, Lamba,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added a combination of noggin (an inhibitor of the BMP pathway) and Dickkopf-1 (dkk1, an antagonist of the Wnt/&amp;#946;-catenin signaling pathway) and insulin-like growth factor-1 (IGF-1) to direct ESCs to an anterior neural fate. Osakada,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added DAPT (a Notch signaling pathways inhibitor) and Left-Right Determination Factor A (a WNT signaling pathways inhibitor) to obtain rod and cone photoreceptor precursors. Kuwahara,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Capowski,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added BMP4 for brief, early exposure of hPSCs culture to improve OV production. By contrast, this optimized retinal induction protocol is simple and low cost without requiring extrinsic signaling modulators except the basic supplement of N2 and B27.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Retinoic acid (RA) plays an important role in retinal development and photoreceptor determination</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Most of the protocols were developed with the supplement of RA (0.5-1 &amp;#181;M) in certain periods. Our studies have demonstrated that two high concentration of RA or too long period of RA treatment result in rod-rich photoreceptors but inhibit cone differentiation</w:t>
      </w:r>
      <w:r>
        <w:rPr>
          <w:rFonts w:ascii="Calibri" w:hAnsi="Calibri" w:cs="Calibri" w:eastAsia="Calibri"/>
          <w:color w:val="auto"/>
          <w:spacing w:val="0"/>
          <w:position w:val="0"/>
          <w:sz w:val="24"/>
          <w:shd w:fill="auto" w:val="clear"/>
          <w:vertAlign w:val="superscript"/>
        </w:rPr>
        <w:t xml:space="preserve">8,18</w:t>
      </w:r>
      <w:r>
        <w:rPr>
          <w:rFonts w:ascii="Calibri" w:hAnsi="Calibri" w:cs="Calibri" w:eastAsia="Calibri"/>
          <w:color w:val="auto"/>
          <w:spacing w:val="0"/>
          <w:position w:val="0"/>
          <w:sz w:val="24"/>
          <w:shd w:fill="auto" w:val="clear"/>
        </w:rPr>
        <w:t xml:space="preserve">. However, in this optimized protocol, RA is not added to the culture media throughout the whole differentiation process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promoting the production of cone photoreceptors, which is responsible of human day-time vision and color vision and required for cell replacement of RD treatment. Although some studies reveal thyroid hormone signaling directs cone subtypes in mice and human retina</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regulator for cone commitment is still unclear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Kim,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Lowe, A.,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long-term culture also without any exogenous retinoic acid generated cone-rich retinal organoids, which is consistent with this optimized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point of this protocol to grasp is to make high quality of EBs and to seed EBs appropriately. Cells grow fast during early EBs suspension culture. Medium should be changed every day and be enough to provide abundant nutrition. The size of EBs, approximate 200 um in diameter, is appropriate for the retinal differentiation. The planting density of EBs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EBs per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suitable for most of hPSC lines. The most advantage of this optimized protocol is the quantification of EB size and plating density to significantly enhance the efficiency and repeatability of retinal induction. We have clearly described all the steps in detail, which largely helps the inexperienced researchers to learn and repeat the retinal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retinal induction efficiency largely depends on the quality and differentiation potency of the hPSCs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Different hPSCs have different efficiencies. Some hPSC lines indeed are under poor efficiency, which might be due to the reprogramming methods, somatic cells, and so on. This protocol has been confirmed suitable for various hPSCs to obtain 3D retinal organoids and the RPE, including various hESCs and hiPSCs reprogrammed from fibroblasts, blood, and urine cells</w:t>
      </w:r>
      <w:r>
        <w:rPr>
          <w:rFonts w:ascii="Calibri" w:hAnsi="Calibri" w:cs="Calibri" w:eastAsia="Calibri"/>
          <w:color w:val="auto"/>
          <w:spacing w:val="0"/>
          <w:position w:val="0"/>
          <w:sz w:val="24"/>
          <w:shd w:fill="auto" w:val="clear"/>
          <w:vertAlign w:val="superscript"/>
        </w:rPr>
        <w:t xml:space="preserve">18,20,21</w:t>
      </w:r>
      <w:r>
        <w:rPr>
          <w:rFonts w:ascii="Calibri" w:hAnsi="Calibri" w:cs="Calibri" w:eastAsia="Calibri"/>
          <w:color w:val="auto"/>
          <w:spacing w:val="0"/>
          <w:position w:val="0"/>
          <w:sz w:val="24"/>
          <w:shd w:fill="auto" w:val="clear"/>
        </w:rPr>
        <w:t xml:space="preserve">. In general, with this protocol described above, one well of hPSCs (about 80% confluence) in a 6-well plate can generate about 1,000 EBs, yielding roughly 200 ROs. Therefore, this protocol with high efficiency is suitable for large-scale production of retinal organoids and benefits the downstream applications including basic and translation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optimized retinal induction protocol is simple and low cost with high repeatability and efficiency, offers promising personalized models of retinal diseases and provides abundant cell source for cell therapy, drug screening, and gene therapy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Xiufeng Zhong is the patent inventor related to the generation of retinal cells from human pluripotent stem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Key R&amp;amp;D Program of China (2016YFC1101103, 2017YFA0104101), the Guangzhou Science and Technology Project Fund (201803010078), the Science &amp;amp; Technology Project of Guangdong Province (2017B020230003), the Natural Science Foundation (NSF) of China (81570874, 81970842), Hundred talent program of Sun Yat-sen University (PT1001010), and the Fundamental Research Funds of the State Key Laboratory of Ophthalmology.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Flaxman,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causes of blindness and distance vision impairment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 a systematic review and meta-analysis. </w:t>
      </w:r>
      <w:r>
        <w:rPr>
          <w:rFonts w:ascii="Calibri" w:hAnsi="Calibri" w:cs="Calibri" w:eastAsia="Calibri"/>
          <w:i/>
          <w:color w:val="auto"/>
          <w:spacing w:val="0"/>
          <w:position w:val="0"/>
          <w:sz w:val="24"/>
          <w:shd w:fill="auto" w:val="clear"/>
        </w:rPr>
        <w:t xml:space="preserve">The Lancet Global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e1221-e1234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Sayed, N., Liu, C, Wu, J. C. Translation of human-induced pluripotent stem cells: From clinical trial in a dish to precision medicine. </w:t>
      </w:r>
      <w:r>
        <w:rPr>
          <w:rFonts w:ascii="Calibri" w:hAnsi="Calibri" w:cs="Calibri" w:eastAsia="Calibri"/>
          <w:i/>
          <w:color w:val="auto"/>
          <w:spacing w:val="0"/>
          <w:position w:val="0"/>
          <w:sz w:val="24"/>
          <w:shd w:fill="auto" w:val="clear"/>
        </w:rPr>
        <w:t xml:space="preserve">Journal of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(18), 2161-2176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Capowski, 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Reproducibility and staging of 3D human retinal organoids across multiple pluripotent stem cell lines.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Brooks, M. J. et al. Improved retinal organoid differentiation by modulating signaling pathways revealed by comparative transcriptome analyses with development in vivo.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891-905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Zerti,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Developing a simple method to enhance the generation of cone and rod photoreceptors in pluripotent stem cell-derived retinal organoids.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45-51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Osakada, F. et al. Toward the generation of rod and cone photoreceptors from mouse, monkey and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215-224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Nakano,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Self-formation of optic cups and storable stratified neural retina from human ESCs.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771-785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Zhong,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three-dimensional retinal tissue with functional photoreceptors from human iPSCs.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4047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C., Oikonomopoulos, A., Sayed, N., Wu, J. C. Modeling human diseases with induced pluripotent stem cells: from 2D to 3D and beyond.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Lamba, D. A., Gust, J., Reh, T. A. Transplantation of human embryonic stem cell-derived photoreceptors restores some visual function in Crx-deficient mice.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73-79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Reichman, S. et al. From confluent human iPS cells to self-forming neural retina and retinal pigmented epithelium.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(23), 8518-8523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Maeda, A., Mandai, M., Takahashi, M. Gene and Induced Pluripotent Stem Cell Therapy for Retinal Diseases. </w:t>
      </w:r>
      <w:r>
        <w:rPr>
          <w:rFonts w:ascii="Calibri" w:hAnsi="Calibri" w:cs="Calibri" w:eastAsia="Calibri"/>
          <w:i/>
          <w:color w:val="auto"/>
          <w:spacing w:val="0"/>
          <w:position w:val="0"/>
          <w:sz w:val="24"/>
          <w:shd w:fill="auto" w:val="clear"/>
        </w:rPr>
        <w:t xml:space="preserve">Annual Review Genomics and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201-216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Kruczek, K., Swaroop, A. Pluripotent stem cell-derived retinal organoids for disease modeling and development of therapies.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1206-1215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O'Hara-Wright, M., Gonzalez-Cordero, A. Retinal organoids: a window into human retinal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(24),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Eckert, P., Knickmeyer, M. D., Schutz, L., Wittbrodt, J., Heermann, S. Morphogenesis and axis specification occur in parallel during optic cup and optic fissure formation, differentially modulated by BMP and Wnt.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180179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Patel, A., Sowden, J. C. Genes and pathways in optic fissure closure. </w:t>
      </w:r>
      <w:r>
        <w:rPr>
          <w:rFonts w:ascii="Calibri" w:hAnsi="Calibri" w:cs="Calibri" w:eastAsia="Calibri"/>
          <w:i/>
          <w:color w:val="auto"/>
          <w:spacing w:val="0"/>
          <w:position w:val="0"/>
          <w:sz w:val="24"/>
          <w:shd w:fill="auto" w:val="clear"/>
        </w:rPr>
        <w:t xml:space="preserve">Seminals in Cell and Development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55-65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Chan, B. H. C., Moosajee, M., Rainger, J. Closing the Ggap: Mechanisms of epithelial fusion during optic fissure closure.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 G. et al. Generation of retinal organoids with mature rods and cones from urine-derived human induced pluripotent stem cells.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4968658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Self-formation of RPE spheroids facilitates enrichment and expansion of hiPSC-derived RPE generated on retinal organoid induction platform.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(13), 5659-5669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Luo, Z. et al. An optimized system for effective derivation of three-dimensional retinal tissue via Wnt signaling regulation.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1709-1722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and characterization of induced pluripotent stem cells and retinal organoids from a leber's congenital amaurosis patient with novel RPE65 mutations.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212,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Matsa, E., Ahrens, J. H., Wu, J. C. Human induced pluripotent stem cells as a platform for personalized and precision cardiovascular medicine. </w:t>
      </w:r>
      <w:r>
        <w:rPr>
          <w:rFonts w:ascii="Calibri" w:hAnsi="Calibri" w:cs="Calibri" w:eastAsia="Calibri"/>
          <w:i/>
          <w:color w:val="auto"/>
          <w:spacing w:val="0"/>
          <w:position w:val="0"/>
          <w:sz w:val="24"/>
          <w:shd w:fill="auto" w:val="clear"/>
        </w:rPr>
        <w:t xml:space="preserve">Physiology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1093-1126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Wahlin, K. J. et al. Photoreceptor outer segment-like structures in long-term 3d retinas from human pluripotent stem cells.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766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Eiraku,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Self-organizing optic-cup morphogenesis in three-dimensional culture.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(7341), 51-56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Reichman,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storable retinal organoids and retinal pigmented epithelium from adherent human iPS cells in xeno-free and feeder-free conditions.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1176-1188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Lamba, D. A., Karl, M. O., Ware, C. B., Reh, T. A. Efficient generation of retinal progenitor cells from human embryonic stem cells.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(34), 12769-12774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Kuwahara, A. et al. Generation of a ciliary margin-like stem cell niche from self-organizing human retinal tissue.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6286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 Silva, S., Cepko, C. L. Fgf8 expression and degradation of retinoic acid are required for patterning a high-acuity area in the retina.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68-81 e66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Mitchell,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Retinoic acid signaling regulates differential expression of the tandemly-duplicated long wavelength-sensitive cone opsin genes in zebrafish.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e1005483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Stevens, C. B., Cameron, D. A., Stenkamp, D. L. Plasticity of photoreceptor-generating retinal progenitors revealed by prolonged retinoic acid exposure.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Eldred,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Thyroid hormone signaling specifies cone subtypes in human retinal organoids.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(6411)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Yang, F., Ma, H., Ding, X. Q. Thyroid hormone signaling in retinal development, survival, and disease. </w:t>
      </w:r>
      <w:r>
        <w:rPr>
          <w:rFonts w:ascii="Calibri" w:hAnsi="Calibri" w:cs="Calibri" w:eastAsia="Calibri"/>
          <w:i/>
          <w:color w:val="auto"/>
          <w:spacing w:val="0"/>
          <w:position w:val="0"/>
          <w:sz w:val="24"/>
          <w:shd w:fill="auto" w:val="clear"/>
        </w:rPr>
        <w:t xml:space="preserve">Vitamins and Hormones.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333-349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Brzezinski, J. A., Reh, T. A. Photoreceptor cell fate specification in vertebrates.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(19), 3263-3273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Kim,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transcriptome profiling, and functional validation of cone-rich human retinal organoids.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(22), 10824-10833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Lowe, A., Harris, R., Bhansali, P., Cvekl, A., Liu, W. Intercellular adhesion-dependent cell survival and ROCK-regulated actomyosin-driven forces mediate self-formation of a retinal organoid.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743-756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Carcamo-Orive, I. et al. Analysis of transcriptional variability in a large human ipsc library reveals genetic and non-genetic determinants of heterogeneity.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518-532 e519 (2017).</w:t>
      </w:r>
    </w:p>
    <w:p>
      <w:pPr>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DeBoever, C. et al. Large-scale profiling reveals the influence of genetic variation on gene expression in human induced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533-546 e537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