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67FF3C19" w:rsidR="006E4797" w:rsidRPr="00F133CB" w:rsidRDefault="00551D82" w:rsidP="002251F3">
      <w:pPr>
        <w:pBdr>
          <w:top w:val="nil"/>
          <w:left w:val="nil"/>
          <w:bottom w:val="nil"/>
          <w:right w:val="nil"/>
          <w:between w:val="nil"/>
        </w:pBdr>
        <w:rPr>
          <w:color w:val="000000"/>
        </w:rPr>
      </w:pPr>
      <w:r w:rsidRPr="00F133CB">
        <w:rPr>
          <w:b/>
          <w:color w:val="000000"/>
        </w:rPr>
        <w:t>TITLE:</w:t>
      </w:r>
      <w:r w:rsidRPr="00F133CB">
        <w:rPr>
          <w:color w:val="000000"/>
        </w:rPr>
        <w:t xml:space="preserve"> </w:t>
      </w:r>
    </w:p>
    <w:p w14:paraId="59AAC127" w14:textId="62DDAF14" w:rsidR="006E4797" w:rsidRPr="00F133CB" w:rsidRDefault="00F068CA" w:rsidP="002251F3">
      <w:r w:rsidRPr="00F133CB">
        <w:t>Zebrafish Model of Neuroblastoma Metastasis</w:t>
      </w:r>
    </w:p>
    <w:p w14:paraId="06C0C87E" w14:textId="77777777" w:rsidR="006E4797" w:rsidRPr="00F133CB" w:rsidRDefault="006E4797" w:rsidP="002251F3">
      <w:pPr>
        <w:rPr>
          <w:b/>
        </w:rPr>
      </w:pPr>
    </w:p>
    <w:p w14:paraId="2CD8481E" w14:textId="1FBA84C1" w:rsidR="006E4797" w:rsidRPr="00F133CB" w:rsidRDefault="00551D82" w:rsidP="002251F3">
      <w:pPr>
        <w:rPr>
          <w:color w:val="808080"/>
        </w:rPr>
      </w:pPr>
      <w:r w:rsidRPr="00F133CB">
        <w:rPr>
          <w:b/>
        </w:rPr>
        <w:t xml:space="preserve">AUTHORS AND AFFILIATIONS: </w:t>
      </w:r>
    </w:p>
    <w:p w14:paraId="00535F2C" w14:textId="6BD9D033" w:rsidR="006E4797" w:rsidRPr="00F133CB" w:rsidRDefault="009A40B5" w:rsidP="002251F3">
      <w:r w:rsidRPr="00F133CB">
        <w:t>Zuag Paj</w:t>
      </w:r>
      <w:r w:rsidR="00F133CB" w:rsidRPr="00F133CB">
        <w:t xml:space="preserve"> Her,</w:t>
      </w:r>
      <w:r w:rsidR="00155CBA" w:rsidRPr="00F133CB">
        <w:t xml:space="preserve"> Kok Siong</w:t>
      </w:r>
      <w:r w:rsidR="00F133CB" w:rsidRPr="00F133CB">
        <w:t xml:space="preserve"> Yeo,</w:t>
      </w:r>
      <w:r w:rsidR="00155CBA" w:rsidRPr="00F133CB">
        <w:t xml:space="preserve"> Cassie</w:t>
      </w:r>
      <w:r w:rsidR="00F133CB" w:rsidRPr="00F133CB">
        <w:t xml:space="preserve"> Howe,</w:t>
      </w:r>
      <w:r w:rsidR="00155CBA" w:rsidRPr="00F133CB">
        <w:t xml:space="preserve"> </w:t>
      </w:r>
      <w:r w:rsidR="00906182" w:rsidRPr="00F133CB">
        <w:t>Taylor</w:t>
      </w:r>
      <w:r w:rsidR="00F133CB" w:rsidRPr="00F133CB">
        <w:t xml:space="preserve"> Levee,</w:t>
      </w:r>
      <w:r w:rsidR="00906182" w:rsidRPr="00F133CB">
        <w:t xml:space="preserve"> </w:t>
      </w:r>
      <w:r w:rsidR="00155CBA" w:rsidRPr="00F133CB">
        <w:t>Shizhen</w:t>
      </w:r>
      <w:r w:rsidR="00F133CB" w:rsidRPr="00F133CB">
        <w:t xml:space="preserve"> Zhu </w:t>
      </w:r>
      <w:r w:rsidR="004C42D7" w:rsidRPr="00F133CB">
        <w:t xml:space="preserve"> </w:t>
      </w:r>
    </w:p>
    <w:p w14:paraId="71770ABB" w14:textId="77777777" w:rsidR="00906182" w:rsidRPr="00F133CB" w:rsidRDefault="00906182" w:rsidP="002251F3">
      <w:pPr>
        <w:rPr>
          <w:color w:val="808080"/>
        </w:rPr>
      </w:pPr>
    </w:p>
    <w:p w14:paraId="141ABDE5" w14:textId="72C0AB09" w:rsidR="006E4797" w:rsidRPr="00F133CB" w:rsidRDefault="00AF5923" w:rsidP="002251F3">
      <w:pPr>
        <w:pBdr>
          <w:top w:val="nil"/>
          <w:left w:val="nil"/>
          <w:bottom w:val="nil"/>
          <w:right w:val="nil"/>
          <w:between w:val="nil"/>
        </w:pBdr>
      </w:pPr>
      <w:r w:rsidRPr="00F133CB">
        <w:t>Department of Biochemistry and Molecular Biology, Mayo Clinic College of Medicine, Mayo Clin</w:t>
      </w:r>
      <w:r w:rsidR="00906182" w:rsidRPr="00F133CB">
        <w:t xml:space="preserve">ic Cancer Center, Rochester, MN </w:t>
      </w:r>
      <w:r w:rsidRPr="00F133CB">
        <w:t>55902, USA</w:t>
      </w:r>
    </w:p>
    <w:p w14:paraId="3F9646EF" w14:textId="22D58575" w:rsidR="00AF5923" w:rsidRPr="00F133CB" w:rsidRDefault="00AF5923" w:rsidP="002251F3">
      <w:pPr>
        <w:pBdr>
          <w:top w:val="nil"/>
          <w:left w:val="nil"/>
          <w:bottom w:val="nil"/>
          <w:right w:val="nil"/>
          <w:between w:val="nil"/>
        </w:pBdr>
        <w:rPr>
          <w:color w:val="000000"/>
        </w:rPr>
      </w:pPr>
    </w:p>
    <w:p w14:paraId="746D9CDD" w14:textId="1683A7CC" w:rsidR="00F133CB" w:rsidRPr="00F133CB" w:rsidRDefault="00F133CB" w:rsidP="002251F3">
      <w:pPr>
        <w:pBdr>
          <w:top w:val="nil"/>
          <w:left w:val="nil"/>
          <w:bottom w:val="nil"/>
          <w:right w:val="nil"/>
          <w:between w:val="nil"/>
        </w:pBdr>
        <w:rPr>
          <w:color w:val="000000"/>
        </w:rPr>
      </w:pPr>
      <w:r w:rsidRPr="00F133CB">
        <w:rPr>
          <w:color w:val="000000"/>
        </w:rPr>
        <w:t>Email Address of Corresponding author:</w:t>
      </w:r>
    </w:p>
    <w:p w14:paraId="53C8F96D" w14:textId="0086B22E" w:rsidR="00F133CB" w:rsidRPr="00F133CB" w:rsidRDefault="00F133CB" w:rsidP="002251F3">
      <w:pPr>
        <w:pBdr>
          <w:top w:val="nil"/>
          <w:left w:val="nil"/>
          <w:bottom w:val="nil"/>
          <w:right w:val="nil"/>
          <w:between w:val="nil"/>
        </w:pBdr>
        <w:tabs>
          <w:tab w:val="left" w:pos="6096"/>
        </w:tabs>
      </w:pPr>
      <w:r w:rsidRPr="00F133CB">
        <w:t>Shizhen Zhu</w:t>
      </w:r>
      <w:r>
        <w:t xml:space="preserve"> </w:t>
      </w:r>
      <w:r w:rsidRPr="00F133CB">
        <w:t>(Zhu.Shizhen@mayo.edu</w:t>
      </w:r>
      <w:r w:rsidRPr="00F133CB">
        <w:rPr>
          <w:rStyle w:val="Hyperlink"/>
          <w:color w:val="auto"/>
          <w:u w:val="none"/>
        </w:rPr>
        <w:t>)</w:t>
      </w:r>
    </w:p>
    <w:p w14:paraId="792EEF0F" w14:textId="3C046EDB" w:rsidR="00F133CB" w:rsidRPr="00F133CB" w:rsidRDefault="00F133CB" w:rsidP="002251F3">
      <w:pPr>
        <w:pBdr>
          <w:top w:val="nil"/>
          <w:left w:val="nil"/>
          <w:bottom w:val="nil"/>
          <w:right w:val="nil"/>
          <w:between w:val="nil"/>
        </w:pBdr>
        <w:rPr>
          <w:color w:val="000000"/>
        </w:rPr>
      </w:pPr>
    </w:p>
    <w:p w14:paraId="702BC76E" w14:textId="5A2F316F" w:rsidR="00F133CB" w:rsidRPr="00F133CB" w:rsidRDefault="00F133CB" w:rsidP="002251F3">
      <w:pPr>
        <w:pBdr>
          <w:top w:val="nil"/>
          <w:left w:val="nil"/>
          <w:bottom w:val="nil"/>
          <w:right w:val="nil"/>
          <w:between w:val="nil"/>
        </w:pBdr>
        <w:rPr>
          <w:color w:val="000000"/>
        </w:rPr>
      </w:pPr>
      <w:r w:rsidRPr="00F133CB">
        <w:rPr>
          <w:color w:val="000000"/>
        </w:rPr>
        <w:t xml:space="preserve">Email Addresses of Co-Authors: </w:t>
      </w:r>
    </w:p>
    <w:p w14:paraId="26A5AA85" w14:textId="0463F883" w:rsidR="00F133CB" w:rsidRPr="00F133CB" w:rsidRDefault="00F133CB" w:rsidP="002251F3">
      <w:pPr>
        <w:rPr>
          <w:color w:val="808080"/>
        </w:rPr>
      </w:pPr>
      <w:r w:rsidRPr="00F133CB">
        <w:t>Zuag Paj Her (Her.ZuagPaj@mayo.edu)</w:t>
      </w:r>
    </w:p>
    <w:p w14:paraId="3C8B85F6" w14:textId="6B6BB0A4" w:rsidR="00F133CB" w:rsidRPr="00F133CB" w:rsidRDefault="00F133CB" w:rsidP="002251F3">
      <w:pPr>
        <w:rPr>
          <w:color w:val="808080"/>
        </w:rPr>
      </w:pPr>
      <w:r w:rsidRPr="00F133CB">
        <w:t>Kok Siong Yeo (Yeo.KokSiong@mayo.edu)</w:t>
      </w:r>
    </w:p>
    <w:p w14:paraId="4F9EF972" w14:textId="0B88C4BD" w:rsidR="00F133CB" w:rsidRPr="00F133CB" w:rsidRDefault="00F133CB" w:rsidP="002251F3">
      <w:pPr>
        <w:rPr>
          <w:color w:val="808080"/>
        </w:rPr>
      </w:pPr>
      <w:r w:rsidRPr="00F133CB">
        <w:t>Cassie Howe (Howe.Cassie@mayo.edu)</w:t>
      </w:r>
    </w:p>
    <w:p w14:paraId="20D46468" w14:textId="6BE58D42" w:rsidR="00F133CB" w:rsidRPr="00F133CB" w:rsidRDefault="00F133CB" w:rsidP="002251F3">
      <w:pPr>
        <w:rPr>
          <w:color w:val="808080"/>
        </w:rPr>
      </w:pPr>
      <w:r w:rsidRPr="00F133CB">
        <w:t>Taylor Levee (Levee.Taylor@mayo.edu)</w:t>
      </w:r>
      <w:r w:rsidRPr="00F133CB">
        <w:rPr>
          <w:color w:val="808080"/>
        </w:rPr>
        <w:t xml:space="preserve"> </w:t>
      </w:r>
    </w:p>
    <w:p w14:paraId="3E45D043" w14:textId="77777777" w:rsidR="00F133CB" w:rsidRPr="00F133CB" w:rsidRDefault="00F133CB" w:rsidP="002251F3"/>
    <w:p w14:paraId="60F3B8D4" w14:textId="5801206D" w:rsidR="006E4797" w:rsidRPr="00F133CB" w:rsidRDefault="00551D82" w:rsidP="002251F3">
      <w:r w:rsidRPr="00F133CB">
        <w:rPr>
          <w:b/>
        </w:rPr>
        <w:t>SUMMARY:</w:t>
      </w:r>
      <w:r w:rsidRPr="00F133CB">
        <w:t xml:space="preserve"> </w:t>
      </w:r>
    </w:p>
    <w:p w14:paraId="74EFC8D7" w14:textId="37281D53" w:rsidR="006E4797" w:rsidRPr="00F133CB" w:rsidRDefault="00C42D7F" w:rsidP="002251F3">
      <w:r w:rsidRPr="00F133CB">
        <w:t xml:space="preserve">This paper introduces </w:t>
      </w:r>
      <w:r w:rsidR="00F133CB">
        <w:t>the</w:t>
      </w:r>
      <w:r w:rsidRPr="00F133CB">
        <w:t xml:space="preserve"> method of developing, characterizing</w:t>
      </w:r>
      <w:r w:rsidR="0043035B" w:rsidRPr="00F133CB">
        <w:t>,</w:t>
      </w:r>
      <w:r w:rsidRPr="00F133CB">
        <w:t xml:space="preserve"> and tracking in real-time the tumor metastasis in zebrafish model of neuroblastoma, specifically in the transgenic zebrafish line with overexpression of </w:t>
      </w:r>
      <w:r w:rsidRPr="00F133CB">
        <w:rPr>
          <w:i/>
        </w:rPr>
        <w:t>MYCN</w:t>
      </w:r>
      <w:r w:rsidRPr="00F133CB">
        <w:t xml:space="preserve"> and </w:t>
      </w:r>
      <w:r w:rsidRPr="00F133CB">
        <w:rPr>
          <w:i/>
        </w:rPr>
        <w:t>LMO1</w:t>
      </w:r>
      <w:r w:rsidRPr="00F133CB">
        <w:t xml:space="preserve">, which develops metastasis spontaneously.  </w:t>
      </w:r>
    </w:p>
    <w:p w14:paraId="07395583" w14:textId="77777777" w:rsidR="00140088" w:rsidRPr="00F133CB" w:rsidRDefault="00140088" w:rsidP="002251F3"/>
    <w:p w14:paraId="3D922A74" w14:textId="2E25AFB3" w:rsidR="00140088" w:rsidRPr="00F133CB" w:rsidRDefault="00140088" w:rsidP="002251F3">
      <w:r w:rsidRPr="00F133CB">
        <w:rPr>
          <w:b/>
        </w:rPr>
        <w:t>ABSTRACT:</w:t>
      </w:r>
      <w:r w:rsidRPr="00F133CB">
        <w:t xml:space="preserve">  </w:t>
      </w:r>
    </w:p>
    <w:p w14:paraId="2B736FE5" w14:textId="19BFEB96" w:rsidR="00140088" w:rsidRPr="00F133CB" w:rsidRDefault="00140088" w:rsidP="002251F3">
      <w:r w:rsidRPr="00F133CB">
        <w:t>Zebrafish has emerged as an important animal model to study human diseases, especially cancer. Along with the robust transgenic and genome editing technologies applied in zebrafish modeling, the ease of maintenance, high-yield productivity, and powerful li</w:t>
      </w:r>
      <w:r w:rsidR="00A33C8D" w:rsidRPr="00F133CB">
        <w:t>ve imaging altogether make the zebrafish</w:t>
      </w:r>
      <w:r w:rsidRPr="00F133CB">
        <w:t xml:space="preserve"> a valuable model system to study metastasis and cellular and molecular bases underlying this process </w:t>
      </w:r>
      <w:r w:rsidRPr="00F133CB">
        <w:rPr>
          <w:i/>
        </w:rPr>
        <w:t>in vivo</w:t>
      </w:r>
      <w:r w:rsidRPr="00F133CB">
        <w:t xml:space="preserve">. The first zebrafish neuroblastoma (NB) model of metastasis was developed by overexpressing two oncogenes, </w:t>
      </w:r>
      <w:r w:rsidR="00A33C8D" w:rsidRPr="00F133CB">
        <w:rPr>
          <w:i/>
        </w:rPr>
        <w:t>MYCN</w:t>
      </w:r>
      <w:r w:rsidRPr="00F133CB">
        <w:t xml:space="preserve"> and </w:t>
      </w:r>
      <w:r w:rsidR="00A33C8D" w:rsidRPr="00F133CB">
        <w:rPr>
          <w:i/>
        </w:rPr>
        <w:t>LMO1</w:t>
      </w:r>
      <w:r w:rsidRPr="00F133CB">
        <w:t>, under control of the dopamine-beta-hydroxylase (</w:t>
      </w:r>
      <w:proofErr w:type="spellStart"/>
      <w:r w:rsidRPr="00F133CB">
        <w:rPr>
          <w:i/>
        </w:rPr>
        <w:t>dϐh</w:t>
      </w:r>
      <w:proofErr w:type="spellEnd"/>
      <w:r w:rsidRPr="00F133CB">
        <w:t xml:space="preserve">) promoter. Co-overexpressed </w:t>
      </w:r>
      <w:r w:rsidR="00A33C8D" w:rsidRPr="00F133CB">
        <w:rPr>
          <w:i/>
        </w:rPr>
        <w:t>MYCN</w:t>
      </w:r>
      <w:r w:rsidRPr="00F133CB">
        <w:t xml:space="preserve"> and </w:t>
      </w:r>
      <w:r w:rsidR="00A33C8D" w:rsidRPr="00F133CB">
        <w:rPr>
          <w:i/>
        </w:rPr>
        <w:t>LMO1</w:t>
      </w:r>
      <w:r w:rsidRPr="00F133CB">
        <w:t xml:space="preserve"> led to </w:t>
      </w:r>
      <w:r w:rsidR="00F133CB" w:rsidRPr="00F133CB">
        <w:t xml:space="preserve">the </w:t>
      </w:r>
      <w:r w:rsidRPr="00F133CB">
        <w:t xml:space="preserve">reduced latency and increased penetrance of </w:t>
      </w:r>
      <w:proofErr w:type="spellStart"/>
      <w:r w:rsidRPr="00F133CB">
        <w:t>neuroblastomagenesis</w:t>
      </w:r>
      <w:proofErr w:type="spellEnd"/>
      <w:r w:rsidRPr="00F133CB">
        <w:t xml:space="preserve">, as well as accelerated distant metastasis of tumor cells. This new model reliably reiterates many key features of human metastatic NB, including involvement of clinically relevant and metastasis-associated genetic alterations; natural and spontaneous development of metastasis </w:t>
      </w:r>
      <w:r w:rsidRPr="00F133CB">
        <w:rPr>
          <w:i/>
        </w:rPr>
        <w:t>in vivo</w:t>
      </w:r>
      <w:r w:rsidRPr="00F133CB">
        <w:t xml:space="preserve">; and conserved sites of metastases. Therefore, the zebrafish model possesses unique advantages to dissect the complex process of tumor metastasis </w:t>
      </w:r>
      <w:r w:rsidRPr="00F133CB">
        <w:rPr>
          <w:i/>
        </w:rPr>
        <w:t>in vivo</w:t>
      </w:r>
      <w:r w:rsidRPr="00F133CB">
        <w:t>.</w:t>
      </w:r>
    </w:p>
    <w:p w14:paraId="0698702C" w14:textId="77777777" w:rsidR="00140088" w:rsidRPr="00F133CB" w:rsidRDefault="00140088" w:rsidP="002251F3"/>
    <w:p w14:paraId="21140281" w14:textId="05592EA5" w:rsidR="00140088" w:rsidRPr="00F133CB" w:rsidRDefault="00140088" w:rsidP="002251F3">
      <w:r w:rsidRPr="00F133CB">
        <w:rPr>
          <w:b/>
        </w:rPr>
        <w:t>INTRODUCTION:</w:t>
      </w:r>
      <w:r w:rsidRPr="00F133CB">
        <w:t xml:space="preserve"> </w:t>
      </w:r>
    </w:p>
    <w:p w14:paraId="17B0E363" w14:textId="65708FD8" w:rsidR="00140088" w:rsidRPr="00F133CB" w:rsidRDefault="00140088" w:rsidP="002251F3">
      <w:r w:rsidRPr="00F133CB">
        <w:t>Zebrafish has been widely used and applied to several areas of research, especially in cancer. This model provides many advantages—such as its robust reproduction, cost-effective maintenance, and versatile visualization of tumor growth and metastasis—all of which make zebrafish a powerful tool to study and investigate the cellular and molecular bases of tumorigenesis and metastasis. New techniques for large-scale genome mapping, transgenesis, g</w:t>
      </w:r>
      <w:r w:rsidR="006F308E" w:rsidRPr="00F133CB">
        <w:t xml:space="preserve">enes overexpression </w:t>
      </w:r>
      <w:r w:rsidR="006F308E" w:rsidRPr="00F133CB">
        <w:lastRenderedPageBreak/>
        <w:t>or knockout</w:t>
      </w:r>
      <w:r w:rsidRPr="00F133CB">
        <w:t>, cell transplantation, and chemical screens have immensely augmented the power of the zebrafish model</w:t>
      </w:r>
      <w:r w:rsidRPr="00F133CB">
        <w:rPr>
          <w:vertAlign w:val="superscript"/>
        </w:rPr>
        <w:t>1</w:t>
      </w:r>
      <w:r w:rsidRPr="00F133CB">
        <w:t xml:space="preserve">. During the past few years, many zebrafish lines </w:t>
      </w:r>
      <w:r w:rsidR="006F308E" w:rsidRPr="00F133CB">
        <w:t xml:space="preserve">have been developed to study tumorigenesis and metastasis of a variety of </w:t>
      </w:r>
      <w:r w:rsidRPr="00F133CB">
        <w:t>human cancers, including but not limited to leukemia, melanoma, rhabdomyosarcoma, and hepatocellular carcinoma</w:t>
      </w:r>
      <w:r w:rsidRPr="00F133CB">
        <w:rPr>
          <w:vertAlign w:val="superscript"/>
        </w:rPr>
        <w:t>2</w:t>
      </w:r>
      <w:r w:rsidR="00F133CB" w:rsidRPr="00F133CB">
        <w:rPr>
          <w:vertAlign w:val="superscript"/>
        </w:rPr>
        <w:t>-</w:t>
      </w:r>
      <w:r w:rsidR="006F308E" w:rsidRPr="00F133CB">
        <w:rPr>
          <w:vertAlign w:val="superscript"/>
        </w:rPr>
        <w:t>5</w:t>
      </w:r>
      <w:r w:rsidRPr="00F133CB">
        <w:t>.</w:t>
      </w:r>
      <w:r w:rsidR="00E9469B" w:rsidRPr="00F133CB">
        <w:t xml:space="preserve"> Additionally, the first zebrafish model of neuroblastoma (NB) was generated by overexpressing </w:t>
      </w:r>
      <w:r w:rsidR="00E9469B" w:rsidRPr="00F133CB">
        <w:rPr>
          <w:i/>
        </w:rPr>
        <w:t xml:space="preserve">MYCN, </w:t>
      </w:r>
      <w:r w:rsidR="00E9469B" w:rsidRPr="00F133CB">
        <w:t>an oncogene, in the peripheral sympathetic nervous system (PSNS) under control of the dopamine-beta-hydroxylase (</w:t>
      </w:r>
      <w:proofErr w:type="spellStart"/>
      <w:r w:rsidR="00E9469B" w:rsidRPr="00F133CB">
        <w:rPr>
          <w:i/>
        </w:rPr>
        <w:t>dϐh</w:t>
      </w:r>
      <w:proofErr w:type="spellEnd"/>
      <w:r w:rsidR="00E9469B" w:rsidRPr="00F133CB">
        <w:t>) promoter</w:t>
      </w:r>
      <w:r w:rsidR="00EB2FE9" w:rsidRPr="00F133CB">
        <w:t xml:space="preserve">. </w:t>
      </w:r>
      <w:r w:rsidRPr="00F133CB">
        <w:t xml:space="preserve">With this model, it was further demonstrated that activated </w:t>
      </w:r>
      <w:r w:rsidRPr="00F133CB">
        <w:rPr>
          <w:i/>
        </w:rPr>
        <w:t>ALK</w:t>
      </w:r>
      <w:r w:rsidRPr="00F133CB">
        <w:t xml:space="preserve"> can synergize with </w:t>
      </w:r>
      <w:r w:rsidRPr="00F133CB">
        <w:rPr>
          <w:i/>
        </w:rPr>
        <w:t>MYCN</w:t>
      </w:r>
      <w:r w:rsidRPr="00F133CB">
        <w:t xml:space="preserve"> to accelerate tumor onset and increase tumor penetrance </w:t>
      </w:r>
      <w:r w:rsidRPr="00F133CB">
        <w:rPr>
          <w:i/>
        </w:rPr>
        <w:t xml:space="preserve">in </w:t>
      </w:r>
      <w:r w:rsidRPr="00F133CB">
        <w:t>vivo</w:t>
      </w:r>
      <w:r w:rsidR="006F308E" w:rsidRPr="00F133CB">
        <w:rPr>
          <w:vertAlign w:val="superscript"/>
        </w:rPr>
        <w:t>6</w:t>
      </w:r>
      <w:r w:rsidRPr="00F133CB">
        <w:t xml:space="preserve">.  </w:t>
      </w:r>
    </w:p>
    <w:p w14:paraId="551ED489" w14:textId="77777777" w:rsidR="00F42253" w:rsidRPr="00F133CB" w:rsidRDefault="00F42253" w:rsidP="002251F3"/>
    <w:p w14:paraId="780FFC3E" w14:textId="0E9D546B" w:rsidR="00140088" w:rsidRPr="00F133CB" w:rsidRDefault="00140088" w:rsidP="002251F3">
      <w:r w:rsidRPr="00F133CB">
        <w:t>NB is derived from the sympathoadrenal lineage of the neural crest cells, and is a highly metastatic cancer in children</w:t>
      </w:r>
      <w:r w:rsidR="006F308E" w:rsidRPr="00F133CB">
        <w:rPr>
          <w:vertAlign w:val="superscript"/>
        </w:rPr>
        <w:t>7</w:t>
      </w:r>
      <w:r w:rsidRPr="00F133CB">
        <w:t>. It is responsible for 10% of pediatric cancer-related deaths</w:t>
      </w:r>
      <w:r w:rsidR="006F308E" w:rsidRPr="00F133CB">
        <w:rPr>
          <w:vertAlign w:val="superscript"/>
        </w:rPr>
        <w:t>8</w:t>
      </w:r>
      <w:r w:rsidRPr="00F133CB">
        <w:t xml:space="preserve">. Widely metastasized at diagnosis, NB can be clinically presented as tumors primarily </w:t>
      </w:r>
      <w:r w:rsidR="00FF4DBB" w:rsidRPr="00F133CB">
        <w:t>originating along the chain</w:t>
      </w:r>
      <w:r w:rsidRPr="00F133CB">
        <w:t xml:space="preserve"> of</w:t>
      </w:r>
      <w:r w:rsidR="00FF4DBB" w:rsidRPr="00F133CB">
        <w:t xml:space="preserve"> </w:t>
      </w:r>
      <w:r w:rsidR="00A33C8D" w:rsidRPr="00F133CB">
        <w:t xml:space="preserve">the </w:t>
      </w:r>
      <w:r w:rsidR="00FF4DBB" w:rsidRPr="00F133CB">
        <w:t>sympathetic ganglia</w:t>
      </w:r>
      <w:r w:rsidRPr="00F133CB">
        <w:t xml:space="preserve"> </w:t>
      </w:r>
      <w:r w:rsidR="00FF4DBB" w:rsidRPr="00F133CB">
        <w:t xml:space="preserve">and </w:t>
      </w:r>
      <w:r w:rsidRPr="00F133CB">
        <w:t>the adrenal medulla of</w:t>
      </w:r>
      <w:r w:rsidR="00FF4DBB" w:rsidRPr="00F133CB">
        <w:t xml:space="preserve"> PSNS</w:t>
      </w:r>
      <w:r w:rsidR="006F308E" w:rsidRPr="00F133CB">
        <w:rPr>
          <w:vertAlign w:val="superscript"/>
        </w:rPr>
        <w:t>9</w:t>
      </w:r>
      <w:r w:rsidRPr="00F133CB">
        <w:rPr>
          <w:vertAlign w:val="superscript"/>
        </w:rPr>
        <w:t>,</w:t>
      </w:r>
      <w:r w:rsidR="006F308E" w:rsidRPr="00F133CB">
        <w:rPr>
          <w:vertAlign w:val="superscript"/>
        </w:rPr>
        <w:t>10</w:t>
      </w:r>
      <w:r w:rsidRPr="00F133CB">
        <w:t xml:space="preserve">. </w:t>
      </w:r>
      <w:r w:rsidRPr="00F133CB">
        <w:rPr>
          <w:i/>
        </w:rPr>
        <w:t>MYCN</w:t>
      </w:r>
      <w:r w:rsidRPr="00F133CB">
        <w:t xml:space="preserve"> amplification is commonly associated with poor outcomes in NB patients</w:t>
      </w:r>
      <w:r w:rsidR="006F308E" w:rsidRPr="00F133CB">
        <w:rPr>
          <w:vertAlign w:val="superscript"/>
        </w:rPr>
        <w:t>11</w:t>
      </w:r>
      <w:r w:rsidRPr="00F133CB">
        <w:rPr>
          <w:vertAlign w:val="superscript"/>
        </w:rPr>
        <w:t>,1</w:t>
      </w:r>
      <w:r w:rsidR="006F308E" w:rsidRPr="00F133CB">
        <w:rPr>
          <w:vertAlign w:val="superscript"/>
        </w:rPr>
        <w:t>2</w:t>
      </w:r>
      <w:r w:rsidRPr="00F133CB">
        <w:t xml:space="preserve">. </w:t>
      </w:r>
      <w:r w:rsidR="006F308E" w:rsidRPr="00F133CB">
        <w:t>Moreover</w:t>
      </w:r>
      <w:r w:rsidRPr="00F133CB">
        <w:t xml:space="preserve">, </w:t>
      </w:r>
      <w:r w:rsidRPr="00F133CB">
        <w:rPr>
          <w:i/>
        </w:rPr>
        <w:t>LMO1</w:t>
      </w:r>
      <w:r w:rsidRPr="00F133CB">
        <w:t xml:space="preserve"> has been identified as a critical NB susceptibility gene in high-risk cases</w:t>
      </w:r>
      <w:r w:rsidR="006F308E" w:rsidRPr="00F133CB">
        <w:rPr>
          <w:vertAlign w:val="superscript"/>
        </w:rPr>
        <w:t>13</w:t>
      </w:r>
      <w:r w:rsidRPr="00F133CB">
        <w:rPr>
          <w:vertAlign w:val="superscript"/>
        </w:rPr>
        <w:t>,1</w:t>
      </w:r>
      <w:r w:rsidR="006F308E" w:rsidRPr="00F133CB">
        <w:rPr>
          <w:vertAlign w:val="superscript"/>
        </w:rPr>
        <w:t>4</w:t>
      </w:r>
      <w:r w:rsidR="006C3ECD" w:rsidRPr="00F133CB">
        <w:t xml:space="preserve">. Studies </w:t>
      </w:r>
      <w:r w:rsidRPr="00F133CB">
        <w:t>found that</w:t>
      </w:r>
      <w:r w:rsidR="006C3ECD" w:rsidRPr="00F133CB">
        <w:t xml:space="preserve"> the</w:t>
      </w:r>
      <w:r w:rsidRPr="00F133CB">
        <w:t xml:space="preserve"> transgenic coexpression of </w:t>
      </w:r>
      <w:r w:rsidR="00A33C8D" w:rsidRPr="00F133CB">
        <w:rPr>
          <w:i/>
        </w:rPr>
        <w:t>MYCN</w:t>
      </w:r>
      <w:r w:rsidRPr="00F133CB">
        <w:t xml:space="preserve"> and </w:t>
      </w:r>
      <w:r w:rsidR="00A33C8D" w:rsidRPr="00F133CB">
        <w:rPr>
          <w:i/>
        </w:rPr>
        <w:t>LMO1</w:t>
      </w:r>
      <w:r w:rsidRPr="00F133CB">
        <w:t xml:space="preserve"> in the PSNS of </w:t>
      </w:r>
      <w:r w:rsidR="006C3ECD" w:rsidRPr="00F133CB">
        <w:t xml:space="preserve">the </w:t>
      </w:r>
      <w:r w:rsidRPr="00F133CB">
        <w:t>zebrafish model not only promotes earlier onset of NB, but also induces wides</w:t>
      </w:r>
      <w:r w:rsidR="006C3ECD" w:rsidRPr="00F133CB">
        <w:t xml:space="preserve">pread metastasis to the tissues and organs that are similar to </w:t>
      </w:r>
      <w:r w:rsidRPr="00F133CB">
        <w:t>sites commonly seen in patients with high-risk NB</w:t>
      </w:r>
      <w:r w:rsidR="006F308E" w:rsidRPr="00F133CB">
        <w:rPr>
          <w:vertAlign w:val="superscript"/>
        </w:rPr>
        <w:t>1</w:t>
      </w:r>
      <w:r w:rsidR="003F2809" w:rsidRPr="00F133CB">
        <w:rPr>
          <w:vertAlign w:val="superscript"/>
        </w:rPr>
        <w:t>3</w:t>
      </w:r>
      <w:r w:rsidRPr="00F133CB">
        <w:t xml:space="preserve">. </w:t>
      </w:r>
      <w:r w:rsidR="006F308E" w:rsidRPr="00F133CB">
        <w:t xml:space="preserve">Very recently, another metastatic phenotype of NB has also been observed in a newer zebrafish model of NB, in which both </w:t>
      </w:r>
      <w:r w:rsidR="006F308E" w:rsidRPr="00F133CB">
        <w:rPr>
          <w:i/>
        </w:rPr>
        <w:t xml:space="preserve">MYCN </w:t>
      </w:r>
      <w:r w:rsidR="006F308E" w:rsidRPr="00F133CB">
        <w:t xml:space="preserve">and </w:t>
      </w:r>
      <w:r w:rsidR="006F308E" w:rsidRPr="00F133CB">
        <w:rPr>
          <w:i/>
        </w:rPr>
        <w:t xml:space="preserve">Lin28B, </w:t>
      </w:r>
      <w:r w:rsidR="006F308E" w:rsidRPr="00F133CB">
        <w:t xml:space="preserve">encoding an RNA binding protein, are overexpressed under control of the </w:t>
      </w:r>
      <w:proofErr w:type="spellStart"/>
      <w:r w:rsidR="006F308E" w:rsidRPr="00F133CB">
        <w:rPr>
          <w:i/>
        </w:rPr>
        <w:t>dϐh</w:t>
      </w:r>
      <w:proofErr w:type="spellEnd"/>
      <w:r w:rsidR="006F308E" w:rsidRPr="00F133CB">
        <w:t xml:space="preserve"> promoter</w:t>
      </w:r>
      <w:r w:rsidR="006F308E" w:rsidRPr="00F133CB">
        <w:rPr>
          <w:vertAlign w:val="superscript"/>
        </w:rPr>
        <w:t>16</w:t>
      </w:r>
      <w:r w:rsidR="006F308E" w:rsidRPr="00F133CB">
        <w:t xml:space="preserve">. </w:t>
      </w:r>
    </w:p>
    <w:p w14:paraId="03814B7B" w14:textId="77777777" w:rsidR="00140088" w:rsidRPr="00F133CB" w:rsidRDefault="00140088" w:rsidP="002251F3"/>
    <w:p w14:paraId="184CC7F8" w14:textId="1CD059F2" w:rsidR="00140088" w:rsidRPr="00F133CB" w:rsidRDefault="00140088" w:rsidP="002251F3">
      <w:r w:rsidRPr="00F133CB">
        <w:t>The stable transgenic approach in zebrafish is often used to study whether overexpression of a gene</w:t>
      </w:r>
      <w:r w:rsidRPr="00F133CB" w:rsidDel="00451E13">
        <w:t xml:space="preserve"> </w:t>
      </w:r>
      <w:r w:rsidRPr="00F133CB">
        <w:t>of interest could contribute to the normal development and disease pathogenesis</w:t>
      </w:r>
      <w:r w:rsidR="006F308E" w:rsidRPr="00F133CB">
        <w:rPr>
          <w:vertAlign w:val="superscript"/>
        </w:rPr>
        <w:t>14,15</w:t>
      </w:r>
      <w:r w:rsidRPr="00F133CB">
        <w:t>. This technique has been successfully used to demonstrate the importance of multiple genes and pathways to NB tumorigenesis</w:t>
      </w:r>
      <w:r w:rsidR="006F308E" w:rsidRPr="00F133CB">
        <w:rPr>
          <w:vertAlign w:val="superscript"/>
        </w:rPr>
        <w:t>6</w:t>
      </w:r>
      <w:r w:rsidRPr="00F133CB">
        <w:rPr>
          <w:vertAlign w:val="superscript"/>
        </w:rPr>
        <w:t>,</w:t>
      </w:r>
      <w:r w:rsidR="006F308E" w:rsidRPr="00F133CB">
        <w:rPr>
          <w:vertAlign w:val="superscript"/>
        </w:rPr>
        <w:t>16</w:t>
      </w:r>
      <w:r w:rsidR="00F133CB" w:rsidRPr="00F133CB">
        <w:rPr>
          <w:vertAlign w:val="superscript"/>
        </w:rPr>
        <w:t>-</w:t>
      </w:r>
      <w:r w:rsidR="003D0711" w:rsidRPr="00F133CB">
        <w:rPr>
          <w:vertAlign w:val="superscript"/>
        </w:rPr>
        <w:t>20</w:t>
      </w:r>
      <w:r w:rsidRPr="00F133CB">
        <w:t xml:space="preserve">. This paper will introduce how the transgenic fish line that overexpresses both </w:t>
      </w:r>
      <w:r w:rsidRPr="00F133CB">
        <w:rPr>
          <w:i/>
        </w:rPr>
        <w:t>MYCN</w:t>
      </w:r>
      <w:r w:rsidRPr="00F133CB">
        <w:t xml:space="preserve"> and </w:t>
      </w:r>
      <w:r w:rsidRPr="00F133CB">
        <w:rPr>
          <w:i/>
        </w:rPr>
        <w:t>LMO1</w:t>
      </w:r>
      <w:r w:rsidRPr="00F133CB">
        <w:t xml:space="preserve"> in the PSNS was created and how it was demonstrated that the cooperation of these two oncogenes accelerate the onset of NB tumorigenesis and metastasis</w:t>
      </w:r>
      <w:r w:rsidRPr="00F133CB">
        <w:rPr>
          <w:vertAlign w:val="superscript"/>
        </w:rPr>
        <w:t>1</w:t>
      </w:r>
      <w:r w:rsidR="003F2809" w:rsidRPr="00F133CB">
        <w:rPr>
          <w:vertAlign w:val="superscript"/>
        </w:rPr>
        <w:t>3</w:t>
      </w:r>
      <w:r w:rsidRPr="00F133CB">
        <w:t xml:space="preserve">. First, the transgenic line that overexpresses </w:t>
      </w:r>
      <w:r w:rsidRPr="00F133CB">
        <w:rPr>
          <w:i/>
        </w:rPr>
        <w:t>EGFP-MYCN</w:t>
      </w:r>
      <w:r w:rsidRPr="00F133CB">
        <w:t xml:space="preserve"> under control of the </w:t>
      </w:r>
      <w:proofErr w:type="spellStart"/>
      <w:r w:rsidRPr="00F133CB">
        <w:rPr>
          <w:i/>
        </w:rPr>
        <w:t>dϐh</w:t>
      </w:r>
      <w:proofErr w:type="spellEnd"/>
      <w:r w:rsidRPr="00F133CB" w:rsidDel="000030C7">
        <w:t xml:space="preserve"> </w:t>
      </w:r>
      <w:r w:rsidRPr="00F133CB">
        <w:t xml:space="preserve">promoter (designated </w:t>
      </w:r>
      <w:r w:rsidRPr="00F133CB">
        <w:rPr>
          <w:i/>
        </w:rPr>
        <w:t>MYCN</w:t>
      </w:r>
      <w:r w:rsidRPr="00F133CB">
        <w:t xml:space="preserve"> line) was developed by injecting the </w:t>
      </w:r>
      <w:proofErr w:type="spellStart"/>
      <w:r w:rsidRPr="00F133CB">
        <w:rPr>
          <w:i/>
        </w:rPr>
        <w:t>dϐh</w:t>
      </w:r>
      <w:proofErr w:type="spellEnd"/>
      <w:r w:rsidRPr="00F133CB">
        <w:rPr>
          <w:i/>
        </w:rPr>
        <w:t>-EGFP-MYCN</w:t>
      </w:r>
      <w:r w:rsidRPr="00F133CB">
        <w:t xml:space="preserve"> construct into one-cell stage of wild-type (WT) AB embryos, as previously described</w:t>
      </w:r>
      <w:r w:rsidR="003F2809" w:rsidRPr="00F133CB">
        <w:rPr>
          <w:vertAlign w:val="superscript"/>
        </w:rPr>
        <w:t>6</w:t>
      </w:r>
      <w:r w:rsidRPr="00F133CB">
        <w:rPr>
          <w:vertAlign w:val="superscript"/>
        </w:rPr>
        <w:t>,1</w:t>
      </w:r>
      <w:r w:rsidR="003D0711" w:rsidRPr="00F133CB">
        <w:rPr>
          <w:vertAlign w:val="superscript"/>
        </w:rPr>
        <w:t>7</w:t>
      </w:r>
      <w:r w:rsidRPr="00F133CB">
        <w:t xml:space="preserve">. A separate transgenic line that overexpresses </w:t>
      </w:r>
      <w:r w:rsidRPr="00F133CB">
        <w:rPr>
          <w:i/>
        </w:rPr>
        <w:t>LMO1</w:t>
      </w:r>
      <w:r w:rsidRPr="00F133CB">
        <w:t xml:space="preserve"> in the PSNS (designated </w:t>
      </w:r>
      <w:r w:rsidRPr="00F133CB">
        <w:rPr>
          <w:i/>
        </w:rPr>
        <w:t>LMO1</w:t>
      </w:r>
      <w:r w:rsidRPr="00F133CB">
        <w:t xml:space="preserve"> line) was developed by </w:t>
      </w:r>
      <w:proofErr w:type="spellStart"/>
      <w:r w:rsidRPr="00F133CB">
        <w:t>coinjecting</w:t>
      </w:r>
      <w:proofErr w:type="spellEnd"/>
      <w:r w:rsidRPr="00F133CB">
        <w:t xml:space="preserve"> two DNA constructs, </w:t>
      </w:r>
      <w:r w:rsidRPr="00F133CB">
        <w:rPr>
          <w:i/>
        </w:rPr>
        <w:t>dϐh-LMO1</w:t>
      </w:r>
      <w:r w:rsidRPr="00F133CB">
        <w:t xml:space="preserve"> and </w:t>
      </w:r>
      <w:proofErr w:type="spellStart"/>
      <w:r w:rsidRPr="00F133CB">
        <w:rPr>
          <w:i/>
        </w:rPr>
        <w:t>dϐh-mCherry</w:t>
      </w:r>
      <w:proofErr w:type="spellEnd"/>
      <w:r w:rsidR="006C3ECD" w:rsidRPr="00F133CB">
        <w:t>, into WT embryos at the one-cell stage</w:t>
      </w:r>
      <w:r w:rsidR="005E4C83" w:rsidRPr="00F133CB">
        <w:rPr>
          <w:vertAlign w:val="superscript"/>
        </w:rPr>
        <w:t>13</w:t>
      </w:r>
      <w:r w:rsidRPr="00F133CB">
        <w:t xml:space="preserve">. It has been previously demonstrated that </w:t>
      </w:r>
      <w:proofErr w:type="spellStart"/>
      <w:r w:rsidRPr="00F133CB">
        <w:t>coinjected</w:t>
      </w:r>
      <w:proofErr w:type="spellEnd"/>
      <w:r w:rsidRPr="00F133CB">
        <w:t xml:space="preserve"> double DNA constructs can be co</w:t>
      </w:r>
      <w:r w:rsidR="006C3ECD" w:rsidRPr="00F133CB">
        <w:t>integrated into the fish genome; t</w:t>
      </w:r>
      <w:r w:rsidRPr="00F133CB">
        <w:t xml:space="preserve">herefore, </w:t>
      </w:r>
      <w:r w:rsidRPr="00F133CB">
        <w:rPr>
          <w:i/>
        </w:rPr>
        <w:t>LMO1</w:t>
      </w:r>
      <w:r w:rsidRPr="00F133CB">
        <w:t xml:space="preserve"> and </w:t>
      </w:r>
      <w:proofErr w:type="spellStart"/>
      <w:r w:rsidRPr="00F133CB">
        <w:rPr>
          <w:i/>
        </w:rPr>
        <w:t>mCherry</w:t>
      </w:r>
      <w:proofErr w:type="spellEnd"/>
      <w:r w:rsidRPr="00F133CB">
        <w:t xml:space="preserve"> are </w:t>
      </w:r>
      <w:proofErr w:type="spellStart"/>
      <w:r w:rsidRPr="00F133CB">
        <w:t>coexpressed</w:t>
      </w:r>
      <w:proofErr w:type="spellEnd"/>
      <w:r w:rsidRPr="00F133CB">
        <w:t xml:space="preserve"> in the PSNS cells of the transgenic animals. Once the injected </w:t>
      </w:r>
      <w:r w:rsidR="005E4C83" w:rsidRPr="00F133CB">
        <w:t xml:space="preserve">F0 </w:t>
      </w:r>
      <w:r w:rsidRPr="00F133CB">
        <w:t>embry</w:t>
      </w:r>
      <w:r w:rsidR="005E4C83" w:rsidRPr="00F133CB">
        <w:t>os reached sexual maturity, they</w:t>
      </w:r>
      <w:r w:rsidRPr="00F133CB">
        <w:t xml:space="preserve"> were then out-crossed with WT fish for the identification of positive fish with transgene(s) integration. Briefly, the F1 offspring were first screened by fluorescent microscopy for </w:t>
      </w:r>
      <w:proofErr w:type="spellStart"/>
      <w:r w:rsidRPr="00F133CB">
        <w:rPr>
          <w:i/>
        </w:rPr>
        <w:t>mCherry</w:t>
      </w:r>
      <w:proofErr w:type="spellEnd"/>
      <w:r w:rsidRPr="00F133CB">
        <w:t xml:space="preserve"> expression in the PSNS cells. The germline integration of </w:t>
      </w:r>
      <w:r w:rsidRPr="00F133CB">
        <w:rPr>
          <w:i/>
        </w:rPr>
        <w:t>LMO1</w:t>
      </w:r>
      <w:r w:rsidRPr="00F133CB">
        <w:t xml:space="preserve"> in </w:t>
      </w:r>
      <w:proofErr w:type="spellStart"/>
      <w:r w:rsidRPr="00F133CB">
        <w:t>mCherry</w:t>
      </w:r>
      <w:proofErr w:type="spellEnd"/>
      <w:r w:rsidRPr="00F133CB">
        <w:t xml:space="preserve">-positive fish was further confirmed by genomic PCR and sequencing. After successful identification of each transgenic line, the progeny of heterozygous </w:t>
      </w:r>
      <w:r w:rsidRPr="00F133CB">
        <w:rPr>
          <w:i/>
        </w:rPr>
        <w:t>MYCN</w:t>
      </w:r>
      <w:r w:rsidRPr="00F133CB">
        <w:t xml:space="preserve"> and </w:t>
      </w:r>
      <w:r w:rsidRPr="00F133CB">
        <w:rPr>
          <w:i/>
        </w:rPr>
        <w:t>LMO1</w:t>
      </w:r>
      <w:r w:rsidRPr="00F133CB">
        <w:t xml:space="preserve"> transgenic fish were interbred to generate a compound fish line expressing both </w:t>
      </w:r>
      <w:r w:rsidRPr="00F133CB">
        <w:rPr>
          <w:i/>
        </w:rPr>
        <w:t>MYCN</w:t>
      </w:r>
      <w:r w:rsidRPr="00F133CB">
        <w:t xml:space="preserve"> and </w:t>
      </w:r>
      <w:r w:rsidRPr="00F133CB">
        <w:rPr>
          <w:i/>
        </w:rPr>
        <w:t>LMO1</w:t>
      </w:r>
      <w:r w:rsidRPr="00F133CB">
        <w:t xml:space="preserve"> (designated </w:t>
      </w:r>
      <w:r w:rsidRPr="00F133CB">
        <w:rPr>
          <w:i/>
        </w:rPr>
        <w:t>MYCN;LMO1</w:t>
      </w:r>
      <w:r w:rsidRPr="00F133CB">
        <w:t xml:space="preserve"> line). Tumor-bearing </w:t>
      </w:r>
      <w:proofErr w:type="gramStart"/>
      <w:r w:rsidRPr="00F133CB">
        <w:rPr>
          <w:i/>
        </w:rPr>
        <w:t>MYCN;LMO</w:t>
      </w:r>
      <w:proofErr w:type="gramEnd"/>
      <w:r w:rsidRPr="00F133CB">
        <w:rPr>
          <w:i/>
        </w:rPr>
        <w:t>1</w:t>
      </w:r>
      <w:r w:rsidRPr="00F133CB">
        <w:t xml:space="preserve"> fish were monitored by fluorescent microscopy biweekly for the evidence of metastatic tumors in the regions distant to the primary site, interrenal gland region (IRG, </w:t>
      </w:r>
      <w:r w:rsidRPr="00F133CB">
        <w:lastRenderedPageBreak/>
        <w:t>zebrafish equivalent of human adrenal gland)</w:t>
      </w:r>
      <w:r w:rsidR="003F2809" w:rsidRPr="00F133CB">
        <w:rPr>
          <w:vertAlign w:val="superscript"/>
        </w:rPr>
        <w:t>13</w:t>
      </w:r>
      <w:r w:rsidRPr="00F133CB">
        <w:t xml:space="preserve">. To confirm the metastasis of tumors in </w:t>
      </w:r>
      <w:proofErr w:type="gramStart"/>
      <w:r w:rsidRPr="00F133CB">
        <w:rPr>
          <w:i/>
        </w:rPr>
        <w:t>MYCN;LMO</w:t>
      </w:r>
      <w:proofErr w:type="gramEnd"/>
      <w:r w:rsidRPr="00F133CB">
        <w:rPr>
          <w:i/>
        </w:rPr>
        <w:t>1</w:t>
      </w:r>
      <w:r w:rsidRPr="00F133CB">
        <w:t xml:space="preserve"> fish, histological and immunohistochemical analyses were applied. </w:t>
      </w:r>
    </w:p>
    <w:p w14:paraId="54A028DE" w14:textId="77777777" w:rsidR="00140088" w:rsidRPr="00F133CB" w:rsidRDefault="00140088" w:rsidP="002251F3">
      <w:pPr>
        <w:rPr>
          <w:b/>
        </w:rPr>
      </w:pPr>
    </w:p>
    <w:p w14:paraId="1F4CBA32" w14:textId="54362C22" w:rsidR="00140088" w:rsidRPr="00F133CB" w:rsidRDefault="00140088" w:rsidP="002251F3">
      <w:r w:rsidRPr="00F133CB">
        <w:rPr>
          <w:b/>
        </w:rPr>
        <w:t>PROTOCOL:</w:t>
      </w:r>
      <w:r w:rsidR="000E2B1C" w:rsidRPr="00F133CB">
        <w:t xml:space="preserve"> </w:t>
      </w:r>
    </w:p>
    <w:p w14:paraId="72875743" w14:textId="77777777" w:rsidR="00140088" w:rsidRPr="00F133CB" w:rsidRDefault="00140088" w:rsidP="002251F3">
      <w:r w:rsidRPr="00F133CB">
        <w:t>All research methods using zebrafish and animal care/maintenance were performed in compliance with the institutional guidelines at Mayo Clinic.</w:t>
      </w:r>
    </w:p>
    <w:p w14:paraId="689D7EFD" w14:textId="77777777" w:rsidR="00140088" w:rsidRPr="0054660C" w:rsidRDefault="00140088" w:rsidP="002251F3">
      <w:pPr>
        <w:rPr>
          <w:b/>
        </w:rPr>
      </w:pPr>
    </w:p>
    <w:p w14:paraId="599C8673" w14:textId="37561F9E" w:rsidR="00280965" w:rsidRPr="0054660C" w:rsidRDefault="00140088" w:rsidP="00F60B91">
      <w:pPr>
        <w:pStyle w:val="ListParagraph"/>
        <w:numPr>
          <w:ilvl w:val="0"/>
          <w:numId w:val="14"/>
        </w:numPr>
        <w:rPr>
          <w:b/>
        </w:rPr>
      </w:pPr>
      <w:r w:rsidRPr="0054660C">
        <w:rPr>
          <w:b/>
          <w:bCs/>
        </w:rPr>
        <w:t xml:space="preserve">Preparation and </w:t>
      </w:r>
      <w:r w:rsidR="0054660C">
        <w:rPr>
          <w:b/>
          <w:bCs/>
        </w:rPr>
        <w:t>m</w:t>
      </w:r>
      <w:r w:rsidRPr="0054660C">
        <w:rPr>
          <w:b/>
          <w:bCs/>
        </w:rPr>
        <w:t xml:space="preserve">icroinjection of </w:t>
      </w:r>
      <w:r w:rsidR="0054660C">
        <w:rPr>
          <w:b/>
          <w:bCs/>
        </w:rPr>
        <w:t>t</w:t>
      </w:r>
      <w:r w:rsidRPr="0054660C">
        <w:rPr>
          <w:b/>
          <w:bCs/>
        </w:rPr>
        <w:t xml:space="preserve">ransgene </w:t>
      </w:r>
      <w:r w:rsidR="0054660C">
        <w:rPr>
          <w:b/>
          <w:bCs/>
        </w:rPr>
        <w:t>c</w:t>
      </w:r>
      <w:r w:rsidRPr="0054660C">
        <w:rPr>
          <w:b/>
          <w:bCs/>
        </w:rPr>
        <w:t xml:space="preserve">onstructs for </w:t>
      </w:r>
      <w:r w:rsidR="00280965" w:rsidRPr="0054660C">
        <w:rPr>
          <w:b/>
          <w:bCs/>
        </w:rPr>
        <w:t xml:space="preserve">the </w:t>
      </w:r>
      <w:r w:rsidR="0054660C">
        <w:rPr>
          <w:b/>
          <w:bCs/>
        </w:rPr>
        <w:t>d</w:t>
      </w:r>
      <w:r w:rsidRPr="0054660C">
        <w:rPr>
          <w:b/>
          <w:bCs/>
        </w:rPr>
        <w:t>evelopment of</w:t>
      </w:r>
      <w:r w:rsidR="00984227" w:rsidRPr="0054660C">
        <w:rPr>
          <w:b/>
          <w:bCs/>
        </w:rPr>
        <w:t xml:space="preserve"> </w:t>
      </w:r>
      <w:r w:rsidR="00984227" w:rsidRPr="0054660C">
        <w:rPr>
          <w:b/>
          <w:i/>
        </w:rPr>
        <w:t>LMO1</w:t>
      </w:r>
      <w:r w:rsidRPr="0054660C">
        <w:rPr>
          <w:b/>
          <w:bCs/>
        </w:rPr>
        <w:t xml:space="preserve"> </w:t>
      </w:r>
      <w:r w:rsidR="0054660C">
        <w:rPr>
          <w:b/>
        </w:rPr>
        <w:t>t</w:t>
      </w:r>
      <w:r w:rsidR="00F60B91" w:rsidRPr="0054660C">
        <w:rPr>
          <w:b/>
        </w:rPr>
        <w:t xml:space="preserve">ransgenic </w:t>
      </w:r>
      <w:r w:rsidR="0054660C">
        <w:rPr>
          <w:b/>
        </w:rPr>
        <w:t>z</w:t>
      </w:r>
      <w:r w:rsidR="00F60B91" w:rsidRPr="0054660C">
        <w:rPr>
          <w:b/>
        </w:rPr>
        <w:t xml:space="preserve">ebrafish </w:t>
      </w:r>
      <w:r w:rsidR="0054660C">
        <w:rPr>
          <w:b/>
        </w:rPr>
        <w:t>l</w:t>
      </w:r>
      <w:r w:rsidR="00F60B91" w:rsidRPr="0054660C">
        <w:rPr>
          <w:b/>
        </w:rPr>
        <w:t xml:space="preserve">ine with </w:t>
      </w:r>
      <w:r w:rsidR="0054660C">
        <w:rPr>
          <w:b/>
        </w:rPr>
        <w:t>o</w:t>
      </w:r>
      <w:r w:rsidR="00984227" w:rsidRPr="0054660C">
        <w:rPr>
          <w:b/>
        </w:rPr>
        <w:t xml:space="preserve">verexpression </w:t>
      </w:r>
      <w:r w:rsidR="00F60B91" w:rsidRPr="0054660C">
        <w:rPr>
          <w:b/>
        </w:rPr>
        <w:t>in PSNS</w:t>
      </w:r>
    </w:p>
    <w:p w14:paraId="0C8AE6BF" w14:textId="77777777" w:rsidR="00F60B91" w:rsidRPr="0054660C" w:rsidRDefault="00F60B91" w:rsidP="00F60B91"/>
    <w:p w14:paraId="48FA4563" w14:textId="7551F89D" w:rsidR="00280965" w:rsidRDefault="002D4F50" w:rsidP="002251F3">
      <w:pPr>
        <w:pStyle w:val="ListParagraph"/>
        <w:numPr>
          <w:ilvl w:val="1"/>
          <w:numId w:val="14"/>
        </w:numPr>
        <w:ind w:left="0" w:firstLine="0"/>
      </w:pPr>
      <w:r w:rsidRPr="00F133CB">
        <w:t xml:space="preserve">To develop the </w:t>
      </w:r>
      <w:r w:rsidRPr="00280965">
        <w:rPr>
          <w:i/>
        </w:rPr>
        <w:t xml:space="preserve">LMO1-pDONR221 </w:t>
      </w:r>
      <w:r w:rsidRPr="00F133CB">
        <w:t>entry clone,</w:t>
      </w:r>
      <w:r>
        <w:t xml:space="preserve"> a</w:t>
      </w:r>
      <w:r w:rsidR="00140088" w:rsidRPr="00F133CB">
        <w:t xml:space="preserve">mplify </w:t>
      </w:r>
      <w:r>
        <w:t xml:space="preserve">the </w:t>
      </w:r>
      <w:r w:rsidR="00140088" w:rsidRPr="00F133CB">
        <w:t>coding region of human</w:t>
      </w:r>
      <w:r w:rsidR="00140088" w:rsidRPr="00280965">
        <w:rPr>
          <w:i/>
        </w:rPr>
        <w:t xml:space="preserve"> LMO1</w:t>
      </w:r>
      <w:r w:rsidR="00140088" w:rsidRPr="00F133CB">
        <w:t xml:space="preserve"> from cDNA obtained from human cell line using PCR</w:t>
      </w:r>
      <w:r w:rsidR="00280965">
        <w:t>.</w:t>
      </w:r>
    </w:p>
    <w:p w14:paraId="1E09AB11" w14:textId="35F163D7" w:rsidR="00280965" w:rsidRDefault="00280965" w:rsidP="002251F3"/>
    <w:p w14:paraId="0CD57909" w14:textId="2A177B0C" w:rsidR="00280965" w:rsidRDefault="00280965" w:rsidP="002251F3">
      <w:pPr>
        <w:pStyle w:val="ListParagraph"/>
        <w:numPr>
          <w:ilvl w:val="2"/>
          <w:numId w:val="14"/>
        </w:numPr>
        <w:ind w:left="0" w:firstLine="0"/>
      </w:pPr>
      <w:r>
        <w:t xml:space="preserve">Make </w:t>
      </w:r>
      <w:r w:rsidRPr="00F133CB">
        <w:t xml:space="preserve">a 25 µL reaction </w:t>
      </w:r>
      <w:r>
        <w:t xml:space="preserve">as detailed here: </w:t>
      </w:r>
      <w:r w:rsidRPr="00F133CB">
        <w:t xml:space="preserve">2.5 µL </w:t>
      </w:r>
      <w:r>
        <w:t xml:space="preserve">of </w:t>
      </w:r>
      <w:r w:rsidRPr="00F133CB">
        <w:t>10</w:t>
      </w:r>
      <w:r>
        <w:t>x</w:t>
      </w:r>
      <w:r w:rsidRPr="00F133CB">
        <w:t xml:space="preserve"> standard </w:t>
      </w:r>
      <w:r w:rsidRPr="00280965">
        <w:rPr>
          <w:i/>
        </w:rPr>
        <w:t>Taq</w:t>
      </w:r>
      <w:r w:rsidRPr="00F133CB">
        <w:t xml:space="preserve"> Reaction Buffer, 0.125 µL </w:t>
      </w:r>
      <w:r>
        <w:t xml:space="preserve">of </w:t>
      </w:r>
      <w:r w:rsidRPr="00280965">
        <w:rPr>
          <w:i/>
        </w:rPr>
        <w:t>Taq</w:t>
      </w:r>
      <w:r w:rsidRPr="00F133CB">
        <w:t xml:space="preserve"> DNA Polymerase, 0.5 µL </w:t>
      </w:r>
      <w:r>
        <w:t xml:space="preserve">of </w:t>
      </w:r>
      <w:r w:rsidRPr="00F133CB">
        <w:t>10 mM dNTPs, 2 µL of cDNA template, 0.5 µL of 10 µM forward LMO1 ATTB1 primer, 0.5 µL of 10 µM reverse LMO1 ATTB2 primer, and 18.875 µL</w:t>
      </w:r>
      <w:r>
        <w:t xml:space="preserve"> of</w:t>
      </w:r>
      <w:r w:rsidRPr="00F133CB">
        <w:t xml:space="preserve"> water.</w:t>
      </w:r>
    </w:p>
    <w:p w14:paraId="61D8349A" w14:textId="77777777" w:rsidR="00F60BA5" w:rsidRDefault="00F60BA5" w:rsidP="002251F3">
      <w:pPr>
        <w:pStyle w:val="ListParagraph"/>
        <w:ind w:left="0"/>
      </w:pPr>
    </w:p>
    <w:p w14:paraId="1DE77968" w14:textId="4B18DC56" w:rsidR="00280965" w:rsidRDefault="00F60BA5" w:rsidP="002251F3">
      <w:r>
        <w:t xml:space="preserve">NOTE: Use </w:t>
      </w:r>
      <w:r w:rsidRPr="00F133CB">
        <w:t>forward LMO1 ATTB1 primer: 5’</w:t>
      </w:r>
      <w:r>
        <w:t>-</w:t>
      </w:r>
      <w:r w:rsidRPr="00F133CB">
        <w:t>GGGGACAAGTTTGTACAAAAAAGCAGGCTACACCATGATGGTGCTGGACAAGGAGGA-3’ and reverse LMO1 ATTB2 primer: 5’-GGGGACCACTTTGTACAAGAAAGCTGGGTTTACTGAACTTGGGATTCAAAGGT-3’</w:t>
      </w:r>
    </w:p>
    <w:p w14:paraId="13C9A137" w14:textId="77777777" w:rsidR="00F60BA5" w:rsidRDefault="00F60BA5" w:rsidP="002251F3"/>
    <w:p w14:paraId="5C3EDD3C" w14:textId="5438111B" w:rsidR="00140088" w:rsidRPr="00F133CB" w:rsidRDefault="00280965" w:rsidP="002251F3">
      <w:pPr>
        <w:pStyle w:val="ListParagraph"/>
        <w:numPr>
          <w:ilvl w:val="2"/>
          <w:numId w:val="14"/>
        </w:numPr>
        <w:ind w:left="0" w:firstLine="0"/>
      </w:pPr>
      <w:r>
        <w:t>Amplify using</w:t>
      </w:r>
      <w:r w:rsidR="00140088" w:rsidRPr="00F133CB">
        <w:t xml:space="preserve"> </w:t>
      </w:r>
      <w:r>
        <w:t>the</w:t>
      </w:r>
      <w:r w:rsidR="00140088" w:rsidRPr="00F133CB">
        <w:t xml:space="preserve"> followin</w:t>
      </w:r>
      <w:r w:rsidR="008454BB" w:rsidRPr="00F133CB">
        <w:t>g program: 1 cycle of 94 °C, 2 min; followed by 30 cycles of (</w:t>
      </w:r>
      <w:r w:rsidR="00140088" w:rsidRPr="00F133CB">
        <w:t xml:space="preserve">94 °C, </w:t>
      </w:r>
      <w:r w:rsidR="002248B5">
        <w:t>30 s, 55 °C, 30 s, 72 °C, 1 min</w:t>
      </w:r>
      <w:r w:rsidR="008454BB" w:rsidRPr="00F133CB">
        <w:t>) and</w:t>
      </w:r>
      <w:r w:rsidR="002248B5">
        <w:t xml:space="preserve"> 72 °C, 7 min</w:t>
      </w:r>
      <w:r w:rsidR="009A44B6" w:rsidRPr="00F133CB">
        <w:t xml:space="preserve">. </w:t>
      </w:r>
    </w:p>
    <w:p w14:paraId="72BA2BB9" w14:textId="77777777" w:rsidR="00140088" w:rsidRPr="00F133CB" w:rsidRDefault="00140088" w:rsidP="002251F3"/>
    <w:p w14:paraId="2F4D9BCE" w14:textId="77777777" w:rsidR="00F60BA5" w:rsidRDefault="00140088" w:rsidP="002251F3">
      <w:pPr>
        <w:pStyle w:val="ListParagraph"/>
        <w:numPr>
          <w:ilvl w:val="1"/>
          <w:numId w:val="14"/>
        </w:numPr>
        <w:ind w:left="0" w:firstLine="0"/>
      </w:pPr>
      <w:r w:rsidRPr="00F133CB">
        <w:t xml:space="preserve">Clone </w:t>
      </w:r>
      <w:r w:rsidRPr="00F60BA5">
        <w:rPr>
          <w:i/>
        </w:rPr>
        <w:t>LMO1</w:t>
      </w:r>
      <w:r w:rsidRPr="00F133CB">
        <w:t xml:space="preserve"> PCR product into the </w:t>
      </w:r>
      <w:r w:rsidRPr="00F60BA5">
        <w:rPr>
          <w:i/>
        </w:rPr>
        <w:t>pDONR221</w:t>
      </w:r>
      <w:r w:rsidRPr="00F133CB">
        <w:t xml:space="preserve"> gateway donor vector by BP </w:t>
      </w:r>
      <w:r w:rsidR="005030D3" w:rsidRPr="00F133CB">
        <w:t xml:space="preserve">recombinase </w:t>
      </w:r>
      <w:r w:rsidRPr="00F133CB">
        <w:t>reaction</w:t>
      </w:r>
      <w:r w:rsidR="003F2809" w:rsidRPr="00F60BA5">
        <w:rPr>
          <w:vertAlign w:val="superscript"/>
        </w:rPr>
        <w:t>6</w:t>
      </w:r>
      <w:r w:rsidRPr="00F60BA5">
        <w:rPr>
          <w:vertAlign w:val="superscript"/>
        </w:rPr>
        <w:t>,1</w:t>
      </w:r>
      <w:r w:rsidR="003F2809" w:rsidRPr="00F60BA5">
        <w:rPr>
          <w:vertAlign w:val="superscript"/>
        </w:rPr>
        <w:t>3</w:t>
      </w:r>
      <w:r w:rsidRPr="00F133CB">
        <w:t xml:space="preserve"> (PCR fragment + Donor vector = Entry Clone). </w:t>
      </w:r>
    </w:p>
    <w:p w14:paraId="4A06071E" w14:textId="77777777" w:rsidR="00F60BA5" w:rsidRDefault="00F60BA5" w:rsidP="002251F3">
      <w:pPr>
        <w:pStyle w:val="ListParagraph"/>
        <w:ind w:left="0"/>
      </w:pPr>
    </w:p>
    <w:p w14:paraId="0803FA74" w14:textId="77777777" w:rsidR="00F60BA5" w:rsidRDefault="00140088" w:rsidP="002251F3">
      <w:pPr>
        <w:pStyle w:val="ListParagraph"/>
        <w:numPr>
          <w:ilvl w:val="2"/>
          <w:numId w:val="14"/>
        </w:numPr>
        <w:ind w:left="0" w:firstLine="0"/>
      </w:pPr>
      <w:r w:rsidRPr="00F133CB">
        <w:t xml:space="preserve">For a 10 µL reaction, mix 1 µL of purified </w:t>
      </w:r>
      <w:r w:rsidRPr="00F60BA5">
        <w:rPr>
          <w:i/>
        </w:rPr>
        <w:t xml:space="preserve">LMO1 </w:t>
      </w:r>
      <w:r w:rsidRPr="00F133CB">
        <w:t xml:space="preserve">PCR product (150 ng/µL), 1 µL (150 ng/µL) </w:t>
      </w:r>
      <w:r w:rsidRPr="00F60BA5">
        <w:rPr>
          <w:i/>
        </w:rPr>
        <w:t>pDONR221</w:t>
      </w:r>
      <w:r w:rsidRPr="00F133CB">
        <w:t xml:space="preserve"> donor vector, </w:t>
      </w:r>
      <w:r w:rsidR="007B2F56" w:rsidRPr="00F133CB">
        <w:t xml:space="preserve">and </w:t>
      </w:r>
      <w:r w:rsidRPr="00F133CB">
        <w:t>6 µL of TE buffer (pH 8.0) with 2 µL of BP enzyme mix</w:t>
      </w:r>
      <w:r w:rsidR="002D4F50">
        <w:t>, i</w:t>
      </w:r>
      <w:r w:rsidRPr="00F133CB">
        <w:t>ncubate</w:t>
      </w:r>
      <w:r w:rsidR="005030D3" w:rsidRPr="00F133CB">
        <w:t xml:space="preserve"> </w:t>
      </w:r>
      <w:r w:rsidRPr="00F133CB">
        <w:t xml:space="preserve">for 1 h at 25 °C, and transform to TOP10 competent </w:t>
      </w:r>
      <w:r w:rsidRPr="00F60BA5">
        <w:rPr>
          <w:i/>
        </w:rPr>
        <w:t>E. coli</w:t>
      </w:r>
      <w:r w:rsidRPr="00F133CB">
        <w:t xml:space="preserve"> using the manufacturer’s protocol. </w:t>
      </w:r>
    </w:p>
    <w:p w14:paraId="5AFA27B1" w14:textId="77777777" w:rsidR="00F60BA5" w:rsidRDefault="00F60BA5" w:rsidP="002251F3">
      <w:pPr>
        <w:pStyle w:val="ListParagraph"/>
        <w:ind w:left="0"/>
      </w:pPr>
    </w:p>
    <w:p w14:paraId="3B63FC97" w14:textId="6303258D" w:rsidR="00F60BA5" w:rsidRDefault="007B2F56" w:rsidP="002251F3">
      <w:pPr>
        <w:pStyle w:val="ListParagraph"/>
        <w:numPr>
          <w:ilvl w:val="2"/>
          <w:numId w:val="14"/>
        </w:numPr>
        <w:ind w:left="0" w:firstLine="0"/>
      </w:pPr>
      <w:r w:rsidRPr="00F133CB">
        <w:t>Next, spread 50-200 µL</w:t>
      </w:r>
      <w:r w:rsidR="00140088" w:rsidRPr="00F133CB">
        <w:t xml:space="preserve"> from the transformation vial on a Luria Broth (LB) agar plate containing 50 </w:t>
      </w:r>
      <w:proofErr w:type="spellStart"/>
      <w:r w:rsidR="00140088" w:rsidRPr="00F133CB">
        <w:t>μg</w:t>
      </w:r>
      <w:proofErr w:type="spellEnd"/>
      <w:r w:rsidR="00140088" w:rsidRPr="00F133CB">
        <w:t>/mL kanamycin</w:t>
      </w:r>
      <w:r w:rsidR="005030D3" w:rsidRPr="00F133CB">
        <w:t xml:space="preserve"> and i</w:t>
      </w:r>
      <w:r w:rsidR="00140088" w:rsidRPr="00F133CB">
        <w:t>ncubate at 37</w:t>
      </w:r>
      <w:r w:rsidR="0054660C">
        <w:t xml:space="preserve"> </w:t>
      </w:r>
      <w:r w:rsidR="00140088" w:rsidRPr="00F133CB">
        <w:t xml:space="preserve">°C overnight. </w:t>
      </w:r>
    </w:p>
    <w:p w14:paraId="4CADA609" w14:textId="77777777" w:rsidR="00F60BA5" w:rsidRDefault="00F60BA5" w:rsidP="002251F3">
      <w:pPr>
        <w:pStyle w:val="ListParagraph"/>
        <w:ind w:left="0"/>
      </w:pPr>
    </w:p>
    <w:p w14:paraId="7A7BD7EA" w14:textId="77777777" w:rsidR="00F60BA5" w:rsidRDefault="00140088" w:rsidP="002251F3">
      <w:pPr>
        <w:pStyle w:val="ListParagraph"/>
        <w:numPr>
          <w:ilvl w:val="2"/>
          <w:numId w:val="14"/>
        </w:numPr>
        <w:ind w:left="0" w:firstLine="0"/>
      </w:pPr>
      <w:r w:rsidRPr="00F133CB">
        <w:t xml:space="preserve">Select clones by inoculating a single colony into </w:t>
      </w:r>
      <w:r w:rsidR="00422D04" w:rsidRPr="00F133CB">
        <w:t>2-</w:t>
      </w:r>
      <w:r w:rsidRPr="00F133CB">
        <w:t>5</w:t>
      </w:r>
      <w:r w:rsidR="00422D04" w:rsidRPr="00F133CB">
        <w:t xml:space="preserve"> </w:t>
      </w:r>
      <w:r w:rsidRPr="00F133CB">
        <w:t>mL of</w:t>
      </w:r>
      <w:r w:rsidR="005030D3" w:rsidRPr="00F133CB">
        <w:t xml:space="preserve"> LB</w:t>
      </w:r>
      <w:r w:rsidRPr="00F133CB">
        <w:t xml:space="preserve"> with 50 µg/mL kanamycin and culturing overnight (16-18</w:t>
      </w:r>
      <w:r w:rsidR="007B2F56" w:rsidRPr="00F133CB">
        <w:t xml:space="preserve"> </w:t>
      </w:r>
      <w:r w:rsidRPr="00F133CB">
        <w:t xml:space="preserve">h) at 37 °C. </w:t>
      </w:r>
    </w:p>
    <w:p w14:paraId="53BCC692" w14:textId="77777777" w:rsidR="00F60BA5" w:rsidRDefault="00F60BA5" w:rsidP="002251F3">
      <w:pPr>
        <w:pStyle w:val="ListParagraph"/>
        <w:ind w:left="0"/>
      </w:pPr>
    </w:p>
    <w:p w14:paraId="6B2C4BBF" w14:textId="4E001306" w:rsidR="00140088" w:rsidRPr="00F133CB" w:rsidRDefault="00140088" w:rsidP="002251F3">
      <w:pPr>
        <w:pStyle w:val="ListParagraph"/>
        <w:numPr>
          <w:ilvl w:val="2"/>
          <w:numId w:val="14"/>
        </w:numPr>
        <w:ind w:left="0" w:firstLine="0"/>
      </w:pPr>
      <w:r w:rsidRPr="00F133CB">
        <w:t xml:space="preserve">Use 2 mL of overnight bacterial culture for plasmid isolation according to the manufacturer’s protocol. To verify </w:t>
      </w:r>
      <w:r w:rsidR="007B2F56" w:rsidRPr="00F133CB">
        <w:t xml:space="preserve">the </w:t>
      </w:r>
      <w:r w:rsidRPr="00F133CB">
        <w:t xml:space="preserve">LMO1 plasmid, send </w:t>
      </w:r>
      <w:r w:rsidR="001C4A7B">
        <w:t xml:space="preserve">plasmid </w:t>
      </w:r>
      <w:r w:rsidRPr="00F133CB">
        <w:t xml:space="preserve">sample </w:t>
      </w:r>
      <w:r w:rsidR="007B2F56" w:rsidRPr="00F133CB">
        <w:t xml:space="preserve">out </w:t>
      </w:r>
      <w:r w:rsidR="005030D3" w:rsidRPr="00F133CB">
        <w:t xml:space="preserve">for sequencing with M13-F primer </w:t>
      </w:r>
      <w:r w:rsidR="007B2F56" w:rsidRPr="00F133CB">
        <w:t>(</w:t>
      </w:r>
      <w:r w:rsidRPr="00F133CB">
        <w:t>5- GTAAAACGACGGCCAG-3’</w:t>
      </w:r>
      <w:r w:rsidR="007B2F56" w:rsidRPr="00F133CB">
        <w:t>)</w:t>
      </w:r>
      <w:r w:rsidRPr="00F133CB">
        <w:t>.</w:t>
      </w:r>
    </w:p>
    <w:p w14:paraId="6FCC549B" w14:textId="77777777" w:rsidR="00140088" w:rsidRPr="00F133CB" w:rsidRDefault="00140088" w:rsidP="002251F3"/>
    <w:p w14:paraId="0CDF76AC" w14:textId="562E15CD" w:rsidR="00F60BA5" w:rsidRDefault="00140088" w:rsidP="002251F3">
      <w:pPr>
        <w:pStyle w:val="ListParagraph"/>
        <w:numPr>
          <w:ilvl w:val="1"/>
          <w:numId w:val="14"/>
        </w:numPr>
        <w:ind w:left="0" w:firstLine="0"/>
      </w:pPr>
      <w:r w:rsidRPr="00F133CB">
        <w:t xml:space="preserve">To generate a </w:t>
      </w:r>
      <w:r w:rsidRPr="00F60BA5">
        <w:rPr>
          <w:i/>
        </w:rPr>
        <w:t>dϐh</w:t>
      </w:r>
      <w:r w:rsidRPr="00F133CB">
        <w:t>-</w:t>
      </w:r>
      <w:r w:rsidRPr="00F60BA5">
        <w:rPr>
          <w:i/>
        </w:rPr>
        <w:t>pDONRP4-P1R</w:t>
      </w:r>
      <w:r w:rsidRPr="00F133CB">
        <w:t xml:space="preserve"> entry clone, obtain </w:t>
      </w:r>
      <w:proofErr w:type="spellStart"/>
      <w:r w:rsidRPr="00F60BA5">
        <w:rPr>
          <w:i/>
        </w:rPr>
        <w:t>dϐh</w:t>
      </w:r>
      <w:proofErr w:type="spellEnd"/>
      <w:r w:rsidRPr="00F133CB">
        <w:t xml:space="preserve"> PCR product</w:t>
      </w:r>
      <w:r w:rsidR="003F2809" w:rsidRPr="00F60BA5">
        <w:rPr>
          <w:vertAlign w:val="superscript"/>
        </w:rPr>
        <w:t>6</w:t>
      </w:r>
      <w:r w:rsidRPr="00F60BA5">
        <w:rPr>
          <w:vertAlign w:val="superscript"/>
        </w:rPr>
        <w:t>,1</w:t>
      </w:r>
      <w:r w:rsidR="003F2809" w:rsidRPr="00F60BA5">
        <w:rPr>
          <w:vertAlign w:val="superscript"/>
        </w:rPr>
        <w:t>3</w:t>
      </w:r>
      <w:r w:rsidRPr="00F133CB">
        <w:t xml:space="preserve"> by amplifying the </w:t>
      </w:r>
      <w:r w:rsidRPr="00F133CB">
        <w:lastRenderedPageBreak/>
        <w:t>5.2-kb promotor region using the CH211-270H11 BAC clone as template to prepare a 20 µL reaction as prev</w:t>
      </w:r>
      <w:r w:rsidR="00FC04D6">
        <w:t>iously described i</w:t>
      </w:r>
      <w:r w:rsidR="00FC04D6" w:rsidRPr="0054660C">
        <w:t>n step 1.1</w:t>
      </w:r>
      <w:r w:rsidR="009B5F7B" w:rsidRPr="0054660C">
        <w:t>.1</w:t>
      </w:r>
      <w:r w:rsidR="00FC04D6">
        <w:t>.</w:t>
      </w:r>
      <w:r w:rsidRPr="00F133CB">
        <w:t xml:space="preserve"> </w:t>
      </w:r>
      <w:r w:rsidR="00F60BA5">
        <w:t>Use</w:t>
      </w:r>
      <w:r w:rsidRPr="00F133CB">
        <w:t xml:space="preserve"> the following PCR program parameters: 94 °C, 2 min; 10 cycles of 94 °C, 15 s, 50 °C, 30 s, 68 °C, 8 min; 30 cycles of 94 °C, 15 s, 53 °C, 30 </w:t>
      </w:r>
      <w:r w:rsidR="007B2F56" w:rsidRPr="00F133CB">
        <w:t>s, 68 °C, 8 min; 68 °C, 4 min (</w:t>
      </w:r>
      <w:r w:rsidRPr="00F133CB">
        <w:t xml:space="preserve">with forward primer 5’GGGGACAACTTTGTATAGAAAAGTTGGCGTACTCCCCCTTTTTAGG-3’ and reverse primer 5’-GGGGACTGCTTTTTTGTACAAACTTGTGTTGCTTTGTCGTCTTTTGA-3’). </w:t>
      </w:r>
    </w:p>
    <w:p w14:paraId="45685C95" w14:textId="77777777" w:rsidR="00F60BA5" w:rsidRDefault="00F60BA5" w:rsidP="002251F3">
      <w:pPr>
        <w:pStyle w:val="ListParagraph"/>
        <w:ind w:left="0"/>
      </w:pPr>
    </w:p>
    <w:p w14:paraId="256B9882" w14:textId="5380C63C" w:rsidR="00140088" w:rsidRPr="00F133CB" w:rsidRDefault="00140088" w:rsidP="002251F3">
      <w:pPr>
        <w:pStyle w:val="ListParagraph"/>
        <w:ind w:left="0"/>
      </w:pPr>
      <w:r w:rsidRPr="00F133CB">
        <w:t>N</w:t>
      </w:r>
      <w:r w:rsidR="00F60BA5">
        <w:t>OTE</w:t>
      </w:r>
      <w:r w:rsidRPr="00F133CB">
        <w:t xml:space="preserve">: Due to </w:t>
      </w:r>
      <w:r w:rsidR="007B2F56" w:rsidRPr="00F133CB">
        <w:t xml:space="preserve">the </w:t>
      </w:r>
      <w:r w:rsidRPr="00F133CB">
        <w:t xml:space="preserve">long DNA templates in this step, ensure usage of an appropriate PCR system for accurate PCR amplification. </w:t>
      </w:r>
    </w:p>
    <w:p w14:paraId="2BC67DB5" w14:textId="77777777" w:rsidR="00140088" w:rsidRPr="00F133CB" w:rsidRDefault="00140088" w:rsidP="002251F3"/>
    <w:p w14:paraId="41DA0CA9" w14:textId="77777777" w:rsidR="00F60BA5" w:rsidRDefault="00140088" w:rsidP="002251F3">
      <w:pPr>
        <w:pStyle w:val="ListParagraph"/>
        <w:numPr>
          <w:ilvl w:val="1"/>
          <w:numId w:val="14"/>
        </w:numPr>
        <w:ind w:left="0" w:firstLine="0"/>
      </w:pPr>
      <w:r w:rsidRPr="00F133CB">
        <w:t xml:space="preserve">Clone </w:t>
      </w:r>
      <w:proofErr w:type="spellStart"/>
      <w:r w:rsidRPr="00F60BA5">
        <w:rPr>
          <w:i/>
        </w:rPr>
        <w:t>dϐh</w:t>
      </w:r>
      <w:proofErr w:type="spellEnd"/>
      <w:r w:rsidRPr="00F133CB">
        <w:t xml:space="preserve"> PCR product into the </w:t>
      </w:r>
      <w:r w:rsidRPr="00F60BA5">
        <w:rPr>
          <w:i/>
        </w:rPr>
        <w:t>pDONRP4-P1R</w:t>
      </w:r>
      <w:r w:rsidRPr="00F133CB">
        <w:t xml:space="preserve"> gateway donor vector by BP </w:t>
      </w:r>
      <w:r w:rsidR="005030D3" w:rsidRPr="00F133CB">
        <w:t xml:space="preserve">recombinase </w:t>
      </w:r>
      <w:r w:rsidRPr="00F133CB">
        <w:t>reaction</w:t>
      </w:r>
      <w:r w:rsidR="003F2809" w:rsidRPr="00F60BA5">
        <w:rPr>
          <w:vertAlign w:val="superscript"/>
        </w:rPr>
        <w:t>6</w:t>
      </w:r>
      <w:r w:rsidRPr="00F60BA5">
        <w:rPr>
          <w:vertAlign w:val="superscript"/>
        </w:rPr>
        <w:t>,1</w:t>
      </w:r>
      <w:r w:rsidR="003F2809" w:rsidRPr="00F60BA5">
        <w:rPr>
          <w:vertAlign w:val="superscript"/>
        </w:rPr>
        <w:t>3</w:t>
      </w:r>
      <w:r w:rsidRPr="00F133CB">
        <w:t xml:space="preserve"> (PCR fragment + Donor vector = Entry Clone). </w:t>
      </w:r>
    </w:p>
    <w:p w14:paraId="5D26C2C2" w14:textId="77777777" w:rsidR="00F60BA5" w:rsidRDefault="00F60BA5" w:rsidP="002251F3">
      <w:pPr>
        <w:pStyle w:val="ListParagraph"/>
        <w:ind w:left="0"/>
      </w:pPr>
    </w:p>
    <w:p w14:paraId="4D70241C" w14:textId="0B2F193D" w:rsidR="00F60BA5" w:rsidRDefault="00140088" w:rsidP="002251F3">
      <w:pPr>
        <w:pStyle w:val="ListParagraph"/>
        <w:numPr>
          <w:ilvl w:val="2"/>
          <w:numId w:val="14"/>
        </w:numPr>
        <w:ind w:left="0" w:firstLine="0"/>
      </w:pPr>
      <w:r w:rsidRPr="00F133CB">
        <w:t xml:space="preserve">Mix 1 µL of purified </w:t>
      </w:r>
      <w:proofErr w:type="spellStart"/>
      <w:r w:rsidRPr="00F60BA5">
        <w:rPr>
          <w:i/>
        </w:rPr>
        <w:t>dϐh</w:t>
      </w:r>
      <w:proofErr w:type="spellEnd"/>
      <w:r w:rsidRPr="00F60BA5">
        <w:rPr>
          <w:i/>
        </w:rPr>
        <w:t xml:space="preserve"> </w:t>
      </w:r>
      <w:r w:rsidRPr="00F133CB">
        <w:t>PCR product (172 ng/</w:t>
      </w:r>
      <w:proofErr w:type="spellStart"/>
      <w:r w:rsidRPr="00F133CB">
        <w:t>uL</w:t>
      </w:r>
      <w:proofErr w:type="spellEnd"/>
      <w:r w:rsidRPr="00F133CB">
        <w:t xml:space="preserve">), 1 µL (150 ng/µL) </w:t>
      </w:r>
      <w:r w:rsidR="0054660C">
        <w:t xml:space="preserve">of </w:t>
      </w:r>
      <w:r w:rsidRPr="00F133CB">
        <w:t xml:space="preserve">pDONRP4-P1R donor vector, </w:t>
      </w:r>
      <w:r w:rsidR="007B2F56" w:rsidRPr="00F133CB">
        <w:t xml:space="preserve">and </w:t>
      </w:r>
      <w:r w:rsidRPr="00F133CB">
        <w:t>6 µL of TE buffer (pH 8.0) with 2 µL of BP enzyme mix in a total of 10 µL reaction, incubate for 1 h at 25 °C</w:t>
      </w:r>
      <w:r w:rsidR="00F60BA5">
        <w:t>.</w:t>
      </w:r>
      <w:r w:rsidRPr="00F133CB">
        <w:t xml:space="preserve"> </w:t>
      </w:r>
    </w:p>
    <w:p w14:paraId="40270FD3" w14:textId="77777777" w:rsidR="00F60BA5" w:rsidRDefault="00F60BA5" w:rsidP="002251F3">
      <w:pPr>
        <w:pStyle w:val="ListParagraph"/>
        <w:ind w:left="0"/>
      </w:pPr>
    </w:p>
    <w:p w14:paraId="78D1515B" w14:textId="1BCB9D7D" w:rsidR="00140088" w:rsidRPr="00F133CB" w:rsidRDefault="00F60BA5" w:rsidP="002251F3">
      <w:pPr>
        <w:pStyle w:val="ListParagraph"/>
        <w:numPr>
          <w:ilvl w:val="2"/>
          <w:numId w:val="14"/>
        </w:numPr>
        <w:ind w:left="0" w:firstLine="0"/>
      </w:pPr>
      <w:r>
        <w:t>T</w:t>
      </w:r>
      <w:r w:rsidR="00140088" w:rsidRPr="00F133CB">
        <w:t xml:space="preserve">ransform to TOP10 competent </w:t>
      </w:r>
      <w:r w:rsidR="00140088" w:rsidRPr="00F60BA5">
        <w:rPr>
          <w:i/>
        </w:rPr>
        <w:t>E. coli</w:t>
      </w:r>
      <w:r w:rsidR="00140088" w:rsidRPr="00F133CB">
        <w:t xml:space="preserve"> according to the manufacturer’s protocol. Isolate</w:t>
      </w:r>
      <w:r w:rsidR="007B2F56" w:rsidRPr="00F133CB">
        <w:t xml:space="preserve"> the</w:t>
      </w:r>
      <w:r w:rsidR="00140088" w:rsidRPr="00F133CB">
        <w:t xml:space="preserve"> plasmid as described in </w:t>
      </w:r>
      <w:r w:rsidR="00140088" w:rsidRPr="0054660C">
        <w:t>step</w:t>
      </w:r>
      <w:r w:rsidR="00FC04D6" w:rsidRPr="0054660C">
        <w:t>s</w:t>
      </w:r>
      <w:r w:rsidR="001C4A7B" w:rsidRPr="0054660C">
        <w:t xml:space="preserve"> 1</w:t>
      </w:r>
      <w:r w:rsidR="00140088" w:rsidRPr="0054660C">
        <w:t>.2</w:t>
      </w:r>
      <w:r w:rsidR="001C4A7B" w:rsidRPr="0054660C">
        <w:t>.2-1.2</w:t>
      </w:r>
      <w:r w:rsidR="00FC04D6" w:rsidRPr="0054660C">
        <w:t>.4</w:t>
      </w:r>
      <w:r w:rsidR="00140088" w:rsidRPr="00F133CB">
        <w:t xml:space="preserve"> and verify plasmid by s</w:t>
      </w:r>
      <w:r w:rsidR="005030D3" w:rsidRPr="00F133CB">
        <w:t xml:space="preserve">equencing with M13-F </w:t>
      </w:r>
      <w:r w:rsidR="008454BB" w:rsidRPr="00F133CB">
        <w:t>(5’-</w:t>
      </w:r>
      <w:r w:rsidR="00140088" w:rsidRPr="00F133CB">
        <w:t>GTAA</w:t>
      </w:r>
      <w:r w:rsidR="005030D3" w:rsidRPr="00F133CB">
        <w:t>AACGACGGCCAG-3’) and M13-R</w:t>
      </w:r>
      <w:r w:rsidR="00140088" w:rsidRPr="00F133CB">
        <w:t xml:space="preserve"> (5’-CAGGAAACAGCTATGAC-3’) primers.  </w:t>
      </w:r>
    </w:p>
    <w:p w14:paraId="112B10A4" w14:textId="77777777" w:rsidR="00140088" w:rsidRPr="00F133CB" w:rsidRDefault="00140088" w:rsidP="002251F3"/>
    <w:p w14:paraId="39D31A88" w14:textId="42DA2A64" w:rsidR="0018334A" w:rsidRDefault="00140088" w:rsidP="002251F3">
      <w:pPr>
        <w:pStyle w:val="ListParagraph"/>
        <w:numPr>
          <w:ilvl w:val="1"/>
          <w:numId w:val="14"/>
        </w:numPr>
        <w:ind w:left="0" w:firstLine="0"/>
      </w:pPr>
      <w:r w:rsidRPr="00F133CB">
        <w:t xml:space="preserve">Generate the </w:t>
      </w:r>
      <w:r w:rsidRPr="00F60BA5">
        <w:rPr>
          <w:i/>
        </w:rPr>
        <w:t>dϐ</w:t>
      </w:r>
      <w:proofErr w:type="gramStart"/>
      <w:r w:rsidRPr="00F60BA5">
        <w:rPr>
          <w:i/>
        </w:rPr>
        <w:t>h:LMO</w:t>
      </w:r>
      <w:proofErr w:type="gramEnd"/>
      <w:r w:rsidRPr="00F60BA5">
        <w:rPr>
          <w:i/>
        </w:rPr>
        <w:t>1</w:t>
      </w:r>
      <w:r w:rsidR="00F60B91">
        <w:t xml:space="preserve"> expression construct.</w:t>
      </w:r>
    </w:p>
    <w:p w14:paraId="3A9AE526" w14:textId="77777777" w:rsidR="0018334A" w:rsidRDefault="0018334A" w:rsidP="002251F3">
      <w:pPr>
        <w:pStyle w:val="ListParagraph"/>
        <w:ind w:left="0"/>
      </w:pPr>
    </w:p>
    <w:p w14:paraId="466C1D57" w14:textId="77777777" w:rsidR="0018334A" w:rsidRDefault="0018334A" w:rsidP="002251F3">
      <w:pPr>
        <w:pStyle w:val="ListParagraph"/>
        <w:numPr>
          <w:ilvl w:val="2"/>
          <w:numId w:val="14"/>
        </w:numPr>
        <w:ind w:left="0" w:firstLine="0"/>
      </w:pPr>
      <w:r>
        <w:t>Combine</w:t>
      </w:r>
      <w:r w:rsidR="00140088" w:rsidRPr="00F133CB">
        <w:t xml:space="preserve"> 1 µL of each entry clone (</w:t>
      </w:r>
      <w:proofErr w:type="spellStart"/>
      <w:r w:rsidR="00140088" w:rsidRPr="00F60BA5">
        <w:rPr>
          <w:i/>
        </w:rPr>
        <w:t>dϐh</w:t>
      </w:r>
      <w:proofErr w:type="spellEnd"/>
      <w:r w:rsidR="00140088" w:rsidRPr="00F133CB">
        <w:t xml:space="preserve"> </w:t>
      </w:r>
      <w:r w:rsidR="00140088" w:rsidRPr="00F60BA5">
        <w:rPr>
          <w:i/>
        </w:rPr>
        <w:t>-pDONRP4-P1R, LMO1-pDONR221</w:t>
      </w:r>
      <w:r w:rsidR="00140088" w:rsidRPr="00F133CB">
        <w:t xml:space="preserve"> and </w:t>
      </w:r>
      <w:r w:rsidR="00140088" w:rsidRPr="00F60BA5">
        <w:rPr>
          <w:i/>
        </w:rPr>
        <w:t>p3E-polyA</w:t>
      </w:r>
      <w:r w:rsidR="00140088" w:rsidRPr="00F60BA5">
        <w:rPr>
          <w:vertAlign w:val="superscript"/>
        </w:rPr>
        <w:t>11</w:t>
      </w:r>
      <w:r w:rsidR="00140088" w:rsidRPr="00F60BA5">
        <w:rPr>
          <w:i/>
        </w:rPr>
        <w:t>)</w:t>
      </w:r>
      <w:r w:rsidR="007B2F56" w:rsidRPr="00F133CB">
        <w:t xml:space="preserve"> (20 </w:t>
      </w:r>
      <w:proofErr w:type="spellStart"/>
      <w:r w:rsidR="007B2F56" w:rsidRPr="00F133CB">
        <w:t>fmole</w:t>
      </w:r>
      <w:proofErr w:type="spellEnd"/>
      <w:r w:rsidR="007B2F56" w:rsidRPr="00F133CB">
        <w:t xml:space="preserve"> each), 1 µL (60 ng/</w:t>
      </w:r>
      <w:r w:rsidR="00140088" w:rsidRPr="00F133CB">
        <w:t>µL) of modified destination vector with I-</w:t>
      </w:r>
      <w:proofErr w:type="spellStart"/>
      <w:r w:rsidR="00140088" w:rsidRPr="00F133CB">
        <w:t>SceI</w:t>
      </w:r>
      <w:proofErr w:type="spellEnd"/>
      <w:r w:rsidR="00140088" w:rsidRPr="00F133CB">
        <w:t xml:space="preserve"> recognition sites, and 4 µL of TE buffer (pH 8.0) containing 2 µL of the LR </w:t>
      </w:r>
      <w:r w:rsidR="005030D3" w:rsidRPr="00F133CB">
        <w:t xml:space="preserve">recombinase </w:t>
      </w:r>
      <w:r w:rsidR="00140088" w:rsidRPr="00F133CB">
        <w:t xml:space="preserve">enzyme mix. Incubate this mixture for 1 h at 25 °C. </w:t>
      </w:r>
    </w:p>
    <w:p w14:paraId="6175CDDC" w14:textId="77777777" w:rsidR="0018334A" w:rsidRDefault="0018334A" w:rsidP="002251F3">
      <w:pPr>
        <w:pStyle w:val="ListParagraph"/>
        <w:ind w:left="0"/>
      </w:pPr>
    </w:p>
    <w:p w14:paraId="3C2A0B5E" w14:textId="4A644AF7" w:rsidR="00140088" w:rsidRPr="00F133CB" w:rsidRDefault="00140088" w:rsidP="002251F3">
      <w:pPr>
        <w:pStyle w:val="ListParagraph"/>
        <w:numPr>
          <w:ilvl w:val="2"/>
          <w:numId w:val="14"/>
        </w:numPr>
        <w:ind w:left="0" w:firstLine="0"/>
      </w:pPr>
      <w:r w:rsidRPr="00F133CB">
        <w:t xml:space="preserve">While following the </w:t>
      </w:r>
      <w:r w:rsidR="007B2F56" w:rsidRPr="00F133CB">
        <w:t>manufacturer’s</w:t>
      </w:r>
      <w:r w:rsidRPr="00F133CB">
        <w:t xml:space="preserve"> protocol, transform bacteria to chemically competent TOP10 </w:t>
      </w:r>
      <w:r w:rsidRPr="00F60BA5">
        <w:rPr>
          <w:i/>
        </w:rPr>
        <w:t>E. coli</w:t>
      </w:r>
      <w:r w:rsidRPr="00F133CB">
        <w:t>. Isolate plasmid as described in step</w:t>
      </w:r>
      <w:r w:rsidR="00F81FAD">
        <w:t>s</w:t>
      </w:r>
      <w:r w:rsidR="001C4A7B">
        <w:t xml:space="preserve"> 1.2</w:t>
      </w:r>
      <w:r w:rsidRPr="00F133CB">
        <w:t>.2</w:t>
      </w:r>
      <w:r w:rsidR="001C4A7B">
        <w:t>-1.2</w:t>
      </w:r>
      <w:r w:rsidR="00F81FAD">
        <w:t>.4</w:t>
      </w:r>
      <w:r w:rsidRPr="00F133CB">
        <w:t xml:space="preserve"> and verify plasmid by s</w:t>
      </w:r>
      <w:r w:rsidR="008454BB" w:rsidRPr="00F133CB">
        <w:t>equencing with DBH Forward (5’-</w:t>
      </w:r>
      <w:r w:rsidRPr="00F133CB">
        <w:t>GAAGCTGTCACAGGGTTGTG-3’) and LMO1 (5</w:t>
      </w:r>
      <w:r w:rsidR="008454BB" w:rsidRPr="00F133CB">
        <w:t>’-</w:t>
      </w:r>
      <w:r w:rsidRPr="00F133CB">
        <w:t xml:space="preserve">GGCATTGGACAAGTACTGGCA-3’) primers.  </w:t>
      </w:r>
    </w:p>
    <w:p w14:paraId="3402D9EF" w14:textId="77777777" w:rsidR="00140088" w:rsidRPr="00F133CB" w:rsidRDefault="00140088" w:rsidP="002251F3"/>
    <w:p w14:paraId="4D951DBD" w14:textId="7E40AF8F" w:rsidR="00F60BA5" w:rsidRPr="0054660C" w:rsidRDefault="00140088" w:rsidP="002251F3">
      <w:pPr>
        <w:pStyle w:val="ListParagraph"/>
        <w:numPr>
          <w:ilvl w:val="1"/>
          <w:numId w:val="14"/>
        </w:numPr>
        <w:ind w:left="0" w:firstLine="0"/>
      </w:pPr>
      <w:r w:rsidRPr="00F60BA5">
        <w:rPr>
          <w:iCs/>
        </w:rPr>
        <w:t>Generate</w:t>
      </w:r>
      <w:r w:rsidRPr="00F60BA5">
        <w:rPr>
          <w:i/>
          <w:iCs/>
        </w:rPr>
        <w:t xml:space="preserve"> </w:t>
      </w:r>
      <w:proofErr w:type="spellStart"/>
      <w:r w:rsidRPr="00F60BA5">
        <w:rPr>
          <w:i/>
        </w:rPr>
        <w:t>dϐ</w:t>
      </w:r>
      <w:proofErr w:type="gramStart"/>
      <w:r w:rsidRPr="00F60BA5">
        <w:rPr>
          <w:i/>
        </w:rPr>
        <w:t>h</w:t>
      </w:r>
      <w:r w:rsidRPr="00F60BA5">
        <w:rPr>
          <w:i/>
          <w:iCs/>
        </w:rPr>
        <w:t>:mCherry</w:t>
      </w:r>
      <w:proofErr w:type="spellEnd"/>
      <w:proofErr w:type="gramEnd"/>
      <w:r w:rsidRPr="00F133CB">
        <w:t> DNA construct with a gateway system by combining entry clones of a 5.2-kb </w:t>
      </w:r>
      <w:proofErr w:type="spellStart"/>
      <w:r w:rsidRPr="00F60BA5">
        <w:rPr>
          <w:i/>
        </w:rPr>
        <w:t>dϐh</w:t>
      </w:r>
      <w:proofErr w:type="spellEnd"/>
      <w:r w:rsidRPr="00F133CB">
        <w:t xml:space="preserve"> promoter, </w:t>
      </w:r>
      <w:proofErr w:type="spellStart"/>
      <w:r w:rsidRPr="00F60BA5">
        <w:rPr>
          <w:i/>
          <w:iCs/>
        </w:rPr>
        <w:t>pME-mCherry</w:t>
      </w:r>
      <w:proofErr w:type="spellEnd"/>
      <w:r w:rsidR="007B2F56" w:rsidRPr="00F60BA5">
        <w:rPr>
          <w:i/>
          <w:iCs/>
        </w:rPr>
        <w:t>,</w:t>
      </w:r>
      <w:r w:rsidRPr="00F133CB">
        <w:t> and </w:t>
      </w:r>
      <w:r w:rsidRPr="00F60BA5">
        <w:rPr>
          <w:i/>
          <w:iCs/>
        </w:rPr>
        <w:t>p3E-polyA</w:t>
      </w:r>
      <w:r w:rsidRPr="00F133CB">
        <w:t> into the modified destination vector containing </w:t>
      </w:r>
      <w:r w:rsidRPr="00F60BA5">
        <w:rPr>
          <w:i/>
          <w:iCs/>
        </w:rPr>
        <w:t>I-</w:t>
      </w:r>
      <w:proofErr w:type="spellStart"/>
      <w:r w:rsidRPr="00F60BA5">
        <w:rPr>
          <w:i/>
          <w:iCs/>
        </w:rPr>
        <w:t>SceI</w:t>
      </w:r>
      <w:proofErr w:type="spellEnd"/>
      <w:r w:rsidR="007B2F56" w:rsidRPr="00F133CB">
        <w:t xml:space="preserve"> recognition sites as mentioned previously in </w:t>
      </w:r>
      <w:r w:rsidR="007B2F56" w:rsidRPr="0054660C">
        <w:t>s</w:t>
      </w:r>
      <w:r w:rsidRPr="0054660C">
        <w:t>tep 1</w:t>
      </w:r>
      <w:r w:rsidR="00F81FAD" w:rsidRPr="0054660C">
        <w:t>.</w:t>
      </w:r>
      <w:r w:rsidRPr="0054660C">
        <w:t>5</w:t>
      </w:r>
      <w:r w:rsidR="00F81FAD" w:rsidRPr="0054660C">
        <w:t>.1</w:t>
      </w:r>
      <w:r w:rsidR="003F2809" w:rsidRPr="0054660C">
        <w:rPr>
          <w:vertAlign w:val="superscript"/>
        </w:rPr>
        <w:t>6</w:t>
      </w:r>
      <w:r w:rsidRPr="0054660C">
        <w:t>.</w:t>
      </w:r>
      <w:r w:rsidR="00422D04" w:rsidRPr="0054660C">
        <w:t xml:space="preserve"> Isolate plasmid as described in step</w:t>
      </w:r>
      <w:r w:rsidR="00F81FAD" w:rsidRPr="0054660C">
        <w:t>s</w:t>
      </w:r>
      <w:r w:rsidR="001C4A7B" w:rsidRPr="0054660C">
        <w:t xml:space="preserve"> 1.2</w:t>
      </w:r>
      <w:r w:rsidR="00422D04" w:rsidRPr="0054660C">
        <w:t>.2</w:t>
      </w:r>
      <w:r w:rsidR="00F81FAD" w:rsidRPr="0054660C">
        <w:t>-1.2.4</w:t>
      </w:r>
      <w:r w:rsidR="00422D04" w:rsidRPr="0054660C">
        <w:t xml:space="preserve"> and verify plasmid by sequenci</w:t>
      </w:r>
      <w:r w:rsidR="008454BB" w:rsidRPr="0054660C">
        <w:t>ng with DBH Forward primer (5’-</w:t>
      </w:r>
      <w:r w:rsidR="00422D04" w:rsidRPr="0054660C">
        <w:t>GAAGCTGTCACAGGGTTGTG-3’)</w:t>
      </w:r>
      <w:r w:rsidR="00F60BA5" w:rsidRPr="0054660C">
        <w:t>.</w:t>
      </w:r>
    </w:p>
    <w:p w14:paraId="57341FD4" w14:textId="77777777" w:rsidR="00F60BA5" w:rsidRDefault="00F60BA5" w:rsidP="002251F3">
      <w:pPr>
        <w:pStyle w:val="ListParagraph"/>
        <w:ind w:left="0"/>
      </w:pPr>
    </w:p>
    <w:p w14:paraId="61CC394A" w14:textId="472199F9" w:rsidR="00F60BA5" w:rsidRDefault="00140088" w:rsidP="002251F3">
      <w:pPr>
        <w:pStyle w:val="ListParagraph"/>
        <w:numPr>
          <w:ilvl w:val="1"/>
          <w:numId w:val="14"/>
        </w:numPr>
        <w:ind w:left="0" w:firstLine="0"/>
      </w:pPr>
      <w:r w:rsidRPr="00F133CB">
        <w:t xml:space="preserve">Linearize </w:t>
      </w:r>
      <w:r w:rsidRPr="00F60BA5">
        <w:rPr>
          <w:i/>
        </w:rPr>
        <w:t>dϐh:LMO1</w:t>
      </w:r>
      <w:r w:rsidRPr="00F133CB">
        <w:t xml:space="preserve"> DNA construct and </w:t>
      </w:r>
      <w:proofErr w:type="spellStart"/>
      <w:r w:rsidRPr="00F60BA5">
        <w:rPr>
          <w:i/>
        </w:rPr>
        <w:t>dϐh:mCherry</w:t>
      </w:r>
      <w:proofErr w:type="spellEnd"/>
      <w:r w:rsidRPr="00F133CB">
        <w:t xml:space="preserve"> DNA construct (at </w:t>
      </w:r>
      <w:r w:rsidR="007B2F56" w:rsidRPr="00F133CB">
        <w:t xml:space="preserve">a </w:t>
      </w:r>
      <w:r w:rsidRPr="00F133CB">
        <w:t>3:1 ratio, respectively) in a total of a 15 µL reaction</w:t>
      </w:r>
      <w:r w:rsidR="0018334A">
        <w:t xml:space="preserve"> volume</w:t>
      </w:r>
      <w:r w:rsidRPr="00F133CB">
        <w:t xml:space="preserve"> with 1 µL of I-</w:t>
      </w:r>
      <w:proofErr w:type="spellStart"/>
      <w:r w:rsidRPr="00F133CB">
        <w:t>SceI</w:t>
      </w:r>
      <w:proofErr w:type="spellEnd"/>
      <w:r w:rsidRPr="00F133CB">
        <w:t xml:space="preserve"> enzyme (5 </w:t>
      </w:r>
      <w:r w:rsidR="00F60BA5">
        <w:t>U</w:t>
      </w:r>
      <w:r w:rsidRPr="00F133CB">
        <w:t>/µL) and 0.75 µL of b</w:t>
      </w:r>
      <w:r w:rsidR="007B2F56" w:rsidRPr="00F133CB">
        <w:t>uffer (10</w:t>
      </w:r>
      <w:r w:rsidR="00F60BA5">
        <w:t>x</w:t>
      </w:r>
      <w:r w:rsidR="007B2F56" w:rsidRPr="00F133CB">
        <w:t xml:space="preserve">), and incubate at room temperature </w:t>
      </w:r>
      <w:r w:rsidRPr="00F133CB">
        <w:t xml:space="preserve">for </w:t>
      </w:r>
      <w:r w:rsidR="007B2F56" w:rsidRPr="00F133CB">
        <w:t xml:space="preserve">a minimum of </w:t>
      </w:r>
      <w:r w:rsidRPr="00F133CB">
        <w:t>4 h or overnight. Ensure that DNA concentration does</w:t>
      </w:r>
      <w:r w:rsidR="0018334A">
        <w:t xml:space="preserve"> </w:t>
      </w:r>
      <w:r w:rsidRPr="00F133CB">
        <w:t>n</w:t>
      </w:r>
      <w:r w:rsidR="0018334A">
        <w:t>o</w:t>
      </w:r>
      <w:r w:rsidRPr="00F133CB">
        <w:t xml:space="preserve">t exceed 750 ng in reaction. </w:t>
      </w:r>
    </w:p>
    <w:p w14:paraId="26B3FC5F" w14:textId="77777777" w:rsidR="00F60BA5" w:rsidRDefault="00F60BA5" w:rsidP="002251F3">
      <w:pPr>
        <w:pStyle w:val="ListParagraph"/>
        <w:ind w:left="0"/>
      </w:pPr>
    </w:p>
    <w:p w14:paraId="4DF4038D" w14:textId="2FD7E0BD" w:rsidR="00140088" w:rsidRPr="00F133CB" w:rsidRDefault="00140088" w:rsidP="002251F3">
      <w:pPr>
        <w:pStyle w:val="ListParagraph"/>
        <w:numPr>
          <w:ilvl w:val="1"/>
          <w:numId w:val="14"/>
        </w:numPr>
        <w:ind w:left="0" w:firstLine="0"/>
      </w:pPr>
      <w:r w:rsidRPr="00F133CB">
        <w:lastRenderedPageBreak/>
        <w:t xml:space="preserve">Next day </w:t>
      </w:r>
      <w:r w:rsidR="007B2F56" w:rsidRPr="00F133CB">
        <w:t xml:space="preserve">and </w:t>
      </w:r>
      <w:r w:rsidRPr="00F133CB">
        <w:t>after linearization of constructs, add 0.5 µL of</w:t>
      </w:r>
      <w:r w:rsidR="007B2F56" w:rsidRPr="00F133CB">
        <w:t xml:space="preserve"> f</w:t>
      </w:r>
      <w:r w:rsidR="002248B5">
        <w:t>resh I-</w:t>
      </w:r>
      <w:proofErr w:type="spellStart"/>
      <w:r w:rsidR="002248B5">
        <w:t>SceI</w:t>
      </w:r>
      <w:proofErr w:type="spellEnd"/>
      <w:r w:rsidR="002248B5">
        <w:t xml:space="preserve"> enzyme (5 U</w:t>
      </w:r>
      <w:r w:rsidR="007B2F56" w:rsidRPr="00F133CB">
        <w:t>/</w:t>
      </w:r>
      <w:r w:rsidRPr="00F133CB">
        <w:t>µL) and 0.5 µL of 0.5% phenol red into 5 µL of total DNA mixtu</w:t>
      </w:r>
      <w:r w:rsidRPr="0054660C">
        <w:t xml:space="preserve">re from previous step </w:t>
      </w:r>
      <w:r w:rsidR="007B2F56" w:rsidRPr="0054660C">
        <w:t xml:space="preserve">of </w:t>
      </w:r>
      <w:r w:rsidR="00F81FAD" w:rsidRPr="0054660C">
        <w:t>1.</w:t>
      </w:r>
      <w:r w:rsidRPr="0054660C">
        <w:t>7</w:t>
      </w:r>
      <w:r w:rsidRPr="00F133CB">
        <w:t xml:space="preserve">. Microinject </w:t>
      </w:r>
      <w:r w:rsidR="00F60BA5">
        <w:t xml:space="preserve">the </w:t>
      </w:r>
      <w:r w:rsidRPr="00F133CB">
        <w:t xml:space="preserve">total solution (of 50-80 </w:t>
      </w:r>
      <w:proofErr w:type="spellStart"/>
      <w:r w:rsidRPr="00F133CB">
        <w:t>pg</w:t>
      </w:r>
      <w:proofErr w:type="spellEnd"/>
      <w:r w:rsidRPr="00F133CB">
        <w:t xml:space="preserve"> of linearized DNA) into one-cell-stage wild-type AB embryos (and as many as 500 embryos) using 1.0 mm diameter glass micropipette needle as previously described</w:t>
      </w:r>
      <w:r w:rsidR="00FE3F13" w:rsidRPr="00F60BA5">
        <w:rPr>
          <w:vertAlign w:val="superscript"/>
        </w:rPr>
        <w:t>17</w:t>
      </w:r>
      <w:r w:rsidRPr="00F133CB">
        <w:t xml:space="preserve">. </w:t>
      </w:r>
      <w:r w:rsidR="00FE3F13" w:rsidRPr="00F133CB">
        <w:t xml:space="preserve">Store </w:t>
      </w:r>
      <w:r w:rsidR="00F60BA5">
        <w:t xml:space="preserve">the </w:t>
      </w:r>
      <w:r w:rsidR="00FE3F13" w:rsidRPr="00F133CB">
        <w:t>r</w:t>
      </w:r>
      <w:r w:rsidRPr="00F133CB">
        <w:t xml:space="preserve">emaining DNA mixture </w:t>
      </w:r>
      <w:r w:rsidR="00FE3F13" w:rsidRPr="00F133CB">
        <w:t>at</w:t>
      </w:r>
      <w:r w:rsidRPr="00F133CB">
        <w:t xml:space="preserve"> -20 °C for future injections. </w:t>
      </w:r>
    </w:p>
    <w:p w14:paraId="25390BC5" w14:textId="77777777" w:rsidR="00140088" w:rsidRPr="00F133CB" w:rsidRDefault="00140088" w:rsidP="002251F3"/>
    <w:p w14:paraId="18854C5A" w14:textId="234C25A5" w:rsidR="00140088" w:rsidRPr="00F60BA5" w:rsidRDefault="00984227" w:rsidP="002251F3">
      <w:pPr>
        <w:pStyle w:val="ListParagraph"/>
        <w:numPr>
          <w:ilvl w:val="0"/>
          <w:numId w:val="14"/>
        </w:numPr>
        <w:rPr>
          <w:b/>
          <w:bCs/>
        </w:rPr>
      </w:pPr>
      <w:r>
        <w:rPr>
          <w:b/>
          <w:bCs/>
        </w:rPr>
        <w:t xml:space="preserve">Screen and </w:t>
      </w:r>
      <w:r w:rsidR="0054660C">
        <w:rPr>
          <w:b/>
          <w:bCs/>
        </w:rPr>
        <w:t>v</w:t>
      </w:r>
      <w:r w:rsidR="00140088" w:rsidRPr="00F60BA5">
        <w:rPr>
          <w:b/>
          <w:bCs/>
        </w:rPr>
        <w:t xml:space="preserve">erify </w:t>
      </w:r>
      <w:r w:rsidR="00140088" w:rsidRPr="00F60BA5">
        <w:rPr>
          <w:b/>
          <w:bCs/>
          <w:i/>
        </w:rPr>
        <w:t>LMO1</w:t>
      </w:r>
      <w:r>
        <w:rPr>
          <w:b/>
          <w:bCs/>
        </w:rPr>
        <w:t xml:space="preserve"> </w:t>
      </w:r>
      <w:r w:rsidR="0054660C">
        <w:rPr>
          <w:b/>
          <w:bCs/>
        </w:rPr>
        <w:t>t</w:t>
      </w:r>
      <w:r>
        <w:rPr>
          <w:b/>
          <w:bCs/>
        </w:rPr>
        <w:t xml:space="preserve">ransgenic </w:t>
      </w:r>
      <w:r w:rsidR="0054660C">
        <w:rPr>
          <w:b/>
          <w:bCs/>
        </w:rPr>
        <w:t>f</w:t>
      </w:r>
      <w:r>
        <w:rPr>
          <w:b/>
          <w:bCs/>
        </w:rPr>
        <w:t xml:space="preserve">ish </w:t>
      </w:r>
      <w:r w:rsidR="0054660C">
        <w:rPr>
          <w:b/>
          <w:bCs/>
        </w:rPr>
        <w:t>l</w:t>
      </w:r>
      <w:r>
        <w:rPr>
          <w:b/>
          <w:bCs/>
        </w:rPr>
        <w:t xml:space="preserve">ine for </w:t>
      </w:r>
      <w:r w:rsidR="0054660C">
        <w:rPr>
          <w:b/>
          <w:bCs/>
        </w:rPr>
        <w:t>g</w:t>
      </w:r>
      <w:r>
        <w:rPr>
          <w:b/>
          <w:bCs/>
        </w:rPr>
        <w:t xml:space="preserve">ermline </w:t>
      </w:r>
      <w:r w:rsidR="0054660C">
        <w:rPr>
          <w:b/>
          <w:bCs/>
        </w:rPr>
        <w:t>t</w:t>
      </w:r>
      <w:r w:rsidR="00140088" w:rsidRPr="00F60BA5">
        <w:rPr>
          <w:b/>
          <w:bCs/>
        </w:rPr>
        <w:t xml:space="preserve">ransmission of </w:t>
      </w:r>
      <w:r w:rsidR="00140088" w:rsidRPr="00F60BA5">
        <w:rPr>
          <w:b/>
          <w:bCs/>
          <w:i/>
        </w:rPr>
        <w:t>LMO1</w:t>
      </w:r>
      <w:r w:rsidR="00140088" w:rsidRPr="00F60BA5">
        <w:rPr>
          <w:b/>
          <w:bCs/>
        </w:rPr>
        <w:t xml:space="preserve"> and </w:t>
      </w:r>
      <w:proofErr w:type="spellStart"/>
      <w:proofErr w:type="gramStart"/>
      <w:r w:rsidR="00140088" w:rsidRPr="00F60BA5">
        <w:rPr>
          <w:b/>
          <w:bCs/>
          <w:i/>
        </w:rPr>
        <w:t>mCherry</w:t>
      </w:r>
      <w:proofErr w:type="spellEnd"/>
      <w:proofErr w:type="gramEnd"/>
      <w:r w:rsidR="00140088" w:rsidRPr="00F60BA5">
        <w:rPr>
          <w:b/>
          <w:bCs/>
        </w:rPr>
        <w:t xml:space="preserve"> </w:t>
      </w:r>
    </w:p>
    <w:p w14:paraId="2569A53E" w14:textId="77777777" w:rsidR="00EC6D14" w:rsidRPr="00F133CB" w:rsidRDefault="00EC6D14" w:rsidP="002251F3"/>
    <w:p w14:paraId="72494E16" w14:textId="6915CE2F" w:rsidR="00F60BA5" w:rsidRDefault="00140088" w:rsidP="002251F3">
      <w:pPr>
        <w:pStyle w:val="ListParagraph"/>
        <w:numPr>
          <w:ilvl w:val="1"/>
          <w:numId w:val="14"/>
        </w:numPr>
        <w:ind w:left="0" w:firstLine="0"/>
      </w:pPr>
      <w:r w:rsidRPr="00F133CB">
        <w:t>At 3-4 days-post-fertilization (</w:t>
      </w:r>
      <w:proofErr w:type="spellStart"/>
      <w:r w:rsidRPr="00F133CB">
        <w:t>dpf</w:t>
      </w:r>
      <w:proofErr w:type="spellEnd"/>
      <w:r w:rsidRPr="00F133CB">
        <w:t xml:space="preserve">), anesthetize injected embryos with 0.02% tricaine and screen them for fluorescent </w:t>
      </w:r>
      <w:proofErr w:type="spellStart"/>
      <w:r w:rsidRPr="00F133CB">
        <w:t>mCherry</w:t>
      </w:r>
      <w:proofErr w:type="spellEnd"/>
      <w:r w:rsidRPr="00F133CB">
        <w:t xml:space="preserve"> expression, which present</w:t>
      </w:r>
      <w:r w:rsidR="00FE3F13" w:rsidRPr="00F133CB">
        <w:t>s anywhere throughout</w:t>
      </w:r>
      <w:r w:rsidRPr="00F133CB">
        <w:t xml:space="preserve"> the </w:t>
      </w:r>
      <w:r w:rsidR="00FE3F13" w:rsidRPr="00F133CB">
        <w:t xml:space="preserve">fish </w:t>
      </w:r>
      <w:r w:rsidRPr="00F133CB">
        <w:t xml:space="preserve">body due to the mosaic transgenesis. Transfer </w:t>
      </w:r>
      <w:proofErr w:type="spellStart"/>
      <w:r w:rsidRPr="00F133CB">
        <w:t>mCherry</w:t>
      </w:r>
      <w:proofErr w:type="spellEnd"/>
      <w:r w:rsidRPr="00F133CB">
        <w:t xml:space="preserve">-positive embryos into a </w:t>
      </w:r>
      <w:r w:rsidR="00F60BA5">
        <w:t>P</w:t>
      </w:r>
      <w:r w:rsidRPr="00F133CB">
        <w:t>etri dish with fresh egg water and raise embryos to sexual maturity</w:t>
      </w:r>
      <w:r w:rsidR="008454BB" w:rsidRPr="00F133CB">
        <w:t xml:space="preserve"> in accordance </w:t>
      </w:r>
      <w:r w:rsidR="0018334A">
        <w:t>with</w:t>
      </w:r>
      <w:r w:rsidR="008454BB" w:rsidRPr="00F133CB">
        <w:t xml:space="preserve"> the zebrafish book</w:t>
      </w:r>
      <w:r w:rsidR="008454BB" w:rsidRPr="00F60BA5">
        <w:rPr>
          <w:vertAlign w:val="superscript"/>
        </w:rPr>
        <w:t>21</w:t>
      </w:r>
      <w:r w:rsidRPr="00F133CB">
        <w:t xml:space="preserve">. </w:t>
      </w:r>
    </w:p>
    <w:p w14:paraId="3F2DF9C7" w14:textId="77777777" w:rsidR="00F60BA5" w:rsidRDefault="00F60BA5" w:rsidP="002251F3">
      <w:pPr>
        <w:pStyle w:val="ListParagraph"/>
        <w:ind w:left="0"/>
      </w:pPr>
    </w:p>
    <w:p w14:paraId="41307014" w14:textId="5A35E7EE" w:rsidR="00F60BA5" w:rsidRDefault="00140088" w:rsidP="002251F3">
      <w:r w:rsidRPr="00F133CB">
        <w:t>N</w:t>
      </w:r>
      <w:r w:rsidR="00F60BA5">
        <w:t>OTE</w:t>
      </w:r>
      <w:r w:rsidRPr="00F133CB">
        <w:t xml:space="preserve">: Expect </w:t>
      </w:r>
      <w:r w:rsidR="0018334A">
        <w:t xml:space="preserve">the </w:t>
      </w:r>
      <w:r w:rsidRPr="00F133CB">
        <w:t xml:space="preserve">ratio of positive fish to vary depending on </w:t>
      </w:r>
      <w:r w:rsidR="0018334A">
        <w:t xml:space="preserve">the </w:t>
      </w:r>
      <w:r w:rsidRPr="00F133CB">
        <w:t>experti</w:t>
      </w:r>
      <w:r w:rsidR="0018334A">
        <w:t>s</w:t>
      </w:r>
      <w:r w:rsidRPr="00F133CB">
        <w:t>e and experience of research personnel. For example, beginning amateurs may have a low integration rate of 10%, compared to an expert’s of ≥50%.</w:t>
      </w:r>
    </w:p>
    <w:p w14:paraId="46EC41C2" w14:textId="77777777" w:rsidR="00F60BA5" w:rsidRDefault="00F60BA5" w:rsidP="002251F3">
      <w:pPr>
        <w:pStyle w:val="ListParagraph"/>
        <w:ind w:left="0"/>
      </w:pPr>
    </w:p>
    <w:p w14:paraId="716D6AB5" w14:textId="4AB9950A" w:rsidR="00F60BA5" w:rsidRDefault="00140088" w:rsidP="002251F3">
      <w:pPr>
        <w:pStyle w:val="ListParagraph"/>
        <w:numPr>
          <w:ilvl w:val="1"/>
          <w:numId w:val="14"/>
        </w:numPr>
        <w:ind w:left="0" w:firstLine="0"/>
      </w:pPr>
      <w:r w:rsidRPr="00F133CB">
        <w:t xml:space="preserve">To determine the founder fish with </w:t>
      </w:r>
      <w:r w:rsidRPr="00F60BA5">
        <w:rPr>
          <w:i/>
        </w:rPr>
        <w:t>dϐh</w:t>
      </w:r>
      <w:r w:rsidRPr="00F133CB">
        <w:t>:</w:t>
      </w:r>
      <w:r w:rsidRPr="00F60BA5">
        <w:rPr>
          <w:i/>
        </w:rPr>
        <w:t>LMO1</w:t>
      </w:r>
      <w:r w:rsidRPr="00F133CB">
        <w:t xml:space="preserve"> and </w:t>
      </w:r>
      <w:proofErr w:type="spellStart"/>
      <w:r w:rsidRPr="00F60BA5">
        <w:rPr>
          <w:i/>
        </w:rPr>
        <w:t>dϐh</w:t>
      </w:r>
      <w:r w:rsidRPr="00F133CB">
        <w:t>:</w:t>
      </w:r>
      <w:r w:rsidRPr="00F60BA5">
        <w:rPr>
          <w:i/>
        </w:rPr>
        <w:t>mCherry</w:t>
      </w:r>
      <w:proofErr w:type="spellEnd"/>
      <w:r w:rsidRPr="00F133CB">
        <w:t xml:space="preserve"> transgenes integrated into germ cells, outcross </w:t>
      </w:r>
      <w:r w:rsidR="008454BB" w:rsidRPr="00F133CB">
        <w:t>single pairs of</w:t>
      </w:r>
      <w:r w:rsidR="00FE3F13" w:rsidRPr="00F133CB">
        <w:t xml:space="preserve"> injected </w:t>
      </w:r>
      <w:proofErr w:type="spellStart"/>
      <w:r w:rsidRPr="00F133CB">
        <w:t>mCherry</w:t>
      </w:r>
      <w:proofErr w:type="spellEnd"/>
      <w:r w:rsidRPr="00F133CB">
        <w:t>-positive F0 sexually mature</w:t>
      </w:r>
      <w:r w:rsidR="005A5A0E">
        <w:t>d fish from previous step (2.1</w:t>
      </w:r>
      <w:r w:rsidRPr="00F133CB">
        <w:t xml:space="preserve">) with WT AB fish. Screen the F1 generation for </w:t>
      </w:r>
      <w:proofErr w:type="spellStart"/>
      <w:r w:rsidRPr="00F133CB">
        <w:t>mCherry</w:t>
      </w:r>
      <w:proofErr w:type="spellEnd"/>
      <w:r w:rsidRPr="00F133CB">
        <w:t xml:space="preserve">-positive embryos at 3-4 </w:t>
      </w:r>
      <w:proofErr w:type="spellStart"/>
      <w:r w:rsidRPr="00F133CB">
        <w:t>dpf</w:t>
      </w:r>
      <w:proofErr w:type="spellEnd"/>
      <w:r w:rsidRPr="00F133CB">
        <w:t xml:space="preserve">. </w:t>
      </w:r>
    </w:p>
    <w:p w14:paraId="5761CB47" w14:textId="77777777" w:rsidR="00F60BA5" w:rsidRDefault="00F60BA5" w:rsidP="002251F3">
      <w:pPr>
        <w:pStyle w:val="ListParagraph"/>
        <w:ind w:left="0"/>
      </w:pPr>
    </w:p>
    <w:p w14:paraId="726D8A3F" w14:textId="712AE11A" w:rsidR="00F60BA5" w:rsidRDefault="00140088" w:rsidP="002251F3">
      <w:pPr>
        <w:pStyle w:val="ListParagraph"/>
        <w:numPr>
          <w:ilvl w:val="1"/>
          <w:numId w:val="14"/>
        </w:numPr>
        <w:ind w:left="0" w:firstLine="0"/>
      </w:pPr>
      <w:r w:rsidRPr="00F133CB">
        <w:t>To confirm t</w:t>
      </w:r>
      <w:r w:rsidR="00AD4E45" w:rsidRPr="00F133CB">
        <w:t>hat t</w:t>
      </w:r>
      <w:r w:rsidRPr="00F133CB">
        <w:t xml:space="preserve">he </w:t>
      </w:r>
      <w:proofErr w:type="spellStart"/>
      <w:r w:rsidRPr="00F133CB">
        <w:t>mCherry</w:t>
      </w:r>
      <w:proofErr w:type="spellEnd"/>
      <w:r w:rsidRPr="00F133CB">
        <w:t xml:space="preserve">-positive fish carry </w:t>
      </w:r>
      <w:r w:rsidRPr="00F60BA5">
        <w:rPr>
          <w:i/>
        </w:rPr>
        <w:t>LMO1</w:t>
      </w:r>
      <w:r w:rsidRPr="00F133CB">
        <w:t xml:space="preserve"> transgene, isolate the gDNA from F1 </w:t>
      </w:r>
      <w:proofErr w:type="spellStart"/>
      <w:r w:rsidRPr="00F133CB">
        <w:t>mCherry</w:t>
      </w:r>
      <w:proofErr w:type="spellEnd"/>
      <w:r w:rsidRPr="00F133CB">
        <w:t>-positive single embryo using the gDNA extraction buffer, which contains: 12.5 µL of 4</w:t>
      </w:r>
      <w:r w:rsidR="0054660C">
        <w:t>x</w:t>
      </w:r>
      <w:r w:rsidRPr="00F133CB">
        <w:t xml:space="preserve"> lysis buffer (500 µL </w:t>
      </w:r>
      <w:r w:rsidR="0054660C">
        <w:t xml:space="preserve">of </w:t>
      </w:r>
      <w:r w:rsidRPr="00F133CB">
        <w:t>1</w:t>
      </w:r>
      <w:r w:rsidR="0054660C">
        <w:t xml:space="preserve"> </w:t>
      </w:r>
      <w:r w:rsidRPr="00F133CB">
        <w:t>M Tr</w:t>
      </w:r>
      <w:r w:rsidR="00AD4E45" w:rsidRPr="00F133CB">
        <w:t xml:space="preserve">is with pH of 8.4, 2.5 mL </w:t>
      </w:r>
      <w:r w:rsidR="0054660C">
        <w:t xml:space="preserve">of </w:t>
      </w:r>
      <w:r w:rsidR="00AD4E45" w:rsidRPr="00F133CB">
        <w:t>1</w:t>
      </w:r>
      <w:r w:rsidR="0054660C">
        <w:t xml:space="preserve"> </w:t>
      </w:r>
      <w:r w:rsidR="00AD4E45" w:rsidRPr="00F133CB">
        <w:t>M potassium chloride</w:t>
      </w:r>
      <w:r w:rsidRPr="00F133CB">
        <w:t xml:space="preserve">, and 47 </w:t>
      </w:r>
      <w:r w:rsidR="00AD4E45" w:rsidRPr="00F133CB">
        <w:t>mL</w:t>
      </w:r>
      <w:r w:rsidR="0054660C">
        <w:t xml:space="preserve"> of</w:t>
      </w:r>
      <w:r w:rsidR="00AD4E45" w:rsidRPr="00F133CB">
        <w:t xml:space="preserve"> purified water), 35 µL</w:t>
      </w:r>
      <w:r w:rsidR="0054660C">
        <w:t xml:space="preserve"> of</w:t>
      </w:r>
      <w:r w:rsidR="00AD4E45" w:rsidRPr="00F133CB">
        <w:t xml:space="preserve"> purified water</w:t>
      </w:r>
      <w:r w:rsidRPr="00F133CB">
        <w:t xml:space="preserve">, and 2.5 µL </w:t>
      </w:r>
      <w:r w:rsidR="0054660C">
        <w:t xml:space="preserve">of </w:t>
      </w:r>
      <w:r w:rsidRPr="00F133CB">
        <w:t>proteinase K at 10 mg/</w:t>
      </w:r>
      <w:proofErr w:type="spellStart"/>
      <w:r w:rsidRPr="00F133CB">
        <w:t>mL.</w:t>
      </w:r>
      <w:proofErr w:type="spellEnd"/>
      <w:r w:rsidR="0054660C">
        <w:t xml:space="preserve"> </w:t>
      </w:r>
      <w:r w:rsidRPr="00F133CB">
        <w:t>Incubate the sample for 16 h at 55 °C, followed by 10 min at 98 °C.</w:t>
      </w:r>
    </w:p>
    <w:p w14:paraId="1114B1DC" w14:textId="77777777" w:rsidR="00F60BA5" w:rsidRDefault="00F60BA5" w:rsidP="002251F3">
      <w:pPr>
        <w:pStyle w:val="ListParagraph"/>
        <w:ind w:left="0"/>
      </w:pPr>
    </w:p>
    <w:p w14:paraId="290EAF70" w14:textId="77777777" w:rsidR="00F60BA5" w:rsidRDefault="00F60BA5" w:rsidP="002251F3">
      <w:pPr>
        <w:pStyle w:val="ListParagraph"/>
        <w:numPr>
          <w:ilvl w:val="1"/>
          <w:numId w:val="14"/>
        </w:numPr>
        <w:ind w:left="0" w:firstLine="0"/>
      </w:pPr>
      <w:r>
        <w:t>Use t</w:t>
      </w:r>
      <w:r w:rsidR="00140088" w:rsidRPr="00F133CB">
        <w:t xml:space="preserve">he extracted gDNA (2 µL) as a template for the genotyping PCR with primers: </w:t>
      </w:r>
      <w:r w:rsidR="00140088" w:rsidRPr="00F60BA5">
        <w:rPr>
          <w:i/>
        </w:rPr>
        <w:t>LMO1</w:t>
      </w:r>
      <w:r w:rsidR="008454BB" w:rsidRPr="00F133CB">
        <w:t xml:space="preserve"> FW: 5’-</w:t>
      </w:r>
      <w:r w:rsidR="006D5970" w:rsidRPr="00F133CB">
        <w:t xml:space="preserve">GGCATTGGACAAGTACTGGCA </w:t>
      </w:r>
      <w:r w:rsidR="00140088" w:rsidRPr="00F133CB">
        <w:t xml:space="preserve">-3’ and </w:t>
      </w:r>
      <w:r w:rsidR="00140088" w:rsidRPr="00F60BA5">
        <w:rPr>
          <w:i/>
        </w:rPr>
        <w:t>LMO1</w:t>
      </w:r>
      <w:r w:rsidR="00140088" w:rsidRPr="00F133CB">
        <w:t xml:space="preserve"> RV: 5’-</w:t>
      </w:r>
      <w:r w:rsidR="006D5970" w:rsidRPr="00F133CB">
        <w:t xml:space="preserve">CGAAGGCTGGGATCAGCTTG </w:t>
      </w:r>
      <w:r w:rsidR="00140088" w:rsidRPr="00F133CB">
        <w:t>-3’, and the following PC</w:t>
      </w:r>
      <w:r w:rsidR="006D5970" w:rsidRPr="00F133CB">
        <w:t>R program: 1 cycle of 94 °C, 10</w:t>
      </w:r>
      <w:r w:rsidR="00864662" w:rsidRPr="00F133CB">
        <w:t xml:space="preserve"> min;</w:t>
      </w:r>
      <w:r w:rsidR="008454BB" w:rsidRPr="00F133CB">
        <w:t xml:space="preserve"> 35</w:t>
      </w:r>
      <w:r w:rsidR="00140088" w:rsidRPr="00F133CB">
        <w:t xml:space="preserve"> cycles o</w:t>
      </w:r>
      <w:r w:rsidR="00864662" w:rsidRPr="00F133CB">
        <w:t xml:space="preserve">f </w:t>
      </w:r>
      <w:r w:rsidR="008454BB" w:rsidRPr="00F133CB">
        <w:t>(</w:t>
      </w:r>
      <w:r w:rsidR="00422D04" w:rsidRPr="00F133CB">
        <w:t>94 °C for 30 s, 60</w:t>
      </w:r>
      <w:r w:rsidR="00140088" w:rsidRPr="00F133CB">
        <w:t xml:space="preserve"> </w:t>
      </w:r>
      <w:r w:rsidR="00422D04" w:rsidRPr="00F133CB">
        <w:t>°C for 30 s; 68</w:t>
      </w:r>
      <w:r w:rsidR="006D5970" w:rsidRPr="00F133CB">
        <w:t xml:space="preserve"> °C, 3</w:t>
      </w:r>
      <w:r w:rsidR="00864662" w:rsidRPr="00F133CB">
        <w:t>0 s</w:t>
      </w:r>
      <w:r w:rsidR="008454BB" w:rsidRPr="00F133CB">
        <w:t>)</w:t>
      </w:r>
      <w:r w:rsidR="00422D04" w:rsidRPr="00F133CB">
        <w:t>; and 68 °C</w:t>
      </w:r>
      <w:r w:rsidR="008454BB" w:rsidRPr="00F133CB">
        <w:t xml:space="preserve"> for 7 min</w:t>
      </w:r>
      <w:r w:rsidR="00422D04" w:rsidRPr="00F133CB">
        <w:t xml:space="preserve">. </w:t>
      </w:r>
      <w:r w:rsidR="006D5970" w:rsidRPr="00F133CB">
        <w:t>Confirm the amplified 182</w:t>
      </w:r>
      <w:r w:rsidR="008454BB" w:rsidRPr="00F133CB">
        <w:t xml:space="preserve"> </w:t>
      </w:r>
      <w:r w:rsidR="006D5970" w:rsidRPr="00F133CB">
        <w:t>b</w:t>
      </w:r>
      <w:r w:rsidR="00140088" w:rsidRPr="00F133CB">
        <w:t xml:space="preserve">p fragment by sequencing. </w:t>
      </w:r>
    </w:p>
    <w:p w14:paraId="01C45442" w14:textId="77777777" w:rsidR="00F60BA5" w:rsidRDefault="00F60BA5" w:rsidP="002251F3">
      <w:pPr>
        <w:pStyle w:val="ListParagraph"/>
        <w:ind w:left="0"/>
      </w:pPr>
    </w:p>
    <w:p w14:paraId="42B8F28E" w14:textId="4B3C4957" w:rsidR="0008275D" w:rsidRDefault="00140088" w:rsidP="002251F3">
      <w:pPr>
        <w:pStyle w:val="ListParagraph"/>
        <w:numPr>
          <w:ilvl w:val="1"/>
          <w:numId w:val="14"/>
        </w:numPr>
        <w:ind w:left="0" w:firstLine="0"/>
      </w:pPr>
      <w:r w:rsidRPr="00F133CB">
        <w:t xml:space="preserve">After confirmation of </w:t>
      </w:r>
      <w:r w:rsidR="0018334A">
        <w:t xml:space="preserve">the </w:t>
      </w:r>
      <w:r w:rsidRPr="00F133CB">
        <w:t xml:space="preserve">genotype, raise the remaining </w:t>
      </w:r>
      <w:proofErr w:type="spellStart"/>
      <w:r w:rsidRPr="00F133CB">
        <w:t>mCherry</w:t>
      </w:r>
      <w:proofErr w:type="spellEnd"/>
      <w:r w:rsidRPr="00F133CB">
        <w:t>-positive F1 embryos</w:t>
      </w:r>
      <w:r w:rsidR="00AD4E45" w:rsidRPr="00F133CB">
        <w:t xml:space="preserve"> to maturity</w:t>
      </w:r>
      <w:r w:rsidRPr="00F133CB">
        <w:t xml:space="preserve"> in accordance </w:t>
      </w:r>
      <w:r w:rsidR="00F60BA5">
        <w:t>with</w:t>
      </w:r>
      <w:r w:rsidRPr="00F133CB">
        <w:t xml:space="preserve"> the standard guidelines of the zebrafish </w:t>
      </w:r>
      <w:r w:rsidR="003D0711" w:rsidRPr="00F133CB">
        <w:t>book</w:t>
      </w:r>
      <w:r w:rsidR="003D0711" w:rsidRPr="00F60BA5">
        <w:rPr>
          <w:vertAlign w:val="superscript"/>
        </w:rPr>
        <w:t>21</w:t>
      </w:r>
      <w:r w:rsidRPr="00F133CB">
        <w:t>. Fin clip and genotype them at 2-3 months of age u</w:t>
      </w:r>
      <w:r w:rsidR="00984227">
        <w:t>sing</w:t>
      </w:r>
      <w:r w:rsidR="00984227" w:rsidRPr="0054660C">
        <w:t xml:space="preserve"> steps </w:t>
      </w:r>
      <w:r w:rsidR="005A5A0E" w:rsidRPr="0054660C">
        <w:t>2.3-</w:t>
      </w:r>
      <w:r w:rsidRPr="0054660C">
        <w:t>2.4</w:t>
      </w:r>
      <w:r w:rsidRPr="00F133CB">
        <w:t xml:space="preserve"> from the protocol above to further confirm the integration of the </w:t>
      </w:r>
      <w:r w:rsidRPr="00F60BA5">
        <w:rPr>
          <w:i/>
          <w:iCs/>
        </w:rPr>
        <w:t xml:space="preserve">LMO1 </w:t>
      </w:r>
      <w:r w:rsidRPr="00F133CB">
        <w:t xml:space="preserve">transgene in the fish. </w:t>
      </w:r>
    </w:p>
    <w:p w14:paraId="1C3983CE" w14:textId="77777777" w:rsidR="0008275D" w:rsidRDefault="0008275D" w:rsidP="002251F3">
      <w:pPr>
        <w:pStyle w:val="ListParagraph"/>
        <w:ind w:left="0"/>
      </w:pPr>
    </w:p>
    <w:p w14:paraId="19DA8EC2" w14:textId="39661E10" w:rsidR="00140088" w:rsidRPr="00F133CB" w:rsidRDefault="0008275D" w:rsidP="002251F3">
      <w:pPr>
        <w:pStyle w:val="ListParagraph"/>
        <w:ind w:left="0"/>
      </w:pPr>
      <w:r>
        <w:t xml:space="preserve">NOTE: </w:t>
      </w:r>
      <w:r w:rsidR="00140088" w:rsidRPr="00F133CB">
        <w:t xml:space="preserve">The </w:t>
      </w:r>
      <w:r w:rsidR="00140088" w:rsidRPr="00F60BA5">
        <w:rPr>
          <w:i/>
        </w:rPr>
        <w:t>LMO1</w:t>
      </w:r>
      <w:r w:rsidR="00140088" w:rsidRPr="00F133CB">
        <w:t>-positive F1 fish will be the stable transgenic fish [</w:t>
      </w:r>
      <w:proofErr w:type="spellStart"/>
      <w:r w:rsidR="00140088" w:rsidRPr="00F60BA5">
        <w:rPr>
          <w:i/>
        </w:rPr>
        <w:t>Tg</w:t>
      </w:r>
      <w:proofErr w:type="spellEnd"/>
      <w:r w:rsidR="00140088" w:rsidRPr="00F60BA5">
        <w:rPr>
          <w:i/>
        </w:rPr>
        <w:t>(dϐ</w:t>
      </w:r>
      <w:proofErr w:type="gramStart"/>
      <w:r w:rsidR="00140088" w:rsidRPr="00F60BA5">
        <w:rPr>
          <w:i/>
        </w:rPr>
        <w:t>h:LMO</w:t>
      </w:r>
      <w:proofErr w:type="gramEnd"/>
      <w:r w:rsidR="00140088" w:rsidRPr="00F60BA5">
        <w:rPr>
          <w:i/>
        </w:rPr>
        <w:t>1),</w:t>
      </w:r>
      <w:proofErr w:type="spellStart"/>
      <w:r w:rsidR="00140088" w:rsidRPr="00F60BA5">
        <w:rPr>
          <w:i/>
        </w:rPr>
        <w:t>Tg</w:t>
      </w:r>
      <w:proofErr w:type="spellEnd"/>
      <w:r w:rsidR="00140088" w:rsidRPr="00F60BA5">
        <w:rPr>
          <w:i/>
        </w:rPr>
        <w:t>(</w:t>
      </w:r>
      <w:proofErr w:type="spellStart"/>
      <w:r w:rsidR="00140088" w:rsidRPr="00F60BA5">
        <w:rPr>
          <w:i/>
        </w:rPr>
        <w:t>dϐh:mCherry</w:t>
      </w:r>
      <w:proofErr w:type="spellEnd"/>
      <w:r w:rsidR="00140088" w:rsidRPr="00F133CB">
        <w:t xml:space="preserve">)] (designated </w:t>
      </w:r>
      <w:r w:rsidR="00AD4E45" w:rsidRPr="00F133CB">
        <w:t xml:space="preserve">as </w:t>
      </w:r>
      <w:r w:rsidR="00140088" w:rsidRPr="00F60BA5">
        <w:rPr>
          <w:i/>
        </w:rPr>
        <w:t xml:space="preserve">LMO1 </w:t>
      </w:r>
      <w:r w:rsidR="00140088" w:rsidRPr="00F133CB">
        <w:t>line).</w:t>
      </w:r>
    </w:p>
    <w:p w14:paraId="70A35AE7" w14:textId="77777777" w:rsidR="00140088" w:rsidRPr="00F133CB" w:rsidRDefault="00140088" w:rsidP="002251F3"/>
    <w:p w14:paraId="382D18FC" w14:textId="3264F286" w:rsidR="00140088" w:rsidRPr="00F133CB" w:rsidRDefault="00140088" w:rsidP="002251F3">
      <w:pPr>
        <w:pStyle w:val="ListParagraph"/>
        <w:numPr>
          <w:ilvl w:val="1"/>
          <w:numId w:val="14"/>
        </w:numPr>
        <w:ind w:left="0" w:firstLine="0"/>
      </w:pPr>
      <w:r w:rsidRPr="00F133CB">
        <w:t xml:space="preserve">Breed F1 </w:t>
      </w:r>
      <w:r w:rsidRPr="0008275D">
        <w:rPr>
          <w:i/>
        </w:rPr>
        <w:t>LMO1</w:t>
      </w:r>
      <w:r w:rsidRPr="00F133CB">
        <w:t xml:space="preserve"> stable transgenic fish with WT fish and repeat as needed to propagate this line. </w:t>
      </w:r>
    </w:p>
    <w:p w14:paraId="1A5F9D35" w14:textId="77777777" w:rsidR="00140088" w:rsidRPr="00F133CB" w:rsidRDefault="00140088" w:rsidP="002251F3">
      <w:pPr>
        <w:rPr>
          <w:b/>
          <w:highlight w:val="yellow"/>
        </w:rPr>
      </w:pPr>
    </w:p>
    <w:p w14:paraId="611EC0E9" w14:textId="0524C8EA" w:rsidR="00140088" w:rsidRPr="00CA3DE2" w:rsidRDefault="00140088" w:rsidP="002251F3">
      <w:pPr>
        <w:pStyle w:val="ListParagraph"/>
        <w:numPr>
          <w:ilvl w:val="0"/>
          <w:numId w:val="14"/>
        </w:numPr>
        <w:rPr>
          <w:b/>
          <w:bCs/>
          <w:highlight w:val="yellow"/>
        </w:rPr>
      </w:pPr>
      <w:r w:rsidRPr="00CA3DE2">
        <w:rPr>
          <w:b/>
          <w:bCs/>
          <w:highlight w:val="yellow"/>
        </w:rPr>
        <w:lastRenderedPageBreak/>
        <w:t>Outcross</w:t>
      </w:r>
      <w:r w:rsidR="0054660C">
        <w:rPr>
          <w:b/>
          <w:bCs/>
          <w:highlight w:val="yellow"/>
        </w:rPr>
        <w:t xml:space="preserve"> of</w:t>
      </w:r>
      <w:r w:rsidR="0008275D" w:rsidRPr="00CA3DE2">
        <w:rPr>
          <w:b/>
          <w:bCs/>
          <w:highlight w:val="yellow"/>
        </w:rPr>
        <w:t xml:space="preserve"> </w:t>
      </w:r>
      <w:r w:rsidRPr="00CA3DE2">
        <w:rPr>
          <w:b/>
          <w:bCs/>
          <w:i/>
          <w:highlight w:val="yellow"/>
        </w:rPr>
        <w:t xml:space="preserve">LMO1 </w:t>
      </w:r>
      <w:r w:rsidRPr="00CA3DE2">
        <w:rPr>
          <w:b/>
          <w:bCs/>
          <w:highlight w:val="yellow"/>
        </w:rPr>
        <w:t xml:space="preserve">and </w:t>
      </w:r>
      <w:r w:rsidRPr="00CA3DE2">
        <w:rPr>
          <w:b/>
          <w:bCs/>
          <w:i/>
          <w:highlight w:val="yellow"/>
        </w:rPr>
        <w:t xml:space="preserve">MYCN </w:t>
      </w:r>
      <w:r w:rsidR="0054660C">
        <w:rPr>
          <w:b/>
          <w:bCs/>
          <w:highlight w:val="yellow"/>
        </w:rPr>
        <w:t>t</w:t>
      </w:r>
      <w:r w:rsidRPr="00CA3DE2">
        <w:rPr>
          <w:b/>
          <w:bCs/>
          <w:highlight w:val="yellow"/>
        </w:rPr>
        <w:t xml:space="preserve">ransgenic </w:t>
      </w:r>
      <w:r w:rsidR="0054660C">
        <w:rPr>
          <w:b/>
          <w:bCs/>
          <w:highlight w:val="yellow"/>
        </w:rPr>
        <w:t>l</w:t>
      </w:r>
      <w:r w:rsidRPr="00CA3DE2">
        <w:rPr>
          <w:b/>
          <w:bCs/>
          <w:highlight w:val="yellow"/>
        </w:rPr>
        <w:t xml:space="preserve">ines to </w:t>
      </w:r>
      <w:r w:rsidR="0054660C">
        <w:rPr>
          <w:b/>
          <w:bCs/>
          <w:highlight w:val="yellow"/>
        </w:rPr>
        <w:t>c</w:t>
      </w:r>
      <w:r w:rsidRPr="00CA3DE2">
        <w:rPr>
          <w:b/>
          <w:bCs/>
          <w:highlight w:val="yellow"/>
        </w:rPr>
        <w:t xml:space="preserve">reate </w:t>
      </w:r>
      <w:r w:rsidR="0054660C">
        <w:rPr>
          <w:b/>
          <w:bCs/>
          <w:highlight w:val="yellow"/>
        </w:rPr>
        <w:t>m</w:t>
      </w:r>
      <w:r w:rsidRPr="00CA3DE2">
        <w:rPr>
          <w:b/>
          <w:bCs/>
          <w:highlight w:val="yellow"/>
        </w:rPr>
        <w:t xml:space="preserve">etastatic </w:t>
      </w:r>
      <w:proofErr w:type="gramStart"/>
      <w:r w:rsidR="0054660C">
        <w:rPr>
          <w:b/>
          <w:bCs/>
          <w:highlight w:val="yellow"/>
        </w:rPr>
        <w:t>m</w:t>
      </w:r>
      <w:r w:rsidRPr="00CA3DE2">
        <w:rPr>
          <w:b/>
          <w:bCs/>
          <w:highlight w:val="yellow"/>
        </w:rPr>
        <w:t>odel</w:t>
      </w:r>
      <w:proofErr w:type="gramEnd"/>
    </w:p>
    <w:p w14:paraId="73DB8F7F" w14:textId="77777777" w:rsidR="00140088" w:rsidRPr="00CA3DE2" w:rsidRDefault="00140088" w:rsidP="002251F3">
      <w:pPr>
        <w:rPr>
          <w:highlight w:val="yellow"/>
        </w:rPr>
      </w:pPr>
    </w:p>
    <w:p w14:paraId="0D37ED43" w14:textId="77777777" w:rsidR="0008275D" w:rsidRPr="00CA3DE2" w:rsidRDefault="00140088" w:rsidP="002251F3">
      <w:pPr>
        <w:pStyle w:val="ListParagraph"/>
        <w:numPr>
          <w:ilvl w:val="1"/>
          <w:numId w:val="14"/>
        </w:numPr>
        <w:tabs>
          <w:tab w:val="left" w:pos="2160"/>
        </w:tabs>
        <w:ind w:left="0" w:firstLine="0"/>
        <w:rPr>
          <w:highlight w:val="yellow"/>
        </w:rPr>
      </w:pPr>
      <w:r w:rsidRPr="00CA3DE2">
        <w:rPr>
          <w:highlight w:val="yellow"/>
        </w:rPr>
        <w:t xml:space="preserve">Once the </w:t>
      </w:r>
      <w:r w:rsidRPr="00CA3DE2">
        <w:rPr>
          <w:i/>
          <w:highlight w:val="yellow"/>
        </w:rPr>
        <w:t xml:space="preserve">LMO1 </w:t>
      </w:r>
      <w:r w:rsidRPr="00CA3DE2">
        <w:rPr>
          <w:highlight w:val="yellow"/>
        </w:rPr>
        <w:t xml:space="preserve">transgenic zebrafish line is generated, interbreed with </w:t>
      </w:r>
      <w:r w:rsidRPr="00CA3DE2">
        <w:rPr>
          <w:i/>
          <w:highlight w:val="yellow"/>
        </w:rPr>
        <w:t>MYCN</w:t>
      </w:r>
      <w:r w:rsidRPr="00CA3DE2">
        <w:rPr>
          <w:highlight w:val="yellow"/>
        </w:rPr>
        <w:t xml:space="preserve"> line</w:t>
      </w:r>
      <w:r w:rsidR="003F2809" w:rsidRPr="00CA3DE2">
        <w:rPr>
          <w:highlight w:val="yellow"/>
          <w:vertAlign w:val="superscript"/>
        </w:rPr>
        <w:t>6</w:t>
      </w:r>
      <w:r w:rsidRPr="00CA3DE2">
        <w:rPr>
          <w:highlight w:val="yellow"/>
          <w:vertAlign w:val="superscript"/>
        </w:rPr>
        <w:t>,1</w:t>
      </w:r>
      <w:r w:rsidR="003F2809" w:rsidRPr="00CA3DE2">
        <w:rPr>
          <w:highlight w:val="yellow"/>
          <w:vertAlign w:val="superscript"/>
        </w:rPr>
        <w:t>7</w:t>
      </w:r>
      <w:r w:rsidRPr="00CA3DE2">
        <w:rPr>
          <w:highlight w:val="yellow"/>
          <w:vertAlign w:val="superscript"/>
        </w:rPr>
        <w:t xml:space="preserve"> </w:t>
      </w:r>
      <w:r w:rsidRPr="00CA3DE2">
        <w:rPr>
          <w:highlight w:val="yellow"/>
        </w:rPr>
        <w:t xml:space="preserve">to develop heterozygous transgenic fish line overexpressing both </w:t>
      </w:r>
      <w:r w:rsidRPr="00CA3DE2">
        <w:rPr>
          <w:i/>
          <w:highlight w:val="yellow"/>
        </w:rPr>
        <w:t>MYCN</w:t>
      </w:r>
      <w:r w:rsidRPr="00CA3DE2">
        <w:rPr>
          <w:highlight w:val="yellow"/>
        </w:rPr>
        <w:t xml:space="preserve"> and </w:t>
      </w:r>
      <w:r w:rsidRPr="00CA3DE2">
        <w:rPr>
          <w:i/>
          <w:highlight w:val="yellow"/>
        </w:rPr>
        <w:t>LMO1</w:t>
      </w:r>
      <w:r w:rsidRPr="00CA3DE2">
        <w:rPr>
          <w:highlight w:val="yellow"/>
        </w:rPr>
        <w:t xml:space="preserve">. </w:t>
      </w:r>
    </w:p>
    <w:p w14:paraId="2EE7C309" w14:textId="77777777" w:rsidR="0008275D" w:rsidRDefault="0008275D" w:rsidP="002251F3">
      <w:pPr>
        <w:pStyle w:val="ListParagraph"/>
        <w:tabs>
          <w:tab w:val="left" w:pos="2160"/>
        </w:tabs>
        <w:ind w:left="0"/>
        <w:rPr>
          <w:highlight w:val="yellow"/>
        </w:rPr>
      </w:pPr>
    </w:p>
    <w:p w14:paraId="737B3EFF" w14:textId="77777777" w:rsidR="00CA3DE2" w:rsidRDefault="00140088" w:rsidP="00CA3DE2">
      <w:pPr>
        <w:pStyle w:val="ListParagraph"/>
        <w:numPr>
          <w:ilvl w:val="1"/>
          <w:numId w:val="14"/>
        </w:numPr>
        <w:tabs>
          <w:tab w:val="left" w:pos="2160"/>
        </w:tabs>
        <w:ind w:left="0" w:firstLine="0"/>
        <w:rPr>
          <w:highlight w:val="yellow"/>
        </w:rPr>
      </w:pPr>
      <w:r w:rsidRPr="0008275D">
        <w:rPr>
          <w:highlight w:val="yellow"/>
        </w:rPr>
        <w:t xml:space="preserve">At 1 </w:t>
      </w:r>
      <w:proofErr w:type="spellStart"/>
      <w:r w:rsidRPr="0008275D">
        <w:rPr>
          <w:highlight w:val="yellow"/>
        </w:rPr>
        <w:t>dpf</w:t>
      </w:r>
      <w:proofErr w:type="spellEnd"/>
      <w:r w:rsidRPr="0008275D">
        <w:rPr>
          <w:highlight w:val="yellow"/>
        </w:rPr>
        <w:t>, sort the progeny of outcross for EGFP expression</w:t>
      </w:r>
      <w:r w:rsidR="00E77F34" w:rsidRPr="0008275D">
        <w:rPr>
          <w:highlight w:val="yellow"/>
        </w:rPr>
        <w:t xml:space="preserve"> with</w:t>
      </w:r>
      <w:r w:rsidR="00AA18A4" w:rsidRPr="0008275D">
        <w:rPr>
          <w:highlight w:val="yellow"/>
        </w:rPr>
        <w:t xml:space="preserve"> stereoscopic fluorescence microscope</w:t>
      </w:r>
      <w:r w:rsidRPr="0008275D">
        <w:rPr>
          <w:highlight w:val="yellow"/>
        </w:rPr>
        <w:t xml:space="preserve">, </w:t>
      </w:r>
      <w:r w:rsidR="00AD4E45" w:rsidRPr="0008275D">
        <w:rPr>
          <w:highlight w:val="yellow"/>
        </w:rPr>
        <w:t>which presents as EGFP-positive points in the hindbrain region.</w:t>
      </w:r>
      <w:r w:rsidRPr="0008275D">
        <w:rPr>
          <w:highlight w:val="yellow"/>
        </w:rPr>
        <w:t xml:space="preserve"> </w:t>
      </w:r>
    </w:p>
    <w:p w14:paraId="2887712A" w14:textId="77777777" w:rsidR="00CA3DE2" w:rsidRDefault="00CA3DE2" w:rsidP="00CA3DE2">
      <w:pPr>
        <w:pStyle w:val="ListParagraph"/>
        <w:tabs>
          <w:tab w:val="left" w:pos="2160"/>
        </w:tabs>
        <w:ind w:left="0"/>
        <w:rPr>
          <w:highlight w:val="yellow"/>
        </w:rPr>
      </w:pPr>
    </w:p>
    <w:p w14:paraId="45FF38B4" w14:textId="2A3D3601" w:rsidR="0008275D" w:rsidRPr="00CA3DE2" w:rsidRDefault="00CA3DE2" w:rsidP="00CA3DE2">
      <w:pPr>
        <w:pStyle w:val="ListParagraph"/>
        <w:tabs>
          <w:tab w:val="left" w:pos="2160"/>
        </w:tabs>
        <w:ind w:left="0"/>
      </w:pPr>
      <w:r w:rsidRPr="00CA3DE2">
        <w:t>NOTE:</w:t>
      </w:r>
      <w:r>
        <w:t xml:space="preserve"> </w:t>
      </w:r>
      <w:r w:rsidR="00E77F34" w:rsidRPr="00CA3DE2">
        <w:t>Alternatively</w:t>
      </w:r>
      <w:r w:rsidR="00087B72" w:rsidRPr="00CA3DE2">
        <w:t>, i</w:t>
      </w:r>
      <w:r w:rsidR="00140088" w:rsidRPr="00CA3DE2">
        <w:t xml:space="preserve">f not all embryos are sorted for </w:t>
      </w:r>
      <w:r w:rsidR="00140088" w:rsidRPr="00CA3DE2">
        <w:rPr>
          <w:i/>
        </w:rPr>
        <w:t>MYCN</w:t>
      </w:r>
      <w:r w:rsidR="00140088" w:rsidRPr="00CA3DE2">
        <w:t xml:space="preserve"> at 1 </w:t>
      </w:r>
      <w:proofErr w:type="spellStart"/>
      <w:r w:rsidR="00140088" w:rsidRPr="00CA3DE2">
        <w:t>dpf</w:t>
      </w:r>
      <w:proofErr w:type="spellEnd"/>
      <w:r w:rsidR="00140088" w:rsidRPr="00CA3DE2">
        <w:t>,</w:t>
      </w:r>
      <w:r w:rsidR="0008275D" w:rsidRPr="00CA3DE2">
        <w:t xml:space="preserve"> raise the </w:t>
      </w:r>
      <w:r w:rsidR="00140088" w:rsidRPr="00CA3DE2">
        <w:t xml:space="preserve">embryos to adulthood and genotype by </w:t>
      </w:r>
      <w:r w:rsidR="00E77F34" w:rsidRPr="00CA3DE2">
        <w:t>fin</w:t>
      </w:r>
      <w:r w:rsidR="0018334A" w:rsidRPr="00CA3DE2">
        <w:t xml:space="preserve"> </w:t>
      </w:r>
      <w:r w:rsidR="00E77F34" w:rsidRPr="00CA3DE2">
        <w:t>clipping and using</w:t>
      </w:r>
      <w:r w:rsidR="00140088" w:rsidRPr="00CA3DE2">
        <w:t xml:space="preserve"> </w:t>
      </w:r>
      <w:r w:rsidR="00E77F34" w:rsidRPr="00CA3DE2">
        <w:t>formerly</w:t>
      </w:r>
      <w:r w:rsidR="00140088" w:rsidRPr="00CA3DE2">
        <w:t xml:space="preserve"> stated guidelines from </w:t>
      </w:r>
      <w:r w:rsidR="00140088" w:rsidRPr="006A656B">
        <w:rPr>
          <w:u w:val="single"/>
        </w:rPr>
        <w:t>step</w:t>
      </w:r>
      <w:r w:rsidR="005A5A0E" w:rsidRPr="006A656B">
        <w:rPr>
          <w:u w:val="single"/>
        </w:rPr>
        <w:t xml:space="preserve">s </w:t>
      </w:r>
      <w:r w:rsidR="00E77F34" w:rsidRPr="006A656B">
        <w:rPr>
          <w:u w:val="single"/>
        </w:rPr>
        <w:t>2.3-</w:t>
      </w:r>
      <w:r w:rsidR="006D5970" w:rsidRPr="006A656B">
        <w:rPr>
          <w:u w:val="single"/>
        </w:rPr>
        <w:t>2.4</w:t>
      </w:r>
      <w:r w:rsidR="006D5970" w:rsidRPr="00CA3DE2">
        <w:t xml:space="preserve"> for gDN</w:t>
      </w:r>
      <w:r w:rsidR="00E77F34" w:rsidRPr="00CA3DE2">
        <w:t>A isolation and PCR genotyping,</w:t>
      </w:r>
      <w:r w:rsidR="00BC1401" w:rsidRPr="00CA3DE2">
        <w:t xml:space="preserve"> </w:t>
      </w:r>
      <w:r w:rsidR="00E77F34" w:rsidRPr="00CA3DE2">
        <w:t>with</w:t>
      </w:r>
      <w:r w:rsidR="00140088" w:rsidRPr="00CA3DE2">
        <w:t xml:space="preserve"> primers: </w:t>
      </w:r>
      <w:r w:rsidR="00140088" w:rsidRPr="00CA3DE2">
        <w:rPr>
          <w:i/>
        </w:rPr>
        <w:t>MYCN</w:t>
      </w:r>
      <w:r w:rsidR="008454BB" w:rsidRPr="00CA3DE2">
        <w:t>-F</w:t>
      </w:r>
      <w:r w:rsidR="00140088" w:rsidRPr="00CA3DE2">
        <w:t xml:space="preserve"> </w:t>
      </w:r>
      <w:r w:rsidR="004473F5" w:rsidRPr="00CA3DE2">
        <w:t>(</w:t>
      </w:r>
      <w:r w:rsidR="00140088" w:rsidRPr="00CA3DE2">
        <w:t>5’-</w:t>
      </w:r>
      <w:r w:rsidR="004473F5" w:rsidRPr="00CA3DE2">
        <w:t>ATT</w:t>
      </w:r>
      <w:r w:rsidR="00E77F34" w:rsidRPr="00CA3DE2">
        <w:t xml:space="preserve"> </w:t>
      </w:r>
      <w:r w:rsidR="004473F5" w:rsidRPr="00CA3DE2">
        <w:t>CAC</w:t>
      </w:r>
      <w:r w:rsidR="00E77F34" w:rsidRPr="00CA3DE2">
        <w:t xml:space="preserve"> </w:t>
      </w:r>
      <w:r w:rsidR="004473F5" w:rsidRPr="00CA3DE2">
        <w:t>CAT</w:t>
      </w:r>
      <w:r w:rsidR="00E77F34" w:rsidRPr="00CA3DE2">
        <w:t xml:space="preserve"> </w:t>
      </w:r>
      <w:r w:rsidR="004473F5" w:rsidRPr="00CA3DE2">
        <w:t>CAC</w:t>
      </w:r>
      <w:r w:rsidR="00E77F34" w:rsidRPr="00CA3DE2">
        <w:t xml:space="preserve"> </w:t>
      </w:r>
      <w:r w:rsidR="004473F5" w:rsidRPr="00CA3DE2">
        <w:t>TGT</w:t>
      </w:r>
      <w:r w:rsidR="00E77F34" w:rsidRPr="00CA3DE2">
        <w:t xml:space="preserve"> </w:t>
      </w:r>
      <w:r w:rsidR="004473F5" w:rsidRPr="00CA3DE2">
        <w:t>GCG</w:t>
      </w:r>
      <w:r w:rsidR="00E77F34" w:rsidRPr="00CA3DE2">
        <w:t xml:space="preserve"> </w:t>
      </w:r>
      <w:r w:rsidR="004473F5" w:rsidRPr="00CA3DE2">
        <w:t>TCC</w:t>
      </w:r>
      <w:r w:rsidR="00140088" w:rsidRPr="00CA3DE2">
        <w:t>-3’</w:t>
      </w:r>
      <w:r w:rsidR="004473F5" w:rsidRPr="00CA3DE2">
        <w:t>)</w:t>
      </w:r>
      <w:r w:rsidR="00140088" w:rsidRPr="00CA3DE2">
        <w:t xml:space="preserve">; </w:t>
      </w:r>
      <w:r w:rsidR="00140088" w:rsidRPr="00CA3DE2">
        <w:rPr>
          <w:i/>
          <w:iCs/>
        </w:rPr>
        <w:t>MYCN</w:t>
      </w:r>
      <w:r w:rsidR="004473F5" w:rsidRPr="00CA3DE2">
        <w:t>-R</w:t>
      </w:r>
      <w:r w:rsidR="00140088" w:rsidRPr="00CA3DE2">
        <w:t xml:space="preserve"> </w:t>
      </w:r>
      <w:r w:rsidR="004473F5" w:rsidRPr="00CA3DE2">
        <w:t>(</w:t>
      </w:r>
      <w:r w:rsidR="00140088" w:rsidRPr="00CA3DE2">
        <w:t>5’-</w:t>
      </w:r>
      <w:r w:rsidR="004473F5" w:rsidRPr="00CA3DE2">
        <w:t>TGC</w:t>
      </w:r>
      <w:r w:rsidR="00E77F34" w:rsidRPr="00CA3DE2">
        <w:t xml:space="preserve"> </w:t>
      </w:r>
      <w:r w:rsidR="004473F5" w:rsidRPr="00CA3DE2">
        <w:t>ATC</w:t>
      </w:r>
      <w:r w:rsidR="00E77F34" w:rsidRPr="00CA3DE2">
        <w:t xml:space="preserve"> </w:t>
      </w:r>
      <w:r w:rsidR="004473F5" w:rsidRPr="00CA3DE2">
        <w:t>CTC</w:t>
      </w:r>
      <w:r w:rsidR="00E77F34" w:rsidRPr="00CA3DE2">
        <w:t xml:space="preserve"> </w:t>
      </w:r>
      <w:r w:rsidR="004473F5" w:rsidRPr="00CA3DE2">
        <w:t>ACT</w:t>
      </w:r>
      <w:r w:rsidR="00E77F34" w:rsidRPr="00CA3DE2">
        <w:t xml:space="preserve"> </w:t>
      </w:r>
      <w:r w:rsidR="004473F5" w:rsidRPr="00CA3DE2">
        <w:t>CTC</w:t>
      </w:r>
      <w:r w:rsidR="00E77F34" w:rsidRPr="00CA3DE2">
        <w:t xml:space="preserve"> </w:t>
      </w:r>
      <w:r w:rsidR="004473F5" w:rsidRPr="00CA3DE2">
        <w:t>CAC</w:t>
      </w:r>
      <w:r w:rsidR="00E77F34" w:rsidRPr="00CA3DE2">
        <w:t xml:space="preserve"> </w:t>
      </w:r>
      <w:r w:rsidR="004473F5" w:rsidRPr="00CA3DE2">
        <w:t>GTA</w:t>
      </w:r>
      <w:r w:rsidR="00140088" w:rsidRPr="00CA3DE2">
        <w:t xml:space="preserve">-3’, and the following program with </w:t>
      </w:r>
      <w:r w:rsidR="00E77F34" w:rsidRPr="00CA3DE2">
        <w:t xml:space="preserve">standard </w:t>
      </w:r>
      <w:r w:rsidR="004473F5" w:rsidRPr="00CA3DE2">
        <w:rPr>
          <w:i/>
        </w:rPr>
        <w:t xml:space="preserve">Taq </w:t>
      </w:r>
      <w:r w:rsidR="004473F5" w:rsidRPr="00CA3DE2">
        <w:t>polymerase</w:t>
      </w:r>
      <w:r w:rsidR="00E77F34" w:rsidRPr="00CA3DE2">
        <w:t>: 1 cycle of 94 °C for 3 min, 3</w:t>
      </w:r>
      <w:r w:rsidR="00140088" w:rsidRPr="00CA3DE2">
        <w:t xml:space="preserve">5 cycles of </w:t>
      </w:r>
      <w:r w:rsidR="00E77F34" w:rsidRPr="00CA3DE2">
        <w:t>(94 °C for 30 s, 60 °C for 30 s, and 68</w:t>
      </w:r>
      <w:r w:rsidR="00140088" w:rsidRPr="00CA3DE2">
        <w:t xml:space="preserve"> °C for 3 min</w:t>
      </w:r>
      <w:r w:rsidR="00E77F34" w:rsidRPr="00CA3DE2">
        <w:t>)</w:t>
      </w:r>
      <w:r w:rsidR="004473F5" w:rsidRPr="00CA3DE2">
        <w:t>,</w:t>
      </w:r>
      <w:r w:rsidR="00E77F34" w:rsidRPr="00CA3DE2">
        <w:t xml:space="preserve"> and 68 °C for 7 min</w:t>
      </w:r>
      <w:r w:rsidR="004473F5" w:rsidRPr="00CA3DE2">
        <w:t xml:space="preserve"> with expected amplicon size of 145 bp</w:t>
      </w:r>
      <w:r w:rsidR="00140088" w:rsidRPr="00CA3DE2">
        <w:t xml:space="preserve">. </w:t>
      </w:r>
    </w:p>
    <w:p w14:paraId="429BA544" w14:textId="77777777" w:rsidR="0008275D" w:rsidRPr="0008275D" w:rsidRDefault="0008275D" w:rsidP="002251F3">
      <w:pPr>
        <w:pStyle w:val="ListParagraph"/>
        <w:ind w:left="0"/>
        <w:rPr>
          <w:highlight w:val="yellow"/>
        </w:rPr>
      </w:pPr>
    </w:p>
    <w:p w14:paraId="2828E14F" w14:textId="77777777" w:rsidR="0008275D" w:rsidRDefault="00140088" w:rsidP="002251F3">
      <w:pPr>
        <w:pStyle w:val="ListParagraph"/>
        <w:numPr>
          <w:ilvl w:val="1"/>
          <w:numId w:val="14"/>
        </w:numPr>
        <w:tabs>
          <w:tab w:val="left" w:pos="2160"/>
        </w:tabs>
        <w:ind w:left="0" w:firstLine="0"/>
        <w:rPr>
          <w:highlight w:val="yellow"/>
        </w:rPr>
      </w:pPr>
      <w:r w:rsidRPr="0008275D">
        <w:rPr>
          <w:highlight w:val="yellow"/>
        </w:rPr>
        <w:t xml:space="preserve">After sorting for EGFP at 1 </w:t>
      </w:r>
      <w:proofErr w:type="spellStart"/>
      <w:r w:rsidRPr="0008275D">
        <w:rPr>
          <w:highlight w:val="yellow"/>
        </w:rPr>
        <w:t>dpf</w:t>
      </w:r>
      <w:proofErr w:type="spellEnd"/>
      <w:r w:rsidRPr="0008275D">
        <w:rPr>
          <w:highlight w:val="yellow"/>
        </w:rPr>
        <w:t>, isolate screened</w:t>
      </w:r>
      <w:r w:rsidR="00AD4E45" w:rsidRPr="0008275D">
        <w:rPr>
          <w:highlight w:val="yellow"/>
        </w:rPr>
        <w:t xml:space="preserve"> embryos into </w:t>
      </w:r>
      <w:r w:rsidR="00AA18A4" w:rsidRPr="0008275D">
        <w:rPr>
          <w:highlight w:val="yellow"/>
        </w:rPr>
        <w:t xml:space="preserve">separate </w:t>
      </w:r>
      <w:r w:rsidR="0008275D">
        <w:rPr>
          <w:highlight w:val="yellow"/>
        </w:rPr>
        <w:t>P</w:t>
      </w:r>
      <w:r w:rsidR="00AD4E45" w:rsidRPr="0008275D">
        <w:rPr>
          <w:highlight w:val="yellow"/>
        </w:rPr>
        <w:t>etri dishes</w:t>
      </w:r>
      <w:r w:rsidRPr="0008275D">
        <w:rPr>
          <w:highlight w:val="yellow"/>
        </w:rPr>
        <w:t xml:space="preserve"> and label dishes as:</w:t>
      </w:r>
      <w:r w:rsidRPr="0008275D">
        <w:rPr>
          <w:i/>
          <w:highlight w:val="yellow"/>
        </w:rPr>
        <w:t xml:space="preserve"> MYCN</w:t>
      </w:r>
      <w:r w:rsidRPr="0008275D">
        <w:rPr>
          <w:highlight w:val="yellow"/>
        </w:rPr>
        <w:t>+ (EGFP-positive) or</w:t>
      </w:r>
      <w:r w:rsidRPr="0008275D">
        <w:rPr>
          <w:i/>
          <w:highlight w:val="yellow"/>
        </w:rPr>
        <w:t xml:space="preserve"> MYCN</w:t>
      </w:r>
      <w:r w:rsidR="00AA18A4" w:rsidRPr="0008275D">
        <w:rPr>
          <w:highlight w:val="yellow"/>
        </w:rPr>
        <w:t>- (EGFP-negative)</w:t>
      </w:r>
      <w:r w:rsidRPr="0008275D">
        <w:rPr>
          <w:highlight w:val="yellow"/>
        </w:rPr>
        <w:t xml:space="preserve">. </w:t>
      </w:r>
    </w:p>
    <w:p w14:paraId="418E226B" w14:textId="77777777" w:rsidR="0008275D" w:rsidRPr="0008275D" w:rsidRDefault="0008275D" w:rsidP="002251F3">
      <w:pPr>
        <w:pStyle w:val="ListParagraph"/>
        <w:ind w:left="0"/>
        <w:rPr>
          <w:highlight w:val="yellow"/>
        </w:rPr>
      </w:pPr>
    </w:p>
    <w:p w14:paraId="01095E0C" w14:textId="6ECD4B18" w:rsidR="0008275D" w:rsidRDefault="00140088" w:rsidP="002251F3">
      <w:pPr>
        <w:pStyle w:val="ListParagraph"/>
        <w:numPr>
          <w:ilvl w:val="1"/>
          <w:numId w:val="14"/>
        </w:numPr>
        <w:tabs>
          <w:tab w:val="left" w:pos="2160"/>
        </w:tabs>
        <w:ind w:left="0" w:firstLine="0"/>
        <w:rPr>
          <w:highlight w:val="yellow"/>
        </w:rPr>
      </w:pPr>
      <w:r w:rsidRPr="0008275D">
        <w:rPr>
          <w:highlight w:val="yellow"/>
        </w:rPr>
        <w:t xml:space="preserve">At 3-4 </w:t>
      </w:r>
      <w:proofErr w:type="spellStart"/>
      <w:r w:rsidRPr="0008275D">
        <w:rPr>
          <w:highlight w:val="yellow"/>
        </w:rPr>
        <w:t>dpf</w:t>
      </w:r>
      <w:proofErr w:type="spellEnd"/>
      <w:r w:rsidRPr="0008275D">
        <w:rPr>
          <w:highlight w:val="yellow"/>
        </w:rPr>
        <w:t xml:space="preserve">, visualize and sort embryos of both groups </w:t>
      </w:r>
      <w:r w:rsidR="0054660C">
        <w:rPr>
          <w:highlight w:val="yellow"/>
        </w:rPr>
        <w:t>(</w:t>
      </w:r>
      <w:r w:rsidRPr="0054660C">
        <w:rPr>
          <w:highlight w:val="yellow"/>
        </w:rPr>
        <w:t xml:space="preserve">step </w:t>
      </w:r>
      <w:r w:rsidR="005A5A0E" w:rsidRPr="0054660C">
        <w:rPr>
          <w:highlight w:val="yellow"/>
        </w:rPr>
        <w:t>3</w:t>
      </w:r>
      <w:r w:rsidRPr="0054660C">
        <w:rPr>
          <w:highlight w:val="yellow"/>
        </w:rPr>
        <w:t>.3</w:t>
      </w:r>
      <w:r w:rsidR="0054660C">
        <w:rPr>
          <w:highlight w:val="yellow"/>
        </w:rPr>
        <w:t>)</w:t>
      </w:r>
      <w:r w:rsidRPr="0008275D">
        <w:rPr>
          <w:highlight w:val="yellow"/>
        </w:rPr>
        <w:t xml:space="preserve"> for </w:t>
      </w:r>
      <w:r w:rsidRPr="0008275D">
        <w:rPr>
          <w:i/>
          <w:highlight w:val="yellow"/>
        </w:rPr>
        <w:t>LMO1</w:t>
      </w:r>
      <w:r w:rsidRPr="0008275D">
        <w:rPr>
          <w:highlight w:val="yellow"/>
        </w:rPr>
        <w:t xml:space="preserve"> expression with a stereoscopic fluorescence micr</w:t>
      </w:r>
      <w:r w:rsidR="00AA18A4" w:rsidRPr="0008275D">
        <w:rPr>
          <w:highlight w:val="yellow"/>
        </w:rPr>
        <w:t>oscope. Look for</w:t>
      </w:r>
      <w:r w:rsidRPr="0008275D">
        <w:rPr>
          <w:highlight w:val="yellow"/>
        </w:rPr>
        <w:t xml:space="preserve"> red fluorescent protein expression</w:t>
      </w:r>
      <w:r w:rsidR="00AA18A4" w:rsidRPr="0008275D">
        <w:rPr>
          <w:highlight w:val="yellow"/>
        </w:rPr>
        <w:t xml:space="preserve"> as spots</w:t>
      </w:r>
      <w:r w:rsidRPr="0008275D">
        <w:rPr>
          <w:highlight w:val="yellow"/>
        </w:rPr>
        <w:t xml:space="preserve"> in both</w:t>
      </w:r>
      <w:r w:rsidR="00AA18A4" w:rsidRPr="0008275D">
        <w:rPr>
          <w:highlight w:val="yellow"/>
        </w:rPr>
        <w:t xml:space="preserve"> the</w:t>
      </w:r>
      <w:r w:rsidRPr="0008275D">
        <w:rPr>
          <w:highlight w:val="yellow"/>
        </w:rPr>
        <w:t xml:space="preserve"> superior cervical ganglion and non-PSNS dopaminergic neuronal cells in the head region, especially in obl</w:t>
      </w:r>
      <w:r w:rsidR="00AA18A4" w:rsidRPr="0008275D">
        <w:rPr>
          <w:highlight w:val="yellow"/>
        </w:rPr>
        <w:t>ongata medulla of</w:t>
      </w:r>
      <w:r w:rsidR="003F2809" w:rsidRPr="0008275D">
        <w:rPr>
          <w:highlight w:val="yellow"/>
        </w:rPr>
        <w:t xml:space="preserve"> the hindbrain</w:t>
      </w:r>
      <w:r w:rsidR="003F2809" w:rsidRPr="0008275D">
        <w:rPr>
          <w:highlight w:val="yellow"/>
          <w:vertAlign w:val="superscript"/>
        </w:rPr>
        <w:t>6</w:t>
      </w:r>
      <w:r w:rsidRPr="0008275D">
        <w:rPr>
          <w:highlight w:val="yellow"/>
          <w:vertAlign w:val="superscript"/>
        </w:rPr>
        <w:t>,1</w:t>
      </w:r>
      <w:r w:rsidR="003F2809" w:rsidRPr="0008275D">
        <w:rPr>
          <w:highlight w:val="yellow"/>
          <w:vertAlign w:val="superscript"/>
        </w:rPr>
        <w:t>3</w:t>
      </w:r>
      <w:r w:rsidR="003F2809" w:rsidRPr="0008275D">
        <w:rPr>
          <w:highlight w:val="yellow"/>
        </w:rPr>
        <w:t xml:space="preserve">. </w:t>
      </w:r>
    </w:p>
    <w:p w14:paraId="1D02E707" w14:textId="77777777" w:rsidR="0008275D" w:rsidRPr="0008275D" w:rsidRDefault="0008275D" w:rsidP="002251F3">
      <w:pPr>
        <w:pStyle w:val="ListParagraph"/>
        <w:ind w:left="0"/>
        <w:rPr>
          <w:highlight w:val="yellow"/>
        </w:rPr>
      </w:pPr>
    </w:p>
    <w:p w14:paraId="2FDEF438" w14:textId="3DABF1E0" w:rsidR="00140088" w:rsidRPr="0008275D" w:rsidRDefault="00AA18A4" w:rsidP="002251F3">
      <w:pPr>
        <w:pStyle w:val="ListParagraph"/>
        <w:numPr>
          <w:ilvl w:val="2"/>
          <w:numId w:val="14"/>
        </w:numPr>
        <w:tabs>
          <w:tab w:val="left" w:pos="2160"/>
        </w:tabs>
        <w:ind w:left="0" w:firstLine="0"/>
        <w:rPr>
          <w:highlight w:val="yellow"/>
        </w:rPr>
      </w:pPr>
      <w:r w:rsidRPr="0008275D">
        <w:rPr>
          <w:highlight w:val="yellow"/>
        </w:rPr>
        <w:t>Screen</w:t>
      </w:r>
      <w:r w:rsidR="00140088" w:rsidRPr="0008275D">
        <w:rPr>
          <w:highlight w:val="yellow"/>
        </w:rPr>
        <w:t xml:space="preserve"> for </w:t>
      </w:r>
      <w:proofErr w:type="spellStart"/>
      <w:r w:rsidR="00140088" w:rsidRPr="0008275D">
        <w:rPr>
          <w:highlight w:val="yellow"/>
        </w:rPr>
        <w:t>mCherry</w:t>
      </w:r>
      <w:proofErr w:type="spellEnd"/>
      <w:r w:rsidR="00140088" w:rsidRPr="0008275D">
        <w:rPr>
          <w:highlight w:val="yellow"/>
        </w:rPr>
        <w:t>/</w:t>
      </w:r>
      <w:r w:rsidR="00140088" w:rsidRPr="0008275D">
        <w:rPr>
          <w:i/>
          <w:highlight w:val="yellow"/>
        </w:rPr>
        <w:t>LMO1</w:t>
      </w:r>
      <w:r w:rsidR="00140088" w:rsidRPr="0008275D">
        <w:rPr>
          <w:highlight w:val="yellow"/>
        </w:rPr>
        <w:t xml:space="preserve"> </w:t>
      </w:r>
      <w:r w:rsidRPr="0008275D">
        <w:rPr>
          <w:highlight w:val="yellow"/>
        </w:rPr>
        <w:t xml:space="preserve">before embryos reach 5 </w:t>
      </w:r>
      <w:proofErr w:type="spellStart"/>
      <w:r w:rsidRPr="0008275D">
        <w:rPr>
          <w:highlight w:val="yellow"/>
        </w:rPr>
        <w:t>dpf</w:t>
      </w:r>
      <w:proofErr w:type="spellEnd"/>
      <w:r w:rsidR="00140088" w:rsidRPr="0008275D">
        <w:rPr>
          <w:highlight w:val="yellow"/>
        </w:rPr>
        <w:t xml:space="preserve">, because air-filled swim bladders </w:t>
      </w:r>
      <w:r w:rsidRPr="0008275D">
        <w:rPr>
          <w:highlight w:val="yellow"/>
        </w:rPr>
        <w:t>fully develop by then and</w:t>
      </w:r>
      <w:r w:rsidR="00140088" w:rsidRPr="0008275D">
        <w:rPr>
          <w:highlight w:val="yellow"/>
        </w:rPr>
        <w:t xml:space="preserve"> will cause the embryos to float, resulting in difficult microscopic focusing of the PSNS cells during the sorting process.</w:t>
      </w:r>
    </w:p>
    <w:p w14:paraId="2EA77B7B" w14:textId="77777777" w:rsidR="0008275D" w:rsidRDefault="0008275D" w:rsidP="002251F3">
      <w:pPr>
        <w:tabs>
          <w:tab w:val="left" w:pos="2160"/>
        </w:tabs>
        <w:rPr>
          <w:highlight w:val="yellow"/>
        </w:rPr>
      </w:pPr>
    </w:p>
    <w:p w14:paraId="73F88A93" w14:textId="22CC0D6E" w:rsidR="0008275D" w:rsidRDefault="00140088" w:rsidP="002251F3">
      <w:pPr>
        <w:pStyle w:val="ListParagraph"/>
        <w:numPr>
          <w:ilvl w:val="1"/>
          <w:numId w:val="14"/>
        </w:numPr>
        <w:tabs>
          <w:tab w:val="left" w:pos="2160"/>
        </w:tabs>
        <w:ind w:left="0" w:firstLine="0"/>
        <w:rPr>
          <w:highlight w:val="yellow"/>
        </w:rPr>
      </w:pPr>
      <w:r w:rsidRPr="0008275D">
        <w:rPr>
          <w:highlight w:val="yellow"/>
        </w:rPr>
        <w:t xml:space="preserve">Once sorting is completed, isolate sorted fish into four groups of different genotypes and label </w:t>
      </w:r>
      <w:r w:rsidR="0008275D">
        <w:rPr>
          <w:highlight w:val="yellow"/>
        </w:rPr>
        <w:t>as below.</w:t>
      </w:r>
      <w:r w:rsidRPr="0008275D">
        <w:rPr>
          <w:highlight w:val="yellow"/>
        </w:rPr>
        <w:t xml:space="preserve"> </w:t>
      </w:r>
      <w:r w:rsidR="0008275D" w:rsidRPr="0008275D">
        <w:rPr>
          <w:highlight w:val="yellow"/>
        </w:rPr>
        <w:t>Raise the sorted fish in identical conditions according to the standard protocols from the zebrafish book</w:t>
      </w:r>
      <w:r w:rsidR="0008275D" w:rsidRPr="0008275D">
        <w:rPr>
          <w:highlight w:val="yellow"/>
          <w:vertAlign w:val="superscript"/>
        </w:rPr>
        <w:t>21</w:t>
      </w:r>
      <w:r w:rsidR="0008275D" w:rsidRPr="0008275D">
        <w:rPr>
          <w:highlight w:val="yellow"/>
        </w:rPr>
        <w:t>.</w:t>
      </w:r>
    </w:p>
    <w:p w14:paraId="67D228F1" w14:textId="77777777" w:rsidR="0008275D" w:rsidRDefault="0008275D" w:rsidP="002251F3">
      <w:pPr>
        <w:pStyle w:val="ListParagraph"/>
        <w:tabs>
          <w:tab w:val="left" w:pos="2160"/>
        </w:tabs>
        <w:ind w:left="0"/>
        <w:rPr>
          <w:highlight w:val="yellow"/>
        </w:rPr>
      </w:pPr>
    </w:p>
    <w:p w14:paraId="09B9BB9F" w14:textId="77777777" w:rsidR="0008275D" w:rsidRDefault="00140088" w:rsidP="002251F3">
      <w:pPr>
        <w:pStyle w:val="ListParagraph"/>
        <w:numPr>
          <w:ilvl w:val="2"/>
          <w:numId w:val="14"/>
        </w:numPr>
        <w:tabs>
          <w:tab w:val="left" w:pos="2160"/>
        </w:tabs>
        <w:ind w:left="0" w:firstLine="0"/>
        <w:rPr>
          <w:highlight w:val="yellow"/>
        </w:rPr>
      </w:pPr>
      <w:r w:rsidRPr="0008275D">
        <w:rPr>
          <w:highlight w:val="yellow"/>
        </w:rPr>
        <w:t xml:space="preserve"> </w:t>
      </w:r>
      <w:r w:rsidRPr="0008275D">
        <w:rPr>
          <w:i/>
          <w:highlight w:val="yellow"/>
        </w:rPr>
        <w:t>MYCN</w:t>
      </w:r>
      <w:r w:rsidRPr="0008275D">
        <w:rPr>
          <w:highlight w:val="yellow"/>
        </w:rPr>
        <w:t xml:space="preserve">-only (EGFP-positive), </w:t>
      </w:r>
    </w:p>
    <w:p w14:paraId="4C77A6B2" w14:textId="77777777" w:rsidR="0008275D" w:rsidRDefault="0008275D" w:rsidP="002251F3">
      <w:pPr>
        <w:pStyle w:val="ListParagraph"/>
        <w:tabs>
          <w:tab w:val="left" w:pos="2160"/>
        </w:tabs>
        <w:ind w:left="0"/>
        <w:rPr>
          <w:highlight w:val="yellow"/>
        </w:rPr>
      </w:pPr>
    </w:p>
    <w:p w14:paraId="23EAAA98" w14:textId="77777777" w:rsidR="0008275D" w:rsidRDefault="00140088" w:rsidP="002251F3">
      <w:pPr>
        <w:pStyle w:val="ListParagraph"/>
        <w:numPr>
          <w:ilvl w:val="2"/>
          <w:numId w:val="14"/>
        </w:numPr>
        <w:tabs>
          <w:tab w:val="left" w:pos="2160"/>
        </w:tabs>
        <w:ind w:left="0" w:firstLine="0"/>
        <w:rPr>
          <w:highlight w:val="yellow"/>
        </w:rPr>
      </w:pPr>
      <w:r w:rsidRPr="0008275D">
        <w:rPr>
          <w:highlight w:val="yellow"/>
        </w:rPr>
        <w:t xml:space="preserve"> </w:t>
      </w:r>
      <w:r w:rsidRPr="0008275D">
        <w:rPr>
          <w:i/>
          <w:highlight w:val="yellow"/>
        </w:rPr>
        <w:t>LMO1</w:t>
      </w:r>
      <w:r w:rsidRPr="0008275D">
        <w:rPr>
          <w:highlight w:val="yellow"/>
        </w:rPr>
        <w:t>-only (</w:t>
      </w:r>
      <w:proofErr w:type="spellStart"/>
      <w:r w:rsidRPr="0008275D">
        <w:rPr>
          <w:highlight w:val="yellow"/>
        </w:rPr>
        <w:t>mCherry</w:t>
      </w:r>
      <w:proofErr w:type="spellEnd"/>
      <w:r w:rsidRPr="0008275D">
        <w:rPr>
          <w:highlight w:val="yellow"/>
        </w:rPr>
        <w:t xml:space="preserve">-positive), </w:t>
      </w:r>
    </w:p>
    <w:p w14:paraId="0BD9B6B3" w14:textId="77777777" w:rsidR="0008275D" w:rsidRPr="0008275D" w:rsidRDefault="0008275D" w:rsidP="002251F3">
      <w:pPr>
        <w:pStyle w:val="ListParagraph"/>
        <w:ind w:left="0"/>
        <w:rPr>
          <w:i/>
          <w:highlight w:val="yellow"/>
        </w:rPr>
      </w:pPr>
    </w:p>
    <w:p w14:paraId="25DEC738" w14:textId="3A608568" w:rsidR="0008275D" w:rsidRPr="0008275D" w:rsidRDefault="00140088" w:rsidP="002251F3">
      <w:pPr>
        <w:pStyle w:val="ListParagraph"/>
        <w:numPr>
          <w:ilvl w:val="2"/>
          <w:numId w:val="14"/>
        </w:numPr>
        <w:tabs>
          <w:tab w:val="left" w:pos="2160"/>
        </w:tabs>
        <w:ind w:left="0" w:firstLine="0"/>
        <w:rPr>
          <w:highlight w:val="yellow"/>
        </w:rPr>
      </w:pPr>
      <w:r w:rsidRPr="0008275D">
        <w:rPr>
          <w:i/>
          <w:highlight w:val="yellow"/>
        </w:rPr>
        <w:t>MYCN</w:t>
      </w:r>
      <w:r w:rsidRPr="0008275D">
        <w:rPr>
          <w:highlight w:val="yellow"/>
        </w:rPr>
        <w:t xml:space="preserve">; </w:t>
      </w:r>
      <w:r w:rsidRPr="0008275D">
        <w:rPr>
          <w:i/>
          <w:highlight w:val="yellow"/>
        </w:rPr>
        <w:t>LMO1</w:t>
      </w:r>
      <w:r w:rsidRPr="0008275D">
        <w:rPr>
          <w:highlight w:val="yellow"/>
        </w:rPr>
        <w:t xml:space="preserve"> (EGFP and </w:t>
      </w:r>
      <w:proofErr w:type="spellStart"/>
      <w:r w:rsidRPr="0008275D">
        <w:rPr>
          <w:highlight w:val="yellow"/>
        </w:rPr>
        <w:t>mCherry</w:t>
      </w:r>
      <w:proofErr w:type="spellEnd"/>
      <w:r w:rsidRPr="0008275D">
        <w:rPr>
          <w:highlight w:val="yellow"/>
        </w:rPr>
        <w:t xml:space="preserve"> double positive), </w:t>
      </w:r>
    </w:p>
    <w:p w14:paraId="483ECCD0" w14:textId="77777777" w:rsidR="0008275D" w:rsidRDefault="0008275D" w:rsidP="002251F3">
      <w:pPr>
        <w:pStyle w:val="ListParagraph"/>
        <w:tabs>
          <w:tab w:val="left" w:pos="2160"/>
        </w:tabs>
        <w:ind w:left="0"/>
        <w:rPr>
          <w:highlight w:val="yellow"/>
        </w:rPr>
      </w:pPr>
    </w:p>
    <w:p w14:paraId="51096699" w14:textId="2FB6D8C7" w:rsidR="00140088" w:rsidRPr="0008275D" w:rsidRDefault="00140088" w:rsidP="002251F3">
      <w:pPr>
        <w:pStyle w:val="ListParagraph"/>
        <w:numPr>
          <w:ilvl w:val="2"/>
          <w:numId w:val="14"/>
        </w:numPr>
        <w:tabs>
          <w:tab w:val="left" w:pos="2160"/>
        </w:tabs>
        <w:ind w:left="0" w:firstLine="0"/>
        <w:rPr>
          <w:highlight w:val="yellow"/>
        </w:rPr>
      </w:pPr>
      <w:r w:rsidRPr="0008275D">
        <w:rPr>
          <w:highlight w:val="yellow"/>
        </w:rPr>
        <w:t xml:space="preserve"> WT (EGFP and </w:t>
      </w:r>
      <w:proofErr w:type="spellStart"/>
      <w:r w:rsidRPr="0008275D">
        <w:rPr>
          <w:highlight w:val="yellow"/>
        </w:rPr>
        <w:t>mCherry</w:t>
      </w:r>
      <w:proofErr w:type="spellEnd"/>
      <w:r w:rsidRPr="0008275D">
        <w:rPr>
          <w:highlight w:val="yellow"/>
        </w:rPr>
        <w:t xml:space="preserve"> double negative). </w:t>
      </w:r>
    </w:p>
    <w:p w14:paraId="70B1CB3A" w14:textId="77777777" w:rsidR="00140088" w:rsidRPr="0008275D" w:rsidRDefault="00140088" w:rsidP="002251F3">
      <w:pPr>
        <w:tabs>
          <w:tab w:val="left" w:pos="1440"/>
          <w:tab w:val="left" w:pos="2070"/>
        </w:tabs>
        <w:rPr>
          <w:b/>
          <w:bCs/>
          <w:highlight w:val="yellow"/>
        </w:rPr>
      </w:pPr>
    </w:p>
    <w:p w14:paraId="6FCE737E" w14:textId="5914B439" w:rsidR="00140088" w:rsidRPr="0008275D" w:rsidRDefault="00140088" w:rsidP="002251F3">
      <w:pPr>
        <w:pStyle w:val="ListParagraph"/>
        <w:numPr>
          <w:ilvl w:val="0"/>
          <w:numId w:val="14"/>
        </w:numPr>
        <w:tabs>
          <w:tab w:val="left" w:pos="1440"/>
          <w:tab w:val="left" w:pos="2070"/>
        </w:tabs>
        <w:rPr>
          <w:highlight w:val="yellow"/>
        </w:rPr>
      </w:pPr>
      <w:r w:rsidRPr="0008275D">
        <w:rPr>
          <w:b/>
          <w:bCs/>
          <w:highlight w:val="yellow"/>
        </w:rPr>
        <w:t xml:space="preserve">Visualizing </w:t>
      </w:r>
      <w:r w:rsidR="0054660C">
        <w:rPr>
          <w:b/>
          <w:bCs/>
          <w:highlight w:val="yellow"/>
        </w:rPr>
        <w:t>t</w:t>
      </w:r>
      <w:r w:rsidRPr="0008275D">
        <w:rPr>
          <w:b/>
          <w:bCs/>
          <w:highlight w:val="yellow"/>
        </w:rPr>
        <w:t xml:space="preserve">umor </w:t>
      </w:r>
      <w:r w:rsidR="0054660C">
        <w:rPr>
          <w:b/>
          <w:bCs/>
          <w:highlight w:val="yellow"/>
        </w:rPr>
        <w:t>b</w:t>
      </w:r>
      <w:r w:rsidRPr="0008275D">
        <w:rPr>
          <w:b/>
          <w:bCs/>
          <w:highlight w:val="yellow"/>
        </w:rPr>
        <w:t xml:space="preserve">urden in </w:t>
      </w:r>
      <w:r w:rsidR="0054660C">
        <w:rPr>
          <w:b/>
          <w:bCs/>
          <w:highlight w:val="yellow"/>
        </w:rPr>
        <w:t>t</w:t>
      </w:r>
      <w:r w:rsidRPr="0008275D">
        <w:rPr>
          <w:b/>
          <w:bCs/>
          <w:highlight w:val="yellow"/>
        </w:rPr>
        <w:t xml:space="preserve">ransgenic </w:t>
      </w:r>
      <w:r w:rsidR="0054660C">
        <w:rPr>
          <w:b/>
          <w:bCs/>
          <w:highlight w:val="yellow"/>
        </w:rPr>
        <w:t>z</w:t>
      </w:r>
      <w:r w:rsidRPr="0008275D">
        <w:rPr>
          <w:b/>
          <w:bCs/>
          <w:highlight w:val="yellow"/>
        </w:rPr>
        <w:t xml:space="preserve">ebrafish </w:t>
      </w:r>
      <w:r w:rsidR="0054660C">
        <w:rPr>
          <w:b/>
          <w:bCs/>
          <w:highlight w:val="yellow"/>
        </w:rPr>
        <w:t>l</w:t>
      </w:r>
      <w:r w:rsidRPr="0008275D">
        <w:rPr>
          <w:b/>
          <w:bCs/>
          <w:highlight w:val="yellow"/>
        </w:rPr>
        <w:t>ines</w:t>
      </w:r>
    </w:p>
    <w:p w14:paraId="5E3199B0" w14:textId="77777777" w:rsidR="00140088" w:rsidRPr="0008275D" w:rsidRDefault="00140088" w:rsidP="002251F3">
      <w:pPr>
        <w:tabs>
          <w:tab w:val="left" w:pos="2160"/>
        </w:tabs>
      </w:pPr>
    </w:p>
    <w:p w14:paraId="46C15E8C" w14:textId="37746BBB" w:rsidR="0008275D" w:rsidRDefault="00140088" w:rsidP="002251F3">
      <w:pPr>
        <w:pStyle w:val="ListParagraph"/>
        <w:numPr>
          <w:ilvl w:val="1"/>
          <w:numId w:val="14"/>
        </w:numPr>
        <w:tabs>
          <w:tab w:val="left" w:pos="2160"/>
        </w:tabs>
        <w:ind w:left="0" w:firstLine="0"/>
      </w:pPr>
      <w:r w:rsidRPr="0008275D">
        <w:t>At 4 weeks-post-fertilization (</w:t>
      </w:r>
      <w:proofErr w:type="spellStart"/>
      <w:r w:rsidRPr="0008275D">
        <w:t>wpf</w:t>
      </w:r>
      <w:proofErr w:type="spellEnd"/>
      <w:r w:rsidRPr="0008275D">
        <w:t>), anesthe</w:t>
      </w:r>
      <w:r w:rsidR="008C79BF" w:rsidRPr="0008275D">
        <w:t xml:space="preserve">tize sorted fish from step </w:t>
      </w:r>
      <w:r w:rsidR="006C5056" w:rsidRPr="006C5056">
        <w:t>3.</w:t>
      </w:r>
      <w:r w:rsidR="008C79BF" w:rsidRPr="006C5056">
        <w:t>5</w:t>
      </w:r>
      <w:r w:rsidRPr="0008275D">
        <w:t xml:space="preserve"> with 0.02% tricaine in a petri dish.</w:t>
      </w:r>
    </w:p>
    <w:p w14:paraId="44E4283E" w14:textId="77777777" w:rsidR="0008275D" w:rsidRDefault="0008275D" w:rsidP="002251F3">
      <w:pPr>
        <w:pStyle w:val="ListParagraph"/>
        <w:tabs>
          <w:tab w:val="left" w:pos="2160"/>
        </w:tabs>
        <w:ind w:left="0"/>
      </w:pPr>
    </w:p>
    <w:p w14:paraId="507753E1" w14:textId="77777777" w:rsidR="0008275D" w:rsidRPr="00DC0302" w:rsidRDefault="00140088" w:rsidP="002251F3">
      <w:pPr>
        <w:pStyle w:val="ListParagraph"/>
        <w:numPr>
          <w:ilvl w:val="1"/>
          <w:numId w:val="14"/>
        </w:numPr>
        <w:tabs>
          <w:tab w:val="left" w:pos="2160"/>
        </w:tabs>
        <w:ind w:left="0" w:firstLine="0"/>
        <w:rPr>
          <w:highlight w:val="yellow"/>
        </w:rPr>
      </w:pPr>
      <w:r w:rsidRPr="00DC0302">
        <w:rPr>
          <w:highlight w:val="yellow"/>
        </w:rPr>
        <w:lastRenderedPageBreak/>
        <w:t xml:space="preserve">Visualize tumors with a stereoscopic fluorescence microscope by gently flipping fish </w:t>
      </w:r>
      <w:r w:rsidR="008C79BF" w:rsidRPr="00DC0302">
        <w:rPr>
          <w:highlight w:val="yellow"/>
        </w:rPr>
        <w:t xml:space="preserve">with a metal spatula </w:t>
      </w:r>
      <w:r w:rsidRPr="00DC0302">
        <w:rPr>
          <w:highlight w:val="yellow"/>
        </w:rPr>
        <w:t>onto b</w:t>
      </w:r>
      <w:r w:rsidR="008C79BF" w:rsidRPr="00DC0302">
        <w:rPr>
          <w:highlight w:val="yellow"/>
        </w:rPr>
        <w:t xml:space="preserve">oth lateral sides to view tumor. </w:t>
      </w:r>
      <w:r w:rsidRPr="00DC0302">
        <w:rPr>
          <w:highlight w:val="yellow"/>
        </w:rPr>
        <w:t xml:space="preserve">Expect tumors to present as </w:t>
      </w:r>
      <w:r w:rsidR="008454BB" w:rsidRPr="00DC0302">
        <w:rPr>
          <w:highlight w:val="yellow"/>
        </w:rPr>
        <w:t xml:space="preserve">single </w:t>
      </w:r>
      <w:r w:rsidRPr="00DC0302">
        <w:rPr>
          <w:highlight w:val="yellow"/>
        </w:rPr>
        <w:t xml:space="preserve">EGFP-, </w:t>
      </w:r>
      <w:r w:rsidR="008454BB" w:rsidRPr="00DC0302">
        <w:rPr>
          <w:highlight w:val="yellow"/>
        </w:rPr>
        <w:t xml:space="preserve">single </w:t>
      </w:r>
      <w:proofErr w:type="spellStart"/>
      <w:r w:rsidRPr="00DC0302">
        <w:rPr>
          <w:highlight w:val="yellow"/>
        </w:rPr>
        <w:t>mCherry</w:t>
      </w:r>
      <w:proofErr w:type="spellEnd"/>
      <w:r w:rsidRPr="00DC0302">
        <w:rPr>
          <w:highlight w:val="yellow"/>
        </w:rPr>
        <w:t xml:space="preserve">-, </w:t>
      </w:r>
      <w:r w:rsidR="008454BB" w:rsidRPr="00DC0302">
        <w:rPr>
          <w:highlight w:val="yellow"/>
        </w:rPr>
        <w:t xml:space="preserve">or double </w:t>
      </w:r>
      <w:r w:rsidRPr="00DC0302">
        <w:rPr>
          <w:highlight w:val="yellow"/>
        </w:rPr>
        <w:t>EGFP-and-</w:t>
      </w:r>
      <w:proofErr w:type="spellStart"/>
      <w:r w:rsidRPr="00DC0302">
        <w:rPr>
          <w:highlight w:val="yellow"/>
        </w:rPr>
        <w:t>mCherry</w:t>
      </w:r>
      <w:proofErr w:type="spellEnd"/>
      <w:r w:rsidRPr="00DC0302">
        <w:rPr>
          <w:highlight w:val="yellow"/>
        </w:rPr>
        <w:t xml:space="preserve">-positive masses that arise from the interrenal gland region (near head and kidney). </w:t>
      </w:r>
    </w:p>
    <w:p w14:paraId="4218499F" w14:textId="77777777" w:rsidR="0008275D" w:rsidRPr="0018334A" w:rsidRDefault="0008275D" w:rsidP="002251F3">
      <w:pPr>
        <w:pStyle w:val="ListParagraph"/>
        <w:ind w:left="0"/>
      </w:pPr>
    </w:p>
    <w:p w14:paraId="7EA75F1A" w14:textId="536B2F6D" w:rsidR="0008275D" w:rsidRPr="0008275D" w:rsidRDefault="00140088" w:rsidP="002251F3">
      <w:pPr>
        <w:pStyle w:val="ListParagraph"/>
        <w:tabs>
          <w:tab w:val="left" w:pos="2160"/>
        </w:tabs>
        <w:ind w:left="0"/>
      </w:pPr>
      <w:r w:rsidRPr="0018334A">
        <w:t>N</w:t>
      </w:r>
      <w:r w:rsidR="0008275D" w:rsidRPr="0018334A">
        <w:t>OTE:</w:t>
      </w:r>
      <w:r w:rsidRPr="0018334A">
        <w:t xml:space="preserve"> It is possible that the initial tumor onset is typically presented with a brighter and larger fluorescence positive mass on one side of interrenal gland, which is why it is crucial to visualize both sides of fish</w:t>
      </w:r>
      <w:r w:rsidR="008C79BF" w:rsidRPr="0018334A">
        <w:t xml:space="preserve"> to avoid missing early tumor onset</w:t>
      </w:r>
      <w:r w:rsidRPr="0018334A">
        <w:t>.</w:t>
      </w:r>
    </w:p>
    <w:p w14:paraId="540F75BE" w14:textId="77777777" w:rsidR="0008275D" w:rsidRPr="00DC0302" w:rsidRDefault="0008275D" w:rsidP="002251F3">
      <w:pPr>
        <w:pStyle w:val="ListParagraph"/>
        <w:ind w:left="0"/>
        <w:rPr>
          <w:highlight w:val="yellow"/>
        </w:rPr>
      </w:pPr>
    </w:p>
    <w:p w14:paraId="7762839A" w14:textId="36536708" w:rsidR="0008275D" w:rsidRPr="00DC0302" w:rsidRDefault="00140088" w:rsidP="002251F3">
      <w:pPr>
        <w:pStyle w:val="ListParagraph"/>
        <w:numPr>
          <w:ilvl w:val="1"/>
          <w:numId w:val="14"/>
        </w:numPr>
        <w:tabs>
          <w:tab w:val="left" w:pos="2160"/>
        </w:tabs>
        <w:ind w:left="0" w:firstLine="0"/>
        <w:rPr>
          <w:highlight w:val="yellow"/>
        </w:rPr>
      </w:pPr>
      <w:r w:rsidRPr="00DC0302">
        <w:rPr>
          <w:highlight w:val="yellow"/>
        </w:rPr>
        <w:t xml:space="preserve">After identification of </w:t>
      </w:r>
      <w:r w:rsidR="0018334A" w:rsidRPr="00DC0302">
        <w:rPr>
          <w:highlight w:val="yellow"/>
        </w:rPr>
        <w:t xml:space="preserve">the </w:t>
      </w:r>
      <w:r w:rsidRPr="00DC0302">
        <w:rPr>
          <w:highlight w:val="yellow"/>
        </w:rPr>
        <w:t>possible tumor-bearing fish, isolate fish into a separate tank with appropriate labels, which includes date of birth, date</w:t>
      </w:r>
      <w:r w:rsidR="008C79BF" w:rsidRPr="00DC0302">
        <w:rPr>
          <w:highlight w:val="yellow"/>
        </w:rPr>
        <w:t xml:space="preserve"> when</w:t>
      </w:r>
      <w:r w:rsidRPr="00DC0302">
        <w:rPr>
          <w:highlight w:val="yellow"/>
        </w:rPr>
        <w:t xml:space="preserve"> tumor screened, and genotype.</w:t>
      </w:r>
    </w:p>
    <w:p w14:paraId="7FB3C022" w14:textId="77777777" w:rsidR="0008275D" w:rsidRPr="00DC0302" w:rsidRDefault="0008275D" w:rsidP="002251F3">
      <w:pPr>
        <w:pStyle w:val="ListParagraph"/>
        <w:tabs>
          <w:tab w:val="left" w:pos="2160"/>
        </w:tabs>
        <w:ind w:left="0"/>
        <w:rPr>
          <w:highlight w:val="yellow"/>
        </w:rPr>
      </w:pPr>
    </w:p>
    <w:p w14:paraId="5E3C889F" w14:textId="0D574C88" w:rsidR="0008275D" w:rsidRPr="00DC0302" w:rsidRDefault="00140088" w:rsidP="002251F3">
      <w:pPr>
        <w:pStyle w:val="ListParagraph"/>
        <w:numPr>
          <w:ilvl w:val="1"/>
          <w:numId w:val="14"/>
        </w:numPr>
        <w:tabs>
          <w:tab w:val="left" w:pos="2160"/>
        </w:tabs>
        <w:ind w:left="0" w:firstLine="0"/>
        <w:rPr>
          <w:highlight w:val="yellow"/>
        </w:rPr>
      </w:pPr>
      <w:r w:rsidRPr="00DC0302">
        <w:rPr>
          <w:highlight w:val="yellow"/>
        </w:rPr>
        <w:t xml:space="preserve">At 6 </w:t>
      </w:r>
      <w:proofErr w:type="spellStart"/>
      <w:r w:rsidRPr="00DC0302">
        <w:rPr>
          <w:highlight w:val="yellow"/>
        </w:rPr>
        <w:t>wpf</w:t>
      </w:r>
      <w:proofErr w:type="spellEnd"/>
      <w:r w:rsidRPr="00DC0302">
        <w:rPr>
          <w:highlight w:val="yellow"/>
        </w:rPr>
        <w:t>, repeat p</w:t>
      </w:r>
      <w:r w:rsidR="006C5056" w:rsidRPr="00DC0302">
        <w:rPr>
          <w:highlight w:val="yellow"/>
        </w:rPr>
        <w:t xml:space="preserve">revious </w:t>
      </w:r>
      <w:r w:rsidR="006C5056" w:rsidRPr="0054660C">
        <w:rPr>
          <w:highlight w:val="yellow"/>
        </w:rPr>
        <w:t>steps 4.1-4</w:t>
      </w:r>
      <w:r w:rsidRPr="0054660C">
        <w:rPr>
          <w:highlight w:val="yellow"/>
        </w:rPr>
        <w:t>.3</w:t>
      </w:r>
      <w:r w:rsidRPr="00DC0302">
        <w:rPr>
          <w:highlight w:val="yellow"/>
        </w:rPr>
        <w:t xml:space="preserve"> to screen tumor-bearing fish and non-tumor bearing fish again to confirm </w:t>
      </w:r>
      <w:r w:rsidR="0018334A" w:rsidRPr="00DC0302">
        <w:rPr>
          <w:highlight w:val="yellow"/>
        </w:rPr>
        <w:t xml:space="preserve">the </w:t>
      </w:r>
      <w:r w:rsidRPr="00DC0302">
        <w:rPr>
          <w:highlight w:val="yellow"/>
        </w:rPr>
        <w:t xml:space="preserve">presence of tumors for previously screened </w:t>
      </w:r>
      <w:r w:rsidR="008C79BF" w:rsidRPr="00DC0302">
        <w:rPr>
          <w:highlight w:val="yellow"/>
        </w:rPr>
        <w:t xml:space="preserve">tumor-bearing </w:t>
      </w:r>
      <w:r w:rsidRPr="00DC0302">
        <w:rPr>
          <w:highlight w:val="yellow"/>
        </w:rPr>
        <w:t xml:space="preserve">fish or identify new possible tumor-bearing fish, respectively. </w:t>
      </w:r>
      <w:r w:rsidR="0097783E" w:rsidRPr="00DC0302">
        <w:rPr>
          <w:highlight w:val="yellow"/>
        </w:rPr>
        <w:t>Look for sustained or increased size of fluorescence-positive mass in confirmed tumor-bearing fish</w:t>
      </w:r>
      <w:r w:rsidRPr="00DC0302">
        <w:rPr>
          <w:highlight w:val="yellow"/>
        </w:rPr>
        <w:t xml:space="preserve">. </w:t>
      </w:r>
    </w:p>
    <w:p w14:paraId="122560A7" w14:textId="77777777" w:rsidR="0008275D" w:rsidRPr="00DC0302" w:rsidRDefault="0008275D" w:rsidP="002251F3">
      <w:pPr>
        <w:pStyle w:val="ListParagraph"/>
        <w:ind w:left="0"/>
        <w:rPr>
          <w:highlight w:val="yellow"/>
        </w:rPr>
      </w:pPr>
    </w:p>
    <w:p w14:paraId="144C3F4F" w14:textId="77777777" w:rsidR="0008275D" w:rsidRPr="00DC0302" w:rsidRDefault="00140088" w:rsidP="002251F3">
      <w:pPr>
        <w:pStyle w:val="ListParagraph"/>
        <w:numPr>
          <w:ilvl w:val="1"/>
          <w:numId w:val="14"/>
        </w:numPr>
        <w:tabs>
          <w:tab w:val="left" w:pos="2160"/>
        </w:tabs>
        <w:ind w:left="0" w:firstLine="0"/>
        <w:rPr>
          <w:highlight w:val="yellow"/>
        </w:rPr>
      </w:pPr>
      <w:r w:rsidRPr="00DC0302">
        <w:rPr>
          <w:highlight w:val="yellow"/>
        </w:rPr>
        <w:t>After identifying tumor-bearing fish, monitor them biweekly for evidence of</w:t>
      </w:r>
      <w:r w:rsidR="0097783E" w:rsidRPr="00DC0302">
        <w:rPr>
          <w:highlight w:val="yellow"/>
        </w:rPr>
        <w:t xml:space="preserve"> tumor cell migration, which</w:t>
      </w:r>
      <w:r w:rsidRPr="00DC0302">
        <w:rPr>
          <w:highlight w:val="yellow"/>
        </w:rPr>
        <w:t xml:space="preserve"> present</w:t>
      </w:r>
      <w:r w:rsidR="0097783E" w:rsidRPr="00DC0302">
        <w:rPr>
          <w:highlight w:val="yellow"/>
        </w:rPr>
        <w:t>s</w:t>
      </w:r>
      <w:r w:rsidRPr="00DC0302">
        <w:rPr>
          <w:highlight w:val="yellow"/>
        </w:rPr>
        <w:t xml:space="preserve"> as tiny EGFP- and/or </w:t>
      </w:r>
      <w:proofErr w:type="spellStart"/>
      <w:r w:rsidRPr="00DC0302">
        <w:rPr>
          <w:highlight w:val="yellow"/>
        </w:rPr>
        <w:t>mCherry</w:t>
      </w:r>
      <w:proofErr w:type="spellEnd"/>
      <w:r w:rsidRPr="00DC0302">
        <w:rPr>
          <w:highlight w:val="yellow"/>
        </w:rPr>
        <w:t xml:space="preserve">-positive tumor masses far from the primary site of </w:t>
      </w:r>
      <w:proofErr w:type="spellStart"/>
      <w:r w:rsidRPr="00DC0302">
        <w:rPr>
          <w:highlight w:val="yellow"/>
        </w:rPr>
        <w:t>tumorgenesis</w:t>
      </w:r>
      <w:proofErr w:type="spellEnd"/>
      <w:r w:rsidRPr="00DC0302">
        <w:rPr>
          <w:highlight w:val="yellow"/>
        </w:rPr>
        <w:t xml:space="preserve"> (</w:t>
      </w:r>
      <w:proofErr w:type="spellStart"/>
      <w:r w:rsidRPr="00DC0302">
        <w:rPr>
          <w:highlight w:val="yellow"/>
        </w:rPr>
        <w:t>interrenal</w:t>
      </w:r>
      <w:proofErr w:type="spellEnd"/>
      <w:r w:rsidRPr="00DC0302">
        <w:rPr>
          <w:highlight w:val="yellow"/>
        </w:rPr>
        <w:t xml:space="preserve"> gland region). Isolate these fish into separate tanks as needed and label appropriately to indicate possible metastasis.</w:t>
      </w:r>
    </w:p>
    <w:p w14:paraId="09DE7352" w14:textId="77777777" w:rsidR="0008275D" w:rsidRPr="00DC0302" w:rsidRDefault="0008275D" w:rsidP="002251F3">
      <w:pPr>
        <w:pStyle w:val="ListParagraph"/>
        <w:ind w:left="0"/>
        <w:rPr>
          <w:highlight w:val="yellow"/>
        </w:rPr>
      </w:pPr>
    </w:p>
    <w:p w14:paraId="756709F7" w14:textId="4CE8A69A" w:rsidR="0097783E" w:rsidRPr="00DC0302" w:rsidRDefault="0097783E" w:rsidP="002251F3">
      <w:pPr>
        <w:pStyle w:val="ListParagraph"/>
        <w:numPr>
          <w:ilvl w:val="1"/>
          <w:numId w:val="14"/>
        </w:numPr>
        <w:tabs>
          <w:tab w:val="left" w:pos="2160"/>
        </w:tabs>
        <w:ind w:left="0" w:firstLine="0"/>
        <w:rPr>
          <w:highlight w:val="yellow"/>
        </w:rPr>
      </w:pPr>
      <w:r w:rsidRPr="00DC0302">
        <w:rPr>
          <w:highlight w:val="yellow"/>
        </w:rPr>
        <w:t>To further confirm the metastasis, c</w:t>
      </w:r>
      <w:r w:rsidR="00140088" w:rsidRPr="00DC0302">
        <w:rPr>
          <w:highlight w:val="yellow"/>
        </w:rPr>
        <w:t xml:space="preserve">ontinue tracking </w:t>
      </w:r>
      <w:r w:rsidRPr="00DC0302">
        <w:rPr>
          <w:highlight w:val="yellow"/>
        </w:rPr>
        <w:t xml:space="preserve">these </w:t>
      </w:r>
      <w:r w:rsidR="00140088" w:rsidRPr="00DC0302">
        <w:rPr>
          <w:highlight w:val="yellow"/>
        </w:rPr>
        <w:t>fish regularly (every two weeks) until the distant fluorescence-positive tumor masses show clearly increased size, indicating growth of tumors in the metastatic sites.</w:t>
      </w:r>
    </w:p>
    <w:p w14:paraId="4CC5769C" w14:textId="77777777" w:rsidR="00140088" w:rsidRPr="0018334A" w:rsidRDefault="00140088" w:rsidP="002251F3">
      <w:pPr>
        <w:rPr>
          <w:b/>
          <w:bCs/>
        </w:rPr>
      </w:pPr>
    </w:p>
    <w:p w14:paraId="4E641B82" w14:textId="30C46B86" w:rsidR="00140088" w:rsidRPr="0018334A" w:rsidRDefault="00140088" w:rsidP="002251F3">
      <w:pPr>
        <w:pStyle w:val="ListParagraph"/>
        <w:numPr>
          <w:ilvl w:val="0"/>
          <w:numId w:val="14"/>
        </w:numPr>
        <w:rPr>
          <w:b/>
          <w:bCs/>
        </w:rPr>
      </w:pPr>
      <w:r w:rsidRPr="0018334A">
        <w:rPr>
          <w:b/>
          <w:bCs/>
        </w:rPr>
        <w:t xml:space="preserve">Tissue </w:t>
      </w:r>
      <w:r w:rsidR="0054660C">
        <w:rPr>
          <w:b/>
          <w:bCs/>
        </w:rPr>
        <w:t>p</w:t>
      </w:r>
      <w:r w:rsidRPr="0018334A">
        <w:rPr>
          <w:b/>
          <w:bCs/>
        </w:rPr>
        <w:t xml:space="preserve">rocessing and </w:t>
      </w:r>
      <w:r w:rsidR="0054660C">
        <w:rPr>
          <w:b/>
          <w:bCs/>
        </w:rPr>
        <w:t>p</w:t>
      </w:r>
      <w:r w:rsidRPr="0018334A">
        <w:rPr>
          <w:b/>
          <w:bCs/>
        </w:rPr>
        <w:t xml:space="preserve">araffin </w:t>
      </w:r>
      <w:r w:rsidR="0054660C">
        <w:rPr>
          <w:b/>
          <w:bCs/>
        </w:rPr>
        <w:t>s</w:t>
      </w:r>
      <w:r w:rsidRPr="0018334A">
        <w:rPr>
          <w:b/>
          <w:bCs/>
        </w:rPr>
        <w:t xml:space="preserve">ectioning of </w:t>
      </w:r>
      <w:r w:rsidR="0054660C">
        <w:rPr>
          <w:b/>
          <w:bCs/>
        </w:rPr>
        <w:t>t</w:t>
      </w:r>
      <w:r w:rsidRPr="0018334A">
        <w:rPr>
          <w:b/>
          <w:bCs/>
        </w:rPr>
        <w:t>umor-</w:t>
      </w:r>
      <w:r w:rsidR="0054660C">
        <w:rPr>
          <w:b/>
          <w:bCs/>
        </w:rPr>
        <w:t>b</w:t>
      </w:r>
      <w:r w:rsidRPr="0018334A">
        <w:rPr>
          <w:b/>
          <w:bCs/>
        </w:rPr>
        <w:t xml:space="preserve">earing </w:t>
      </w:r>
      <w:proofErr w:type="gramStart"/>
      <w:r w:rsidR="0054660C">
        <w:rPr>
          <w:b/>
          <w:bCs/>
        </w:rPr>
        <w:t>f</w:t>
      </w:r>
      <w:r w:rsidRPr="0018334A">
        <w:rPr>
          <w:b/>
          <w:bCs/>
        </w:rPr>
        <w:t>ish</w:t>
      </w:r>
      <w:proofErr w:type="gramEnd"/>
    </w:p>
    <w:p w14:paraId="4427AC61" w14:textId="090AC0FE" w:rsidR="0018334A" w:rsidRDefault="0018334A" w:rsidP="002251F3">
      <w:pPr>
        <w:pStyle w:val="ListParagraph"/>
        <w:ind w:left="0"/>
      </w:pPr>
    </w:p>
    <w:p w14:paraId="51FD52AD" w14:textId="2C989769" w:rsidR="0018334A" w:rsidRPr="0018334A" w:rsidRDefault="0018334A" w:rsidP="002251F3">
      <w:pPr>
        <w:rPr>
          <w:bCs/>
        </w:rPr>
      </w:pPr>
      <w:r>
        <w:t xml:space="preserve">NOTE: Perform this step to </w:t>
      </w:r>
      <w:r>
        <w:rPr>
          <w:bCs/>
        </w:rPr>
        <w:t>c</w:t>
      </w:r>
      <w:r w:rsidRPr="0018334A">
        <w:rPr>
          <w:bCs/>
        </w:rPr>
        <w:t>haracteriz</w:t>
      </w:r>
      <w:r>
        <w:rPr>
          <w:bCs/>
        </w:rPr>
        <w:t>e</w:t>
      </w:r>
      <w:r w:rsidRPr="0018334A">
        <w:rPr>
          <w:bCs/>
        </w:rPr>
        <w:t xml:space="preserve"> the </w:t>
      </w:r>
      <w:r>
        <w:rPr>
          <w:bCs/>
        </w:rPr>
        <w:t>s</w:t>
      </w:r>
      <w:r w:rsidRPr="0018334A">
        <w:rPr>
          <w:bCs/>
        </w:rPr>
        <w:t xml:space="preserve">pontaneously </w:t>
      </w:r>
      <w:r>
        <w:rPr>
          <w:bCs/>
        </w:rPr>
        <w:t>d</w:t>
      </w:r>
      <w:r w:rsidRPr="0018334A">
        <w:rPr>
          <w:bCs/>
        </w:rPr>
        <w:t xml:space="preserve">eveloped </w:t>
      </w:r>
      <w:r>
        <w:rPr>
          <w:bCs/>
        </w:rPr>
        <w:t>p</w:t>
      </w:r>
      <w:r w:rsidRPr="0018334A">
        <w:rPr>
          <w:bCs/>
        </w:rPr>
        <w:t xml:space="preserve">rimary and/or </w:t>
      </w:r>
      <w:r>
        <w:rPr>
          <w:bCs/>
        </w:rPr>
        <w:t>m</w:t>
      </w:r>
      <w:r w:rsidRPr="0018334A">
        <w:rPr>
          <w:bCs/>
        </w:rPr>
        <w:t xml:space="preserve">etastatic </w:t>
      </w:r>
      <w:r>
        <w:rPr>
          <w:bCs/>
        </w:rPr>
        <w:t>t</w:t>
      </w:r>
      <w:r w:rsidRPr="0018334A">
        <w:rPr>
          <w:bCs/>
        </w:rPr>
        <w:t xml:space="preserve">umors in </w:t>
      </w:r>
      <w:r w:rsidRPr="0018334A">
        <w:rPr>
          <w:bCs/>
          <w:i/>
        </w:rPr>
        <w:t xml:space="preserve">MYCN and </w:t>
      </w:r>
      <w:proofErr w:type="gramStart"/>
      <w:r w:rsidRPr="0018334A">
        <w:rPr>
          <w:bCs/>
          <w:i/>
        </w:rPr>
        <w:t>MYCN;LMO</w:t>
      </w:r>
      <w:proofErr w:type="gramEnd"/>
      <w:r w:rsidRPr="0018334A">
        <w:rPr>
          <w:bCs/>
          <w:i/>
        </w:rPr>
        <w:t xml:space="preserve">1 </w:t>
      </w:r>
      <w:r>
        <w:rPr>
          <w:bCs/>
        </w:rPr>
        <w:t>t</w:t>
      </w:r>
      <w:r w:rsidRPr="0018334A">
        <w:rPr>
          <w:bCs/>
        </w:rPr>
        <w:t>ransgenic</w:t>
      </w:r>
      <w:r>
        <w:rPr>
          <w:bCs/>
        </w:rPr>
        <w:t xml:space="preserve"> f</w:t>
      </w:r>
      <w:r w:rsidRPr="0018334A">
        <w:rPr>
          <w:bCs/>
        </w:rPr>
        <w:t>ish</w:t>
      </w:r>
      <w:r w:rsidR="00984227">
        <w:rPr>
          <w:bCs/>
        </w:rPr>
        <w:t>.</w:t>
      </w:r>
    </w:p>
    <w:p w14:paraId="7C9A962E" w14:textId="7E59A43D" w:rsidR="0018334A" w:rsidRPr="00F133CB" w:rsidRDefault="0018334A" w:rsidP="002251F3">
      <w:pPr>
        <w:pStyle w:val="ListParagraph"/>
        <w:ind w:left="0"/>
      </w:pPr>
    </w:p>
    <w:p w14:paraId="63A33AA3" w14:textId="3A59F356" w:rsidR="00103975" w:rsidRDefault="00140088" w:rsidP="002251F3">
      <w:pPr>
        <w:pStyle w:val="ListParagraph"/>
        <w:numPr>
          <w:ilvl w:val="1"/>
          <w:numId w:val="14"/>
        </w:numPr>
        <w:ind w:left="0" w:firstLine="0"/>
      </w:pPr>
      <w:r w:rsidRPr="00F133CB">
        <w:t xml:space="preserve">After identification </w:t>
      </w:r>
      <w:r w:rsidR="0097783E" w:rsidRPr="00F133CB">
        <w:t xml:space="preserve">and verification </w:t>
      </w:r>
      <w:r w:rsidRPr="00F133CB">
        <w:t xml:space="preserve">of tumor-bearing fish, </w:t>
      </w:r>
      <w:r w:rsidR="0097783E" w:rsidRPr="00F133CB">
        <w:t xml:space="preserve">sacrifice fish from </w:t>
      </w:r>
      <w:r w:rsidR="0097783E" w:rsidRPr="0054660C">
        <w:t>s</w:t>
      </w:r>
      <w:r w:rsidR="006C5056" w:rsidRPr="0054660C">
        <w:t>tep 4.</w:t>
      </w:r>
      <w:r w:rsidR="0097783E" w:rsidRPr="0054660C">
        <w:t xml:space="preserve">6 </w:t>
      </w:r>
      <w:r w:rsidR="0097783E" w:rsidRPr="00F133CB">
        <w:t xml:space="preserve">in a </w:t>
      </w:r>
      <w:r w:rsidR="0018334A">
        <w:t>P</w:t>
      </w:r>
      <w:r w:rsidR="0097783E" w:rsidRPr="00F133CB">
        <w:t xml:space="preserve">etri dish by submerging fish in 0.02% tricaine to anesthetize first and then increasing tricaine dosage until fish is no longer respiring. Cut </w:t>
      </w:r>
      <w:r w:rsidRPr="00F133CB">
        <w:t xml:space="preserve">the fish into two pieces—with one piece containing the head and a portion of the body’s middle section (including tumor), and another piece with the rest of the fish’s middle section and tail. </w:t>
      </w:r>
    </w:p>
    <w:p w14:paraId="702CA903" w14:textId="77777777" w:rsidR="00103975" w:rsidRDefault="00103975" w:rsidP="002251F3">
      <w:pPr>
        <w:pStyle w:val="ListParagraph"/>
        <w:ind w:left="0"/>
      </w:pPr>
    </w:p>
    <w:p w14:paraId="11161D67" w14:textId="77777777" w:rsidR="00103975" w:rsidRDefault="00140088" w:rsidP="002251F3">
      <w:pPr>
        <w:pStyle w:val="ListParagraph"/>
        <w:numPr>
          <w:ilvl w:val="1"/>
          <w:numId w:val="14"/>
        </w:numPr>
        <w:ind w:left="0" w:firstLine="0"/>
      </w:pPr>
      <w:r w:rsidRPr="00F133CB">
        <w:t xml:space="preserve">Fix both fish sections with 4% paraformaldehyde (PFA) in </w:t>
      </w:r>
      <w:r w:rsidR="00AD3682" w:rsidRPr="00F133CB">
        <w:t>1</w:t>
      </w:r>
      <w:r w:rsidR="00103975">
        <w:t>x</w:t>
      </w:r>
      <w:r w:rsidR="00AD3682" w:rsidRPr="00F133CB">
        <w:t xml:space="preserve"> </w:t>
      </w:r>
      <w:r w:rsidRPr="00F133CB">
        <w:t>PBS</w:t>
      </w:r>
      <w:r w:rsidR="006C3CE6" w:rsidRPr="00F133CB">
        <w:t xml:space="preserve"> for 1 h at room temperature on a rocker</w:t>
      </w:r>
      <w:r w:rsidRPr="00F133CB">
        <w:t>. To enhance fixation efficiency, replace buf</w:t>
      </w:r>
      <w:r w:rsidR="006C3CE6" w:rsidRPr="00F133CB">
        <w:t xml:space="preserve">fer with fresh 4% PFA </w:t>
      </w:r>
      <w:r w:rsidRPr="00F133CB">
        <w:t>to increase penetrance to the internal organs effectively and quic</w:t>
      </w:r>
      <w:r w:rsidR="006C3CE6" w:rsidRPr="00F133CB">
        <w:t>kly. Leave fish with fresh fixing</w:t>
      </w:r>
      <w:r w:rsidRPr="00F133CB">
        <w:t xml:space="preserve"> buffer on a rocker at 4 °C overnight or for 48 h. </w:t>
      </w:r>
    </w:p>
    <w:p w14:paraId="44C4F804" w14:textId="77777777" w:rsidR="00103975" w:rsidRDefault="00103975" w:rsidP="002251F3">
      <w:pPr>
        <w:pStyle w:val="ListParagraph"/>
        <w:ind w:left="0"/>
      </w:pPr>
    </w:p>
    <w:p w14:paraId="73088FD0" w14:textId="678A84A7" w:rsidR="00103975" w:rsidRDefault="00140088" w:rsidP="002251F3">
      <w:pPr>
        <w:pStyle w:val="ListParagraph"/>
        <w:ind w:left="0"/>
      </w:pPr>
      <w:r w:rsidRPr="00F133CB">
        <w:t>C</w:t>
      </w:r>
      <w:r w:rsidR="00103975">
        <w:t>AUTION</w:t>
      </w:r>
      <w:r w:rsidRPr="00F133CB">
        <w:t xml:space="preserve">: PFA is toxic. </w:t>
      </w:r>
      <w:r w:rsidR="006C3CE6" w:rsidRPr="00F133CB">
        <w:t xml:space="preserve">Since </w:t>
      </w:r>
      <w:r w:rsidRPr="00F133CB">
        <w:t>precautionary procedures and prop</w:t>
      </w:r>
      <w:r w:rsidR="006C3CE6" w:rsidRPr="00F133CB">
        <w:t>er disposal of reagent depends</w:t>
      </w:r>
      <w:r w:rsidRPr="00F133CB">
        <w:t xml:space="preserve"> on the r</w:t>
      </w:r>
      <w:r w:rsidR="006C3CE6" w:rsidRPr="00F133CB">
        <w:t xml:space="preserve">egulations of your institution, seek proper guidelines before using and disposal of </w:t>
      </w:r>
      <w:r w:rsidR="006C3CE6" w:rsidRPr="00F133CB">
        <w:lastRenderedPageBreak/>
        <w:t>reagent</w:t>
      </w:r>
      <w:r w:rsidR="00103975">
        <w:t>.</w:t>
      </w:r>
    </w:p>
    <w:p w14:paraId="612C0376" w14:textId="77777777" w:rsidR="00103975" w:rsidRDefault="00103975" w:rsidP="002251F3">
      <w:pPr>
        <w:pStyle w:val="ListParagraph"/>
        <w:ind w:left="0"/>
      </w:pPr>
    </w:p>
    <w:p w14:paraId="1F1117CF" w14:textId="77777777" w:rsidR="00103975" w:rsidRDefault="00140088" w:rsidP="002251F3">
      <w:pPr>
        <w:pStyle w:val="ListParagraph"/>
        <w:numPr>
          <w:ilvl w:val="1"/>
          <w:numId w:val="14"/>
        </w:numPr>
        <w:ind w:left="0" w:firstLine="0"/>
      </w:pPr>
      <w:r w:rsidRPr="00F133CB">
        <w:t xml:space="preserve">Prior to </w:t>
      </w:r>
      <w:r w:rsidR="00103975">
        <w:t xml:space="preserve">the </w:t>
      </w:r>
      <w:r w:rsidRPr="00F133CB">
        <w:t xml:space="preserve">processing, place sample(s) in 100% rapid </w:t>
      </w:r>
      <w:proofErr w:type="spellStart"/>
      <w:r w:rsidRPr="00F133CB">
        <w:t>decalcifier</w:t>
      </w:r>
      <w:proofErr w:type="spellEnd"/>
      <w:r w:rsidRPr="00F133CB">
        <w:t xml:space="preserve"> solution for 15-20 min at room temperature. Make sure to use a nonmetal container and to check sample(s) throughout incubation to prevent over</w:t>
      </w:r>
      <w:r w:rsidR="00103975">
        <w:t xml:space="preserve"> </w:t>
      </w:r>
      <w:r w:rsidRPr="00F133CB">
        <w:t xml:space="preserve">decalcification. If sample tissue looks heavily degraded, place sample in water or at 4 °C to slow down the decalcification process. </w:t>
      </w:r>
    </w:p>
    <w:p w14:paraId="637426A0" w14:textId="77777777" w:rsidR="00103975" w:rsidRDefault="00103975" w:rsidP="002251F3">
      <w:pPr>
        <w:pStyle w:val="ListParagraph"/>
        <w:ind w:left="0"/>
      </w:pPr>
    </w:p>
    <w:p w14:paraId="0BDDAF7E" w14:textId="77777777" w:rsidR="00103975" w:rsidRDefault="00140088" w:rsidP="002251F3">
      <w:pPr>
        <w:pStyle w:val="ListParagraph"/>
        <w:numPr>
          <w:ilvl w:val="1"/>
          <w:numId w:val="14"/>
        </w:numPr>
        <w:ind w:left="0" w:firstLine="0"/>
      </w:pPr>
      <w:r w:rsidRPr="00F133CB">
        <w:t>Once fixed and decalcified, wash fish sample(s) with running tap water for 1 h and place it into processor cassette(s). If there is more than one sample, separate each into its own cassette.</w:t>
      </w:r>
    </w:p>
    <w:p w14:paraId="11E2F36A" w14:textId="77777777" w:rsidR="00103975" w:rsidRDefault="00103975" w:rsidP="002251F3">
      <w:pPr>
        <w:pStyle w:val="ListParagraph"/>
        <w:ind w:left="0"/>
      </w:pPr>
    </w:p>
    <w:p w14:paraId="3C2F9E0D" w14:textId="77777777" w:rsidR="00103975" w:rsidRDefault="00140088" w:rsidP="002251F3">
      <w:pPr>
        <w:pStyle w:val="ListParagraph"/>
        <w:numPr>
          <w:ilvl w:val="1"/>
          <w:numId w:val="14"/>
        </w:numPr>
        <w:ind w:left="0" w:firstLine="0"/>
      </w:pPr>
      <w:r w:rsidRPr="00F133CB">
        <w:t>Dehydrate and prepare</w:t>
      </w:r>
      <w:r w:rsidR="00103975">
        <w:t xml:space="preserve"> the</w:t>
      </w:r>
      <w:r w:rsidRPr="00F133CB">
        <w:t xml:space="preserve"> tissue for paraffin embedding by placing cassette(s) with fish into the tissue processor where the sample(s) </w:t>
      </w:r>
      <w:r w:rsidR="00103975">
        <w:t>are</w:t>
      </w:r>
      <w:r w:rsidRPr="00F133CB">
        <w:t xml:space="preserve"> submerged in various solutions, respectively, as follows: 70% ethanol (60 min, 40 °C), 85% ethanol (50 min, 40 °C), 95% ethanol (40 min, 40 °C)</w:t>
      </w:r>
      <w:r w:rsidRPr="00103975">
        <w:rPr>
          <w:i/>
        </w:rPr>
        <w:t xml:space="preserve"> </w:t>
      </w:r>
      <w:r w:rsidRPr="00F133CB">
        <w:t xml:space="preserve">twice, 100% ethanol (30 min, 40 °C), another fresh solution of 100% ethanol (50 min, 40 °C) twice, xylene (30 min, 40 °C), another fresh solution of xylene (50 min, 40 °C), another fresh xylene (50 min, 45 °C), paraffin (30 min, 45 °C), paraffin (20 min, 58 °C) three times. </w:t>
      </w:r>
    </w:p>
    <w:p w14:paraId="41EAC7AA" w14:textId="77777777" w:rsidR="00103975" w:rsidRDefault="00103975" w:rsidP="002251F3">
      <w:pPr>
        <w:pStyle w:val="ListParagraph"/>
        <w:ind w:left="0"/>
      </w:pPr>
    </w:p>
    <w:p w14:paraId="42E82DD8" w14:textId="77777777" w:rsidR="00103975" w:rsidRDefault="00140088" w:rsidP="002251F3">
      <w:pPr>
        <w:pStyle w:val="ListParagraph"/>
        <w:numPr>
          <w:ilvl w:val="1"/>
          <w:numId w:val="14"/>
        </w:numPr>
        <w:ind w:left="0" w:firstLine="0"/>
      </w:pPr>
      <w:r w:rsidRPr="00F133CB">
        <w:t xml:space="preserve">After the tissue is processed, unload the cassette(s) from the processor </w:t>
      </w:r>
      <w:r w:rsidR="006C3CE6" w:rsidRPr="00F133CB">
        <w:t xml:space="preserve">machine </w:t>
      </w:r>
      <w:r w:rsidRPr="00F133CB">
        <w:t>while maintaining organization of each cassette and making sure to prevent mixing up the fish samples.</w:t>
      </w:r>
    </w:p>
    <w:p w14:paraId="19046A29" w14:textId="77777777" w:rsidR="00103975" w:rsidRDefault="00103975" w:rsidP="002251F3">
      <w:pPr>
        <w:pStyle w:val="ListParagraph"/>
        <w:ind w:left="0"/>
      </w:pPr>
    </w:p>
    <w:p w14:paraId="427C91AF" w14:textId="77777777" w:rsidR="00103975" w:rsidRDefault="00140088" w:rsidP="002251F3">
      <w:pPr>
        <w:pStyle w:val="ListParagraph"/>
        <w:numPr>
          <w:ilvl w:val="1"/>
          <w:numId w:val="14"/>
        </w:numPr>
        <w:ind w:left="0" w:firstLine="0"/>
      </w:pPr>
      <w:r w:rsidRPr="00F133CB">
        <w:t>Choose the appropriate sized mold based on the size of the fish, making sure the mold will fit the entire cassette with the fish sample. Cover the bottom of the mold with liquid paraffin at 60 °C.</w:t>
      </w:r>
    </w:p>
    <w:p w14:paraId="464303AD" w14:textId="77777777" w:rsidR="00103975" w:rsidRDefault="00103975" w:rsidP="002251F3">
      <w:pPr>
        <w:pStyle w:val="ListParagraph"/>
        <w:ind w:left="0"/>
      </w:pPr>
    </w:p>
    <w:p w14:paraId="39D089FA" w14:textId="77777777" w:rsidR="00103975" w:rsidRDefault="00140088" w:rsidP="002251F3">
      <w:pPr>
        <w:pStyle w:val="ListParagraph"/>
        <w:numPr>
          <w:ilvl w:val="1"/>
          <w:numId w:val="14"/>
        </w:numPr>
        <w:ind w:left="0" w:firstLine="0"/>
      </w:pPr>
      <w:r w:rsidRPr="00F133CB">
        <w:t xml:space="preserve">Immediately place cassette with the fish on top of mold (making sure the fish is laid on its flat </w:t>
      </w:r>
      <w:r w:rsidR="006C3CE6" w:rsidRPr="00F133CB">
        <w:t>lateral side for</w:t>
      </w:r>
      <w:r w:rsidRPr="00F133CB">
        <w:t xml:space="preserve"> sagittal sections) with liquid paraffin, and finish filling</w:t>
      </w:r>
      <w:r w:rsidR="006C3CE6" w:rsidRPr="00F133CB">
        <w:t xml:space="preserve"> </w:t>
      </w:r>
      <w:r w:rsidRPr="00F133CB">
        <w:t>with paraffin to the top of the mold to completely embed the fish.</w:t>
      </w:r>
    </w:p>
    <w:p w14:paraId="5245BD27" w14:textId="77777777" w:rsidR="00103975" w:rsidRDefault="00103975" w:rsidP="002251F3">
      <w:pPr>
        <w:pStyle w:val="ListParagraph"/>
        <w:ind w:left="0"/>
      </w:pPr>
    </w:p>
    <w:p w14:paraId="0BB76D85" w14:textId="77777777" w:rsidR="00103975" w:rsidRDefault="00140088" w:rsidP="002251F3">
      <w:pPr>
        <w:pStyle w:val="ListParagraph"/>
        <w:numPr>
          <w:ilvl w:val="1"/>
          <w:numId w:val="14"/>
        </w:numPr>
        <w:ind w:left="0" w:firstLine="0"/>
      </w:pPr>
      <w:r w:rsidRPr="00F133CB">
        <w:t>Place the completed mold on the cold plate of the sectioning microtome until the paraffin is hardened.</w:t>
      </w:r>
    </w:p>
    <w:p w14:paraId="555CDD3D" w14:textId="77777777" w:rsidR="00103975" w:rsidRDefault="00103975" w:rsidP="002251F3">
      <w:pPr>
        <w:pStyle w:val="ListParagraph"/>
        <w:ind w:left="0"/>
      </w:pPr>
    </w:p>
    <w:p w14:paraId="5F6BA670" w14:textId="77777777" w:rsidR="00103975" w:rsidRDefault="00140088" w:rsidP="002251F3">
      <w:pPr>
        <w:pStyle w:val="ListParagraph"/>
        <w:numPr>
          <w:ilvl w:val="1"/>
          <w:numId w:val="14"/>
        </w:numPr>
        <w:ind w:left="0" w:firstLine="0"/>
      </w:pPr>
      <w:r w:rsidRPr="00F133CB">
        <w:t xml:space="preserve">Once the paraffin block is hard, which can be </w:t>
      </w:r>
      <w:r w:rsidR="00103975">
        <w:t>judged</w:t>
      </w:r>
      <w:r w:rsidRPr="00F133CB">
        <w:t xml:space="preserve"> by </w:t>
      </w:r>
      <w:r w:rsidR="00103975">
        <w:t>visually observing</w:t>
      </w:r>
      <w:r w:rsidRPr="00F133CB">
        <w:t xml:space="preserve"> higher opacity and a firm touch to the block, gently remove the block from the mold. Carefully scrape off any excess paraffin for the sides of the cassette.</w:t>
      </w:r>
    </w:p>
    <w:p w14:paraId="64F1ECA6" w14:textId="77777777" w:rsidR="00103975" w:rsidRDefault="00103975" w:rsidP="002251F3">
      <w:pPr>
        <w:pStyle w:val="ListParagraph"/>
        <w:ind w:left="0"/>
      </w:pPr>
    </w:p>
    <w:p w14:paraId="667CCE4C" w14:textId="77777777" w:rsidR="00103975" w:rsidRDefault="00140088" w:rsidP="002251F3">
      <w:pPr>
        <w:pStyle w:val="ListParagraph"/>
        <w:numPr>
          <w:ilvl w:val="1"/>
          <w:numId w:val="14"/>
        </w:numPr>
        <w:ind w:left="0" w:firstLine="0"/>
      </w:pPr>
      <w:r w:rsidRPr="00F133CB">
        <w:t xml:space="preserve">Section the paraffin-embedded fish block </w:t>
      </w:r>
      <w:proofErr w:type="spellStart"/>
      <w:r w:rsidRPr="00F133CB">
        <w:t>sagittally</w:t>
      </w:r>
      <w:proofErr w:type="spellEnd"/>
      <w:r w:rsidRPr="00F133CB">
        <w:t xml:space="preserve"> at 4 microns on the microtome and float the sections on a warm water bath at 40 °C containing distilled water. </w:t>
      </w:r>
    </w:p>
    <w:p w14:paraId="0DD14472" w14:textId="77777777" w:rsidR="00103975" w:rsidRDefault="00103975" w:rsidP="002251F3">
      <w:pPr>
        <w:pStyle w:val="ListParagraph"/>
        <w:ind w:left="0"/>
      </w:pPr>
    </w:p>
    <w:p w14:paraId="79E53F7E" w14:textId="54EDDF1E" w:rsidR="00140088" w:rsidRPr="00F133CB" w:rsidRDefault="00140088" w:rsidP="002251F3">
      <w:pPr>
        <w:pStyle w:val="ListParagraph"/>
        <w:numPr>
          <w:ilvl w:val="1"/>
          <w:numId w:val="14"/>
        </w:numPr>
        <w:ind w:left="0" w:firstLine="0"/>
      </w:pPr>
      <w:r w:rsidRPr="00F133CB">
        <w:t>Carefully transfer the sections onto positively charged slides and bake in oven at 60 °C for 30 min prior to staining</w:t>
      </w:r>
      <w:r w:rsidR="00103975">
        <w:t xml:space="preserve"> before proceeding to either step 6, 7, or 8. </w:t>
      </w:r>
    </w:p>
    <w:p w14:paraId="6AC1CF17" w14:textId="77777777" w:rsidR="00140088" w:rsidRPr="00F133CB" w:rsidRDefault="00140088" w:rsidP="002251F3"/>
    <w:p w14:paraId="28328B2F" w14:textId="1769AB94" w:rsidR="00140088" w:rsidRPr="00103975" w:rsidRDefault="00140088" w:rsidP="002251F3">
      <w:pPr>
        <w:pStyle w:val="ListParagraph"/>
        <w:numPr>
          <w:ilvl w:val="0"/>
          <w:numId w:val="14"/>
        </w:numPr>
        <w:rPr>
          <w:b/>
          <w:bCs/>
        </w:rPr>
      </w:pPr>
      <w:r w:rsidRPr="00103975">
        <w:rPr>
          <w:b/>
          <w:bCs/>
        </w:rPr>
        <w:t xml:space="preserve">Hematoxylin and </w:t>
      </w:r>
      <w:r w:rsidR="0054660C">
        <w:rPr>
          <w:b/>
          <w:bCs/>
        </w:rPr>
        <w:t>e</w:t>
      </w:r>
      <w:r w:rsidRPr="00103975">
        <w:rPr>
          <w:b/>
          <w:bCs/>
        </w:rPr>
        <w:t xml:space="preserve">osin (H&amp;E) </w:t>
      </w:r>
      <w:r w:rsidR="0054660C">
        <w:rPr>
          <w:b/>
          <w:bCs/>
        </w:rPr>
        <w:t>s</w:t>
      </w:r>
      <w:r w:rsidRPr="00103975">
        <w:rPr>
          <w:b/>
          <w:bCs/>
        </w:rPr>
        <w:t xml:space="preserve">taining of </w:t>
      </w:r>
      <w:r w:rsidR="0054660C">
        <w:rPr>
          <w:b/>
          <w:bCs/>
        </w:rPr>
        <w:t>p</w:t>
      </w:r>
      <w:r w:rsidRPr="00103975">
        <w:rPr>
          <w:b/>
          <w:bCs/>
        </w:rPr>
        <w:t xml:space="preserve">araffin </w:t>
      </w:r>
      <w:r w:rsidR="0054660C">
        <w:rPr>
          <w:b/>
          <w:bCs/>
        </w:rPr>
        <w:t>s</w:t>
      </w:r>
      <w:r w:rsidRPr="00103975">
        <w:rPr>
          <w:b/>
          <w:bCs/>
        </w:rPr>
        <w:t>ections for</w:t>
      </w:r>
      <w:r w:rsidR="0054660C">
        <w:rPr>
          <w:b/>
          <w:bCs/>
        </w:rPr>
        <w:t xml:space="preserve"> p</w:t>
      </w:r>
      <w:r w:rsidRPr="00103975">
        <w:rPr>
          <w:b/>
          <w:bCs/>
        </w:rPr>
        <w:t xml:space="preserve">athology </w:t>
      </w:r>
      <w:proofErr w:type="gramStart"/>
      <w:r w:rsidR="0054660C">
        <w:rPr>
          <w:b/>
          <w:bCs/>
        </w:rPr>
        <w:t>r</w:t>
      </w:r>
      <w:r w:rsidRPr="00103975">
        <w:rPr>
          <w:b/>
          <w:bCs/>
        </w:rPr>
        <w:t>eview</w:t>
      </w:r>
      <w:proofErr w:type="gramEnd"/>
    </w:p>
    <w:p w14:paraId="36125E25" w14:textId="77777777" w:rsidR="00140088" w:rsidRPr="00F133CB" w:rsidRDefault="00140088" w:rsidP="002251F3"/>
    <w:p w14:paraId="3A781982" w14:textId="7B6504A8" w:rsidR="00103975" w:rsidRDefault="00140088" w:rsidP="002251F3">
      <w:pPr>
        <w:pStyle w:val="ListParagraph"/>
        <w:numPr>
          <w:ilvl w:val="1"/>
          <w:numId w:val="14"/>
        </w:numPr>
        <w:ind w:left="0" w:firstLine="0"/>
      </w:pPr>
      <w:r w:rsidRPr="00F133CB">
        <w:t>Place slides containing pa</w:t>
      </w:r>
      <w:r w:rsidR="006C5056">
        <w:t>raffin sections from step 5</w:t>
      </w:r>
      <w:r w:rsidRPr="00F133CB">
        <w:t xml:space="preserve">.12 into a slide holder. Inside a chemical </w:t>
      </w:r>
      <w:r w:rsidRPr="00F133CB">
        <w:lastRenderedPageBreak/>
        <w:t>fume hood, deparaffinize with xylene 3 times, 5 min each. Discard solution after each use.</w:t>
      </w:r>
      <w:r w:rsidRPr="00F133CB" w:rsidDel="00EE53E9">
        <w:t xml:space="preserve"> </w:t>
      </w:r>
    </w:p>
    <w:p w14:paraId="08AA52F8" w14:textId="77777777" w:rsidR="00103975" w:rsidRDefault="00103975" w:rsidP="002251F3">
      <w:pPr>
        <w:pStyle w:val="ListParagraph"/>
        <w:ind w:left="0"/>
      </w:pPr>
    </w:p>
    <w:p w14:paraId="0F2CA923" w14:textId="77777777" w:rsidR="00103975" w:rsidRDefault="00140088" w:rsidP="002251F3">
      <w:pPr>
        <w:pStyle w:val="ListParagraph"/>
        <w:numPr>
          <w:ilvl w:val="1"/>
          <w:numId w:val="14"/>
        </w:numPr>
        <w:ind w:left="0" w:firstLine="0"/>
      </w:pPr>
      <w:r w:rsidRPr="00F133CB">
        <w:t xml:space="preserve">Rehydrate sections with 100% ethanol for 3 min, and repeat twice with fresh 100% ethanol. Replace 100% ethanol with 95% ethanol for 3 min and then, 80% ethanol for 3 min. </w:t>
      </w:r>
    </w:p>
    <w:p w14:paraId="379542D1" w14:textId="77777777" w:rsidR="00103975" w:rsidRDefault="00103975" w:rsidP="002251F3">
      <w:pPr>
        <w:pStyle w:val="ListParagraph"/>
        <w:ind w:left="0"/>
      </w:pPr>
    </w:p>
    <w:p w14:paraId="42C4D9DC" w14:textId="77777777" w:rsidR="00103975" w:rsidRDefault="00140088" w:rsidP="002251F3">
      <w:pPr>
        <w:pStyle w:val="ListParagraph"/>
        <w:numPr>
          <w:ilvl w:val="1"/>
          <w:numId w:val="14"/>
        </w:numPr>
        <w:ind w:left="0" w:firstLine="0"/>
      </w:pPr>
      <w:r w:rsidRPr="00F133CB">
        <w:t xml:space="preserve">Rinse sections with distilled water for 5 min. While the sections are washing in water, </w:t>
      </w:r>
      <w:r w:rsidR="00103975">
        <w:t xml:space="preserve">make </w:t>
      </w:r>
      <w:r w:rsidRPr="00F133CB">
        <w:t>sure to remove oxidized particles from hematoxylin by either filtering or skimming surface of hematoxylin with a lint-free wipe.</w:t>
      </w:r>
    </w:p>
    <w:p w14:paraId="6FAC5F68" w14:textId="77777777" w:rsidR="00103975" w:rsidRDefault="00103975" w:rsidP="002251F3">
      <w:pPr>
        <w:pStyle w:val="ListParagraph"/>
        <w:ind w:left="0"/>
      </w:pPr>
    </w:p>
    <w:p w14:paraId="78665078" w14:textId="77777777" w:rsidR="00103975" w:rsidRDefault="00140088" w:rsidP="002251F3">
      <w:pPr>
        <w:pStyle w:val="ListParagraph"/>
        <w:numPr>
          <w:ilvl w:val="1"/>
          <w:numId w:val="14"/>
        </w:numPr>
        <w:ind w:left="0" w:firstLine="0"/>
      </w:pPr>
      <w:r w:rsidRPr="00F133CB">
        <w:t>Blot the excess water from the slide holder with lint-free professional grade wipes, and stain</w:t>
      </w:r>
      <w:r w:rsidR="002C0EDF" w:rsidRPr="00F133CB">
        <w:t xml:space="preserve"> slides</w:t>
      </w:r>
      <w:r w:rsidRPr="00F133CB">
        <w:t xml:space="preserve"> in</w:t>
      </w:r>
      <w:r w:rsidR="007307F2" w:rsidRPr="00F133CB">
        <w:t xml:space="preserve"> 50</w:t>
      </w:r>
      <w:r w:rsidR="008C24C6" w:rsidRPr="00F133CB">
        <w:t>%</w:t>
      </w:r>
      <w:r w:rsidRPr="00F133CB">
        <w:t xml:space="preserve"> hematoxylin </w:t>
      </w:r>
      <w:r w:rsidR="007307F2" w:rsidRPr="00F133CB">
        <w:t>(</w:t>
      </w:r>
      <w:r w:rsidR="00632F20" w:rsidRPr="00F133CB">
        <w:t>1:1 dilution</w:t>
      </w:r>
      <w:r w:rsidR="007307F2" w:rsidRPr="00F133CB">
        <w:t xml:space="preserve"> with distilled water) </w:t>
      </w:r>
      <w:r w:rsidR="00D717CB" w:rsidRPr="00F133CB">
        <w:t xml:space="preserve">for </w:t>
      </w:r>
      <w:r w:rsidR="006A6F70" w:rsidRPr="00F133CB">
        <w:t>2</w:t>
      </w:r>
      <w:r w:rsidR="008C24C6" w:rsidRPr="00F133CB">
        <w:t>-</w:t>
      </w:r>
      <w:r w:rsidR="00D717CB" w:rsidRPr="00F133CB">
        <w:t>5</w:t>
      </w:r>
      <w:r w:rsidRPr="00F133CB">
        <w:t xml:space="preserve"> min</w:t>
      </w:r>
      <w:r w:rsidR="008C24C6" w:rsidRPr="00F133CB">
        <w:t xml:space="preserve"> depending on desired staining preference and reagent deterioration</w:t>
      </w:r>
      <w:r w:rsidRPr="00F133CB">
        <w:t>.</w:t>
      </w:r>
      <w:r w:rsidR="008C24C6" w:rsidRPr="00F133CB">
        <w:t xml:space="preserve"> Discard hematoxylin when solution color changes from plum to blue/brown or when staining time becomes excessive. </w:t>
      </w:r>
      <w:r w:rsidRPr="00F133CB">
        <w:t>Rinse the slides with running tap water for 20 min.</w:t>
      </w:r>
    </w:p>
    <w:p w14:paraId="56041066" w14:textId="77777777" w:rsidR="00103975" w:rsidRDefault="00103975" w:rsidP="002251F3">
      <w:pPr>
        <w:pStyle w:val="ListParagraph"/>
        <w:ind w:left="0"/>
      </w:pPr>
    </w:p>
    <w:p w14:paraId="66814D4D" w14:textId="77777777" w:rsidR="00103975" w:rsidRDefault="00140088" w:rsidP="002251F3">
      <w:pPr>
        <w:pStyle w:val="ListParagraph"/>
        <w:numPr>
          <w:ilvl w:val="1"/>
          <w:numId w:val="14"/>
        </w:numPr>
        <w:ind w:left="0" w:firstLine="0"/>
      </w:pPr>
      <w:r w:rsidRPr="00F133CB">
        <w:t>Decolorize the sections in 1% acid ethanol (3.3 mL of Hydrochloric acid with 50 mL of 70% ethanol) by quickly dipping the slides multiple times. S</w:t>
      </w:r>
      <w:r w:rsidR="002C0EDF" w:rsidRPr="00F133CB">
        <w:t>lides can be dipped up to 3 s, but t</w:t>
      </w:r>
      <w:r w:rsidRPr="00F133CB">
        <w:t>he longer the slides are dipped, the lighter the sections</w:t>
      </w:r>
      <w:r w:rsidR="002C0EDF" w:rsidRPr="00F133CB">
        <w:t xml:space="preserve"> become</w:t>
      </w:r>
      <w:r w:rsidRPr="00F133CB">
        <w:t>.</w:t>
      </w:r>
    </w:p>
    <w:p w14:paraId="40798879" w14:textId="77777777" w:rsidR="00103975" w:rsidRDefault="00103975" w:rsidP="002251F3">
      <w:pPr>
        <w:pStyle w:val="ListParagraph"/>
        <w:ind w:left="0"/>
      </w:pPr>
    </w:p>
    <w:p w14:paraId="029B891F" w14:textId="77777777" w:rsidR="00103975" w:rsidRDefault="00140088" w:rsidP="002251F3">
      <w:pPr>
        <w:pStyle w:val="ListParagraph"/>
        <w:numPr>
          <w:ilvl w:val="1"/>
          <w:numId w:val="14"/>
        </w:numPr>
        <w:ind w:left="0" w:firstLine="0"/>
      </w:pPr>
      <w:r w:rsidRPr="00F133CB">
        <w:t xml:space="preserve">Rinse the slides in tap water twice for 1 min each, and once with deionized water. </w:t>
      </w:r>
      <w:r w:rsidR="002C0EDF" w:rsidRPr="00F133CB">
        <w:t>As an option, s</w:t>
      </w:r>
      <w:r w:rsidRPr="00F133CB">
        <w:t>lides can be left overnight at this stage, soaking in water.</w:t>
      </w:r>
    </w:p>
    <w:p w14:paraId="5BF71541" w14:textId="77777777" w:rsidR="00103975" w:rsidRDefault="00103975" w:rsidP="002251F3">
      <w:pPr>
        <w:pStyle w:val="ListParagraph"/>
        <w:ind w:left="0"/>
      </w:pPr>
    </w:p>
    <w:p w14:paraId="70A17255" w14:textId="77777777" w:rsidR="00103975" w:rsidRDefault="00140088" w:rsidP="002251F3">
      <w:pPr>
        <w:pStyle w:val="ListParagraph"/>
        <w:numPr>
          <w:ilvl w:val="1"/>
          <w:numId w:val="14"/>
        </w:numPr>
        <w:ind w:left="0" w:firstLine="0"/>
      </w:pPr>
      <w:r w:rsidRPr="00F133CB">
        <w:t>Immerse the sections in 1.36% lithium carbonate solution (47 g lithium carb</w:t>
      </w:r>
      <w:r w:rsidR="002C0EDF" w:rsidRPr="00F133CB">
        <w:t>onate, 3500 mL water) for 3 s. M</w:t>
      </w:r>
      <w:r w:rsidRPr="00F133CB">
        <w:t>ak</w:t>
      </w:r>
      <w:r w:rsidR="002C0EDF" w:rsidRPr="00F133CB">
        <w:t>e sure not to over incubate the sections since t</w:t>
      </w:r>
      <w:r w:rsidRPr="00F133CB">
        <w:t>he longer the time in lithium carbonate solution, the more likely the tissue will float.</w:t>
      </w:r>
    </w:p>
    <w:p w14:paraId="1E76D38B" w14:textId="77777777" w:rsidR="00103975" w:rsidRDefault="00103975" w:rsidP="002251F3">
      <w:pPr>
        <w:pStyle w:val="ListParagraph"/>
        <w:ind w:left="0"/>
      </w:pPr>
    </w:p>
    <w:p w14:paraId="287BEABC" w14:textId="77777777" w:rsidR="00103975" w:rsidRDefault="00140088" w:rsidP="002251F3">
      <w:pPr>
        <w:pStyle w:val="ListParagraph"/>
        <w:numPr>
          <w:ilvl w:val="1"/>
          <w:numId w:val="14"/>
        </w:numPr>
        <w:ind w:left="0" w:firstLine="0"/>
      </w:pPr>
      <w:r w:rsidRPr="00F133CB">
        <w:t>Rinse the sections in tap water for 5 min, and blot the excess water from the slide holder with lint-free professional grade wipes.</w:t>
      </w:r>
    </w:p>
    <w:p w14:paraId="4EFD0776" w14:textId="77777777" w:rsidR="00103975" w:rsidRDefault="00103975" w:rsidP="002251F3">
      <w:pPr>
        <w:pStyle w:val="ListParagraph"/>
        <w:ind w:left="0"/>
      </w:pPr>
    </w:p>
    <w:p w14:paraId="60CD9C0F" w14:textId="77777777" w:rsidR="00103975" w:rsidRDefault="00140088" w:rsidP="002251F3">
      <w:pPr>
        <w:pStyle w:val="ListParagraph"/>
        <w:numPr>
          <w:ilvl w:val="1"/>
          <w:numId w:val="14"/>
        </w:numPr>
        <w:ind w:left="0" w:firstLine="0"/>
      </w:pPr>
      <w:r w:rsidRPr="00F133CB">
        <w:t xml:space="preserve">Counterstain the slides in </w:t>
      </w:r>
      <w:r w:rsidR="008C24C6" w:rsidRPr="00F133CB">
        <w:t xml:space="preserve">100% ready-to-use eosin </w:t>
      </w:r>
      <w:r w:rsidRPr="00F133CB">
        <w:t xml:space="preserve">for 15-30 s, and immediately dehydrate with 95% ethanol twice for 5 min each. Replace with 100% ethanol twice for 5 min each, discarding the solutions after each use. </w:t>
      </w:r>
    </w:p>
    <w:p w14:paraId="26E91606" w14:textId="77777777" w:rsidR="00103975" w:rsidRDefault="00103975" w:rsidP="002251F3">
      <w:pPr>
        <w:pStyle w:val="ListParagraph"/>
        <w:ind w:left="0"/>
      </w:pPr>
    </w:p>
    <w:p w14:paraId="5250AAB2" w14:textId="77777777" w:rsidR="00103975" w:rsidRDefault="00140088" w:rsidP="002251F3">
      <w:pPr>
        <w:pStyle w:val="ListParagraph"/>
        <w:numPr>
          <w:ilvl w:val="1"/>
          <w:numId w:val="14"/>
        </w:numPr>
        <w:ind w:left="0" w:firstLine="0"/>
      </w:pPr>
      <w:r w:rsidRPr="00F133CB">
        <w:t xml:space="preserve">Clear the sections in xylene for 15 min and repeat twice for 3 times in total. </w:t>
      </w:r>
      <w:r w:rsidR="002C0EDF" w:rsidRPr="00F133CB">
        <w:t>Optionally, t</w:t>
      </w:r>
      <w:r w:rsidRPr="00F133CB">
        <w:t xml:space="preserve">he slides can be left in xylene overnight </w:t>
      </w:r>
      <w:r w:rsidR="002C0EDF" w:rsidRPr="00F133CB">
        <w:t xml:space="preserve">at room temperature </w:t>
      </w:r>
      <w:r w:rsidRPr="00F133CB">
        <w:t>to better clear excess water.</w:t>
      </w:r>
    </w:p>
    <w:p w14:paraId="7E5FF336" w14:textId="77777777" w:rsidR="00103975" w:rsidRDefault="00103975" w:rsidP="002251F3">
      <w:pPr>
        <w:pStyle w:val="ListParagraph"/>
        <w:ind w:left="0"/>
      </w:pPr>
    </w:p>
    <w:p w14:paraId="4FDD19FA" w14:textId="77777777" w:rsidR="00103975" w:rsidRDefault="00140088" w:rsidP="002251F3">
      <w:pPr>
        <w:pStyle w:val="ListParagraph"/>
        <w:numPr>
          <w:ilvl w:val="1"/>
          <w:numId w:val="14"/>
        </w:numPr>
        <w:ind w:left="0" w:firstLine="0"/>
      </w:pPr>
      <w:r w:rsidRPr="00F133CB">
        <w:t>Allow the slides to air dry in the chemical fume hood and then mount a cover slip using mounting medium</w:t>
      </w:r>
      <w:r w:rsidR="002C0EDF" w:rsidRPr="00F133CB">
        <w:t xml:space="preserve"> to seal tissue sample</w:t>
      </w:r>
      <w:r w:rsidRPr="00F133CB">
        <w:t xml:space="preserve">. </w:t>
      </w:r>
    </w:p>
    <w:p w14:paraId="158719A2" w14:textId="77777777" w:rsidR="00103975" w:rsidRDefault="00103975" w:rsidP="002251F3">
      <w:pPr>
        <w:pStyle w:val="ListParagraph"/>
        <w:ind w:left="0"/>
      </w:pPr>
    </w:p>
    <w:p w14:paraId="0AC29A0F" w14:textId="562E78CC" w:rsidR="00140088" w:rsidRPr="00F133CB" w:rsidRDefault="00140088" w:rsidP="002251F3">
      <w:pPr>
        <w:pStyle w:val="ListParagraph"/>
        <w:numPr>
          <w:ilvl w:val="1"/>
          <w:numId w:val="14"/>
        </w:numPr>
        <w:ind w:left="0" w:firstLine="0"/>
      </w:pPr>
      <w:r w:rsidRPr="00F133CB">
        <w:t xml:space="preserve">Visualize and image the stained tissue sections under microscopy. Carefully examine the tumors at </w:t>
      </w:r>
      <w:r w:rsidR="002C0EDF" w:rsidRPr="00F133CB">
        <w:t xml:space="preserve">the </w:t>
      </w:r>
      <w:r w:rsidRPr="00F133CB">
        <w:t>primary site (the interrenal gland region in head kidney) and the distant sporadic metastases in other tissues and organs</w:t>
      </w:r>
      <w:r w:rsidR="002C0EDF" w:rsidRPr="00F133CB">
        <w:t xml:space="preserve"> of the fish</w:t>
      </w:r>
      <w:r w:rsidRPr="00F133CB">
        <w:t xml:space="preserve">. </w:t>
      </w:r>
      <w:r w:rsidR="002C0EDF" w:rsidRPr="00F133CB">
        <w:t xml:space="preserve">Send out stained slides for tissue sections to be reviewed by pathologists. </w:t>
      </w:r>
      <w:r w:rsidRPr="00F133CB">
        <w:t xml:space="preserve">Based on the fish model’s similar pathological features to human neuroblastoma, expect the tumors that arose in </w:t>
      </w:r>
      <w:r w:rsidRPr="00103975">
        <w:rPr>
          <w:i/>
        </w:rPr>
        <w:t>MYCN</w:t>
      </w:r>
      <w:r w:rsidRPr="00F133CB">
        <w:t xml:space="preserve">-only or </w:t>
      </w:r>
      <w:proofErr w:type="gramStart"/>
      <w:r w:rsidRPr="00103975">
        <w:rPr>
          <w:i/>
        </w:rPr>
        <w:t>MYCN;LMO</w:t>
      </w:r>
      <w:proofErr w:type="gramEnd"/>
      <w:r w:rsidRPr="00103975">
        <w:rPr>
          <w:i/>
        </w:rPr>
        <w:t>1</w:t>
      </w:r>
      <w:r w:rsidRPr="00F133CB">
        <w:t xml:space="preserve"> fish to be first </w:t>
      </w:r>
      <w:r w:rsidRPr="00F133CB">
        <w:lastRenderedPageBreak/>
        <w:t>diagnosed as neuroblastoma by pathologists.</w:t>
      </w:r>
    </w:p>
    <w:p w14:paraId="669CE513" w14:textId="77777777" w:rsidR="00140088" w:rsidRPr="004942A0" w:rsidRDefault="00140088" w:rsidP="002251F3">
      <w:pPr>
        <w:rPr>
          <w:b/>
          <w:bCs/>
        </w:rPr>
      </w:pPr>
    </w:p>
    <w:p w14:paraId="2C0CE983" w14:textId="3039424D" w:rsidR="00140088" w:rsidRPr="004942A0" w:rsidRDefault="00140088" w:rsidP="002251F3">
      <w:pPr>
        <w:pStyle w:val="ListParagraph"/>
        <w:numPr>
          <w:ilvl w:val="0"/>
          <w:numId w:val="14"/>
        </w:numPr>
        <w:rPr>
          <w:b/>
          <w:bCs/>
        </w:rPr>
      </w:pPr>
      <w:r w:rsidRPr="004942A0">
        <w:rPr>
          <w:b/>
          <w:bCs/>
        </w:rPr>
        <w:t xml:space="preserve">Immunohistochemical Analysis (IHC) with </w:t>
      </w:r>
      <w:r w:rsidR="0054660C">
        <w:rPr>
          <w:b/>
          <w:bCs/>
        </w:rPr>
        <w:t>a</w:t>
      </w:r>
      <w:r w:rsidRPr="004942A0">
        <w:rPr>
          <w:b/>
          <w:bCs/>
        </w:rPr>
        <w:t>ntibodies against NB</w:t>
      </w:r>
      <w:r w:rsidRPr="004942A0" w:rsidDel="0088778A">
        <w:rPr>
          <w:b/>
          <w:bCs/>
        </w:rPr>
        <w:t xml:space="preserve"> </w:t>
      </w:r>
      <w:r w:rsidR="0054660C">
        <w:rPr>
          <w:b/>
          <w:bCs/>
        </w:rPr>
        <w:t>m</w:t>
      </w:r>
      <w:r w:rsidRPr="004942A0">
        <w:rPr>
          <w:b/>
          <w:bCs/>
        </w:rPr>
        <w:t xml:space="preserve">arker and </w:t>
      </w:r>
      <w:r w:rsidR="0054660C">
        <w:rPr>
          <w:b/>
          <w:bCs/>
        </w:rPr>
        <w:t>o</w:t>
      </w:r>
      <w:r w:rsidRPr="004942A0">
        <w:rPr>
          <w:b/>
          <w:bCs/>
        </w:rPr>
        <w:t xml:space="preserve">verexpressed </w:t>
      </w:r>
      <w:r w:rsidR="0054660C">
        <w:rPr>
          <w:b/>
          <w:bCs/>
        </w:rPr>
        <w:t>t</w:t>
      </w:r>
      <w:r w:rsidRPr="004942A0">
        <w:rPr>
          <w:b/>
          <w:bCs/>
        </w:rPr>
        <w:t xml:space="preserve">ransgenes to </w:t>
      </w:r>
      <w:r w:rsidR="0054660C">
        <w:rPr>
          <w:b/>
          <w:bCs/>
        </w:rPr>
        <w:t>f</w:t>
      </w:r>
      <w:r w:rsidRPr="004942A0">
        <w:rPr>
          <w:b/>
          <w:bCs/>
        </w:rPr>
        <w:t xml:space="preserve">urther </w:t>
      </w:r>
      <w:r w:rsidR="0054660C">
        <w:rPr>
          <w:b/>
          <w:bCs/>
        </w:rPr>
        <w:t>c</w:t>
      </w:r>
      <w:r w:rsidRPr="004942A0">
        <w:rPr>
          <w:b/>
          <w:bCs/>
        </w:rPr>
        <w:t xml:space="preserve">onfirm the </w:t>
      </w:r>
      <w:r w:rsidR="0054660C">
        <w:rPr>
          <w:b/>
          <w:bCs/>
        </w:rPr>
        <w:t>s</w:t>
      </w:r>
      <w:r w:rsidRPr="004942A0">
        <w:rPr>
          <w:b/>
          <w:bCs/>
        </w:rPr>
        <w:t xml:space="preserve">pread of </w:t>
      </w:r>
      <w:r w:rsidR="0054660C">
        <w:rPr>
          <w:b/>
          <w:bCs/>
        </w:rPr>
        <w:t>t</w:t>
      </w:r>
      <w:r w:rsidRPr="004942A0">
        <w:rPr>
          <w:b/>
          <w:bCs/>
        </w:rPr>
        <w:t xml:space="preserve">umor and </w:t>
      </w:r>
      <w:r w:rsidR="0054660C">
        <w:rPr>
          <w:b/>
          <w:bCs/>
        </w:rPr>
        <w:t>t</w:t>
      </w:r>
      <w:r w:rsidRPr="004942A0">
        <w:rPr>
          <w:b/>
          <w:bCs/>
        </w:rPr>
        <w:t xml:space="preserve">heir </w:t>
      </w:r>
      <w:r w:rsidR="0054660C">
        <w:rPr>
          <w:b/>
          <w:bCs/>
        </w:rPr>
        <w:t>s</w:t>
      </w:r>
      <w:r w:rsidRPr="004942A0">
        <w:rPr>
          <w:b/>
          <w:bCs/>
        </w:rPr>
        <w:t xml:space="preserve">ympathoadrenal </w:t>
      </w:r>
      <w:r w:rsidR="0054660C">
        <w:rPr>
          <w:b/>
          <w:bCs/>
        </w:rPr>
        <w:t>li</w:t>
      </w:r>
      <w:r w:rsidRPr="004942A0">
        <w:rPr>
          <w:b/>
          <w:bCs/>
        </w:rPr>
        <w:t xml:space="preserve">neage </w:t>
      </w:r>
      <w:proofErr w:type="gramStart"/>
      <w:r w:rsidR="0054660C">
        <w:rPr>
          <w:b/>
          <w:bCs/>
        </w:rPr>
        <w:t>p</w:t>
      </w:r>
      <w:r w:rsidRPr="004942A0">
        <w:rPr>
          <w:b/>
          <w:bCs/>
        </w:rPr>
        <w:t>roperty</w:t>
      </w:r>
      <w:proofErr w:type="gramEnd"/>
      <w:r w:rsidRPr="004942A0">
        <w:rPr>
          <w:b/>
          <w:bCs/>
        </w:rPr>
        <w:t xml:space="preserve"> </w:t>
      </w:r>
    </w:p>
    <w:p w14:paraId="066717BE" w14:textId="77777777" w:rsidR="00140088" w:rsidRPr="00B60680" w:rsidRDefault="00140088" w:rsidP="002251F3"/>
    <w:p w14:paraId="3C067CA3" w14:textId="0AAB6681" w:rsidR="00140088" w:rsidRPr="00B60680" w:rsidRDefault="00140088" w:rsidP="002251F3">
      <w:pPr>
        <w:pStyle w:val="ListParagraph"/>
        <w:numPr>
          <w:ilvl w:val="1"/>
          <w:numId w:val="14"/>
        </w:numPr>
        <w:ind w:left="0" w:firstLine="0"/>
        <w:rPr>
          <w:b/>
          <w:bCs/>
        </w:rPr>
      </w:pPr>
      <w:r w:rsidRPr="00B60680">
        <w:t xml:space="preserve">Staining </w:t>
      </w:r>
      <w:r w:rsidR="004942A0" w:rsidRPr="00B60680">
        <w:t>w</w:t>
      </w:r>
      <w:r w:rsidRPr="00B60680">
        <w:t xml:space="preserve">ith </w:t>
      </w:r>
      <w:r w:rsidR="004942A0" w:rsidRPr="00B60680">
        <w:t>f</w:t>
      </w:r>
      <w:r w:rsidRPr="00B60680">
        <w:t xml:space="preserve">ully </w:t>
      </w:r>
      <w:r w:rsidR="004942A0" w:rsidRPr="00B60680">
        <w:t>a</w:t>
      </w:r>
      <w:r w:rsidRPr="00B60680">
        <w:t xml:space="preserve">utomatic </w:t>
      </w:r>
      <w:r w:rsidR="004942A0" w:rsidRPr="00B60680">
        <w:t>s</w:t>
      </w:r>
      <w:r w:rsidRPr="00B60680">
        <w:t xml:space="preserve">taining </w:t>
      </w:r>
      <w:r w:rsidR="004942A0" w:rsidRPr="00B60680">
        <w:t>s</w:t>
      </w:r>
      <w:r w:rsidRPr="00B60680">
        <w:t>ystem</w:t>
      </w:r>
    </w:p>
    <w:p w14:paraId="5FE83DEC" w14:textId="77777777" w:rsidR="00140088" w:rsidRPr="00F133CB" w:rsidRDefault="00140088" w:rsidP="002251F3"/>
    <w:p w14:paraId="04344CDC" w14:textId="6740A722" w:rsidR="004942A0" w:rsidRDefault="00140088" w:rsidP="002251F3">
      <w:pPr>
        <w:pStyle w:val="ListParagraph"/>
        <w:numPr>
          <w:ilvl w:val="2"/>
          <w:numId w:val="14"/>
        </w:numPr>
        <w:ind w:left="0" w:firstLine="0"/>
      </w:pPr>
      <w:r w:rsidRPr="00F133CB">
        <w:t>To better compare the IHC result with that of H&amp;E staining, select adjacent</w:t>
      </w:r>
      <w:r w:rsidRPr="00F133CB" w:rsidDel="00E16CBC">
        <w:t xml:space="preserve"> </w:t>
      </w:r>
      <w:r w:rsidR="006C5056">
        <w:t>slides from step 5</w:t>
      </w:r>
      <w:r w:rsidRPr="00F133CB">
        <w:t xml:space="preserve">.12 for </w:t>
      </w:r>
      <w:r w:rsidR="00E11526" w:rsidRPr="00F133CB">
        <w:t xml:space="preserve">IHC </w:t>
      </w:r>
      <w:r w:rsidRPr="00F133CB">
        <w:t xml:space="preserve">staining. </w:t>
      </w:r>
    </w:p>
    <w:p w14:paraId="20FC9662" w14:textId="77777777" w:rsidR="004942A0" w:rsidRDefault="004942A0" w:rsidP="002251F3"/>
    <w:p w14:paraId="6B9C763A" w14:textId="02D578FA" w:rsidR="00140088" w:rsidRPr="00F133CB" w:rsidRDefault="00140088" w:rsidP="002251F3">
      <w:r w:rsidRPr="00F133CB">
        <w:t>N</w:t>
      </w:r>
      <w:r w:rsidR="0054660C">
        <w:t>OTE</w:t>
      </w:r>
      <w:r w:rsidRPr="00F133CB">
        <w:t>: Although an automated staining system allows for faster and less laborious results, a manual protocol for IHC staining can be used in the absence of such by referring to steps of subsectio</w:t>
      </w:r>
      <w:r w:rsidR="006C5056">
        <w:t>n 7</w:t>
      </w:r>
      <w:r w:rsidRPr="00F133CB">
        <w:t>.2.</w:t>
      </w:r>
    </w:p>
    <w:p w14:paraId="6C7073B2" w14:textId="77777777" w:rsidR="00140088" w:rsidRPr="00F133CB" w:rsidRDefault="00140088" w:rsidP="002251F3"/>
    <w:p w14:paraId="33BAA2B2" w14:textId="77777777" w:rsidR="004942A0" w:rsidRDefault="00140088" w:rsidP="002251F3">
      <w:pPr>
        <w:pStyle w:val="ListParagraph"/>
        <w:numPr>
          <w:ilvl w:val="2"/>
          <w:numId w:val="14"/>
        </w:numPr>
        <w:ind w:left="0" w:firstLine="0"/>
      </w:pPr>
      <w:r w:rsidRPr="00F133CB">
        <w:t>Dilute the primary antibody against tyrosine hydroxylase (TH) (1:500)</w:t>
      </w:r>
      <w:r w:rsidR="00A00A1C" w:rsidRPr="00F133CB">
        <w:t>, a neuroblastoma marker,</w:t>
      </w:r>
      <w:r w:rsidRPr="00F133CB">
        <w:t xml:space="preserve"> based on desired concentration and total amount needed with the automated system’s corresponding Primary Antibody Diluent. </w:t>
      </w:r>
    </w:p>
    <w:p w14:paraId="6667DE56" w14:textId="77777777" w:rsidR="004942A0" w:rsidRDefault="004942A0" w:rsidP="002251F3">
      <w:pPr>
        <w:pStyle w:val="ListParagraph"/>
        <w:ind w:left="0"/>
      </w:pPr>
    </w:p>
    <w:p w14:paraId="27ABC156" w14:textId="42433C07" w:rsidR="004942A0" w:rsidRDefault="00140088" w:rsidP="002251F3">
      <w:pPr>
        <w:pStyle w:val="ListParagraph"/>
        <w:ind w:left="0"/>
      </w:pPr>
      <w:r w:rsidRPr="00F133CB">
        <w:t>N</w:t>
      </w:r>
      <w:r w:rsidR="004942A0">
        <w:t>OTE</w:t>
      </w:r>
      <w:r w:rsidRPr="00F133CB">
        <w:t>: Optimal antibody concentrations may vary depending on antibody and tissue.</w:t>
      </w:r>
    </w:p>
    <w:p w14:paraId="57885225" w14:textId="77777777" w:rsidR="004942A0" w:rsidRDefault="004942A0" w:rsidP="002251F3">
      <w:pPr>
        <w:pStyle w:val="ListParagraph"/>
        <w:ind w:left="0"/>
      </w:pPr>
    </w:p>
    <w:p w14:paraId="67A74AAD" w14:textId="77777777" w:rsidR="004942A0" w:rsidRDefault="00140088" w:rsidP="002251F3">
      <w:pPr>
        <w:pStyle w:val="ListParagraph"/>
        <w:numPr>
          <w:ilvl w:val="2"/>
          <w:numId w:val="14"/>
        </w:numPr>
        <w:ind w:left="0" w:firstLine="0"/>
      </w:pPr>
      <w:r w:rsidRPr="00F133CB">
        <w:t>Since the automated system uses onboard heat-induced antigen retrieval with epitope retrieval solution for 20 min and the system’s corresponding detection reagent, ensure the parameters for the machine are set as: Peroxidase Blocking, 5</w:t>
      </w:r>
      <w:r w:rsidR="004942A0">
        <w:t xml:space="preserve"> </w:t>
      </w:r>
      <w:r w:rsidRPr="00F133CB">
        <w:t xml:space="preserve">min; Primary antibody with desired concentration, 15 min; biotinylated anti-rabbit IgG secondary antibody (1:500), 8 min; Streptavidin HRP, 8 min; mixed DAB intense substrate, 5 min; and Hematoxylin, 5 min.  </w:t>
      </w:r>
    </w:p>
    <w:p w14:paraId="294AE6F6" w14:textId="77777777" w:rsidR="004942A0" w:rsidRDefault="004942A0" w:rsidP="002251F3">
      <w:pPr>
        <w:pStyle w:val="ListParagraph"/>
        <w:ind w:left="0"/>
      </w:pPr>
    </w:p>
    <w:p w14:paraId="04559749" w14:textId="77777777" w:rsidR="004942A0" w:rsidRDefault="00140088" w:rsidP="002251F3">
      <w:pPr>
        <w:pStyle w:val="ListParagraph"/>
        <w:numPr>
          <w:ilvl w:val="2"/>
          <w:numId w:val="14"/>
        </w:numPr>
        <w:ind w:left="0" w:firstLine="0"/>
      </w:pPr>
      <w:r w:rsidRPr="00F133CB">
        <w:t xml:space="preserve">Once the settings are set, place the antibody tray into the machine. Set up the slides by creating a new case, which will label the slides. The machine is now loaded and ready to run (dewaxing, staining, and counterstaining). </w:t>
      </w:r>
    </w:p>
    <w:p w14:paraId="6F37B21D" w14:textId="77777777" w:rsidR="004942A0" w:rsidRDefault="004942A0" w:rsidP="002251F3">
      <w:pPr>
        <w:pStyle w:val="ListParagraph"/>
        <w:ind w:left="0"/>
      </w:pPr>
    </w:p>
    <w:p w14:paraId="45B16DB6" w14:textId="77777777" w:rsidR="004942A0" w:rsidRDefault="00140088" w:rsidP="002251F3">
      <w:pPr>
        <w:pStyle w:val="ListParagraph"/>
        <w:numPr>
          <w:ilvl w:val="2"/>
          <w:numId w:val="14"/>
        </w:numPr>
        <w:ind w:left="0" w:firstLine="0"/>
      </w:pPr>
      <w:r w:rsidRPr="00F133CB">
        <w:t xml:space="preserve">Once the slides are dewaxed, stained, and counterstained using the automated machine, dehydrate the slides in ethanol gradients of 70%, 95%, and 100% for 5 min each. Submerge slides of sections in 100% </w:t>
      </w:r>
      <w:r w:rsidR="00B274A8" w:rsidRPr="00F133CB">
        <w:t xml:space="preserve">fresh </w:t>
      </w:r>
      <w:r w:rsidRPr="00F133CB">
        <w:t xml:space="preserve">ethanol again for 5 min. </w:t>
      </w:r>
    </w:p>
    <w:p w14:paraId="39C16DB6" w14:textId="77777777" w:rsidR="004942A0" w:rsidRDefault="004942A0" w:rsidP="002251F3">
      <w:pPr>
        <w:pStyle w:val="ListParagraph"/>
        <w:ind w:left="0"/>
      </w:pPr>
    </w:p>
    <w:p w14:paraId="6D4A6DAA" w14:textId="77777777" w:rsidR="004942A0" w:rsidRDefault="00140088" w:rsidP="002251F3">
      <w:pPr>
        <w:pStyle w:val="ListParagraph"/>
        <w:numPr>
          <w:ilvl w:val="2"/>
          <w:numId w:val="14"/>
        </w:numPr>
        <w:ind w:left="0" w:firstLine="0"/>
      </w:pPr>
      <w:r w:rsidRPr="00F133CB">
        <w:t>Clear the sections in xylene for 5 min, twice</w:t>
      </w:r>
      <w:r w:rsidR="00E11526" w:rsidRPr="00F133CB">
        <w:t>, or leave slides in</w:t>
      </w:r>
      <w:r w:rsidRPr="00F133CB">
        <w:t xml:space="preserve"> xylene overnight to better clear exces</w:t>
      </w:r>
      <w:r w:rsidR="00E11526" w:rsidRPr="00F133CB">
        <w:t>s water.</w:t>
      </w:r>
    </w:p>
    <w:p w14:paraId="7C909814" w14:textId="77777777" w:rsidR="004942A0" w:rsidRDefault="004942A0" w:rsidP="002251F3">
      <w:pPr>
        <w:pStyle w:val="ListParagraph"/>
        <w:ind w:left="0"/>
      </w:pPr>
    </w:p>
    <w:p w14:paraId="48F650C1" w14:textId="77777777" w:rsidR="004942A0" w:rsidRDefault="00140088" w:rsidP="002251F3">
      <w:pPr>
        <w:pStyle w:val="ListParagraph"/>
        <w:numPr>
          <w:ilvl w:val="2"/>
          <w:numId w:val="14"/>
        </w:numPr>
        <w:ind w:left="0" w:firstLine="0"/>
      </w:pPr>
      <w:r w:rsidRPr="00F133CB">
        <w:t>Allow the slides to air dry in the chemical fume hood and then mount a cover slip using a mounting medium. Visualize and image the stained tissue sections with microscopy.</w:t>
      </w:r>
    </w:p>
    <w:p w14:paraId="78C1B50C" w14:textId="77777777" w:rsidR="004942A0" w:rsidRDefault="004942A0" w:rsidP="002251F3">
      <w:pPr>
        <w:pStyle w:val="ListParagraph"/>
        <w:ind w:left="0"/>
      </w:pPr>
    </w:p>
    <w:p w14:paraId="7E7F5D9E" w14:textId="3B0F1AC2" w:rsidR="004942A0" w:rsidRDefault="00140088" w:rsidP="002251F3">
      <w:pPr>
        <w:pStyle w:val="ListParagraph"/>
        <w:numPr>
          <w:ilvl w:val="2"/>
          <w:numId w:val="14"/>
        </w:numPr>
        <w:ind w:left="0" w:firstLine="0"/>
      </w:pPr>
      <w:r w:rsidRPr="00F133CB">
        <w:t>To firmly confirm metastasis in the fish model, compare the slides stained with antibodies against ne</w:t>
      </w:r>
      <w:r w:rsidR="006C5056">
        <w:t>uroblastoma marker from step 7</w:t>
      </w:r>
      <w:r w:rsidRPr="00F133CB">
        <w:t xml:space="preserve"> to th</w:t>
      </w:r>
      <w:r w:rsidR="006C5056">
        <w:t>ose stained by H&amp;E from step 6</w:t>
      </w:r>
      <w:r w:rsidRPr="00F133CB">
        <w:t xml:space="preserve">. </w:t>
      </w:r>
    </w:p>
    <w:p w14:paraId="2047318F" w14:textId="77777777" w:rsidR="004942A0" w:rsidRDefault="004942A0" w:rsidP="002251F3">
      <w:pPr>
        <w:pStyle w:val="ListParagraph"/>
        <w:ind w:left="0"/>
      </w:pPr>
    </w:p>
    <w:p w14:paraId="6AFE00E0" w14:textId="4C9DF53A" w:rsidR="00140088" w:rsidRPr="00F133CB" w:rsidRDefault="004942A0" w:rsidP="002251F3">
      <w:pPr>
        <w:pStyle w:val="ListParagraph"/>
        <w:ind w:left="0"/>
      </w:pPr>
      <w:r>
        <w:t xml:space="preserve">NOTE: </w:t>
      </w:r>
      <w:r w:rsidR="00140088" w:rsidRPr="00F133CB">
        <w:t xml:space="preserve">Expect to see positive staining for neuroblastoma marker, TH, in all tumor cells identified </w:t>
      </w:r>
      <w:r w:rsidR="00140088" w:rsidRPr="00F133CB">
        <w:lastRenderedPageBreak/>
        <w:t>by H&amp;E staining. Also expect no positive staining for TH in</w:t>
      </w:r>
      <w:r w:rsidR="00A00A1C" w:rsidRPr="00F133CB">
        <w:t xml:space="preserve"> adjacent</w:t>
      </w:r>
      <w:r w:rsidR="00140088" w:rsidRPr="00F133CB">
        <w:t xml:space="preserve"> tissues where the metastatic tumors were identified in </w:t>
      </w:r>
      <w:r w:rsidR="00140088" w:rsidRPr="004942A0">
        <w:rPr>
          <w:i/>
        </w:rPr>
        <w:t>LMO</w:t>
      </w:r>
      <w:proofErr w:type="gramStart"/>
      <w:r w:rsidR="00140088" w:rsidRPr="004942A0">
        <w:rPr>
          <w:i/>
        </w:rPr>
        <w:t>1;MYCN</w:t>
      </w:r>
      <w:proofErr w:type="gramEnd"/>
      <w:r w:rsidR="00E11526" w:rsidRPr="00F133CB">
        <w:t xml:space="preserve"> fish. Make sure to select control WT and </w:t>
      </w:r>
      <w:r w:rsidR="00E11526" w:rsidRPr="004942A0">
        <w:rPr>
          <w:i/>
        </w:rPr>
        <w:t>MYCN</w:t>
      </w:r>
      <w:r w:rsidR="00E11526" w:rsidRPr="00F133CB">
        <w:t xml:space="preserve">-only fish that are of similar age to </w:t>
      </w:r>
      <w:proofErr w:type="gramStart"/>
      <w:r w:rsidR="00E11526" w:rsidRPr="004942A0">
        <w:rPr>
          <w:i/>
        </w:rPr>
        <w:t>MYCN;LMO</w:t>
      </w:r>
      <w:proofErr w:type="gramEnd"/>
      <w:r w:rsidR="00E11526" w:rsidRPr="004942A0">
        <w:rPr>
          <w:i/>
        </w:rPr>
        <w:t>1</w:t>
      </w:r>
      <w:r w:rsidR="00E11526" w:rsidRPr="00F133CB">
        <w:t xml:space="preserve"> fish for this analysis </w:t>
      </w:r>
      <w:r w:rsidR="00140088" w:rsidRPr="00F133CB">
        <w:t>to rule out the possibility that the metastatic tumors ar</w:t>
      </w:r>
      <w:r w:rsidR="00E11526" w:rsidRPr="00F133CB">
        <w:t>e multifocal primary tumors.</w:t>
      </w:r>
    </w:p>
    <w:p w14:paraId="2D748956" w14:textId="77777777" w:rsidR="00140088" w:rsidRPr="00F133CB" w:rsidRDefault="00140088" w:rsidP="002251F3"/>
    <w:p w14:paraId="4682EF09" w14:textId="77777777" w:rsidR="004942A0" w:rsidRDefault="00140088" w:rsidP="002251F3">
      <w:pPr>
        <w:pStyle w:val="ListParagraph"/>
        <w:numPr>
          <w:ilvl w:val="1"/>
          <w:numId w:val="14"/>
        </w:numPr>
        <w:ind w:left="0" w:firstLine="0"/>
      </w:pPr>
      <w:r w:rsidRPr="00F133CB">
        <w:t xml:space="preserve">Manually </w:t>
      </w:r>
      <w:r w:rsidR="004942A0">
        <w:t>s</w:t>
      </w:r>
      <w:r w:rsidRPr="00F133CB">
        <w:t xml:space="preserve">taining </w:t>
      </w:r>
      <w:r w:rsidR="004942A0">
        <w:t>w</w:t>
      </w:r>
      <w:r w:rsidRPr="00F133CB">
        <w:t xml:space="preserve">ithout </w:t>
      </w:r>
      <w:r w:rsidR="004942A0">
        <w:t>a</w:t>
      </w:r>
      <w:r w:rsidRPr="00F133CB">
        <w:t xml:space="preserve">utomated IHC </w:t>
      </w:r>
      <w:r w:rsidR="004942A0">
        <w:t>s</w:t>
      </w:r>
      <w:r w:rsidRPr="00F133CB">
        <w:t xml:space="preserve">taining </w:t>
      </w:r>
      <w:r w:rsidR="004942A0">
        <w:t>s</w:t>
      </w:r>
      <w:r w:rsidRPr="00F133CB">
        <w:t>ystem</w:t>
      </w:r>
    </w:p>
    <w:p w14:paraId="085EE688" w14:textId="77777777" w:rsidR="004942A0" w:rsidRDefault="004942A0" w:rsidP="002251F3">
      <w:pPr>
        <w:pStyle w:val="ListParagraph"/>
        <w:ind w:left="0"/>
      </w:pPr>
    </w:p>
    <w:p w14:paraId="630540B0" w14:textId="33C5B6BC" w:rsidR="004942A0" w:rsidRPr="0054660C" w:rsidRDefault="00140088" w:rsidP="002251F3">
      <w:pPr>
        <w:pStyle w:val="ListParagraph"/>
        <w:numPr>
          <w:ilvl w:val="2"/>
          <w:numId w:val="14"/>
        </w:numPr>
        <w:ind w:left="0" w:firstLine="0"/>
      </w:pPr>
      <w:r w:rsidRPr="00F133CB">
        <w:t xml:space="preserve">After the slides are baked, select </w:t>
      </w:r>
      <w:r w:rsidR="00A00A1C" w:rsidRPr="00F133CB">
        <w:t xml:space="preserve">adjacent </w:t>
      </w:r>
      <w:r w:rsidR="00800372">
        <w:t>slides from step 5</w:t>
      </w:r>
      <w:r w:rsidRPr="00F133CB">
        <w:t>.12 to allow better comparison betwe</w:t>
      </w:r>
      <w:r w:rsidRPr="0054660C">
        <w:t>en H&amp;E and IHC staining to deparaffinize. Inside a chemical fume hood, dewax and rehydrate the slides with xylene using previous steps</w:t>
      </w:r>
      <w:r w:rsidR="006C5056" w:rsidRPr="0054660C">
        <w:t xml:space="preserve"> 6.1 and 6</w:t>
      </w:r>
      <w:r w:rsidRPr="0054660C">
        <w:t>.2., respectively.</w:t>
      </w:r>
    </w:p>
    <w:p w14:paraId="53EDE814" w14:textId="77777777" w:rsidR="004942A0" w:rsidRPr="0054660C" w:rsidRDefault="004942A0" w:rsidP="002251F3">
      <w:pPr>
        <w:pStyle w:val="ListParagraph"/>
        <w:ind w:left="0"/>
      </w:pPr>
    </w:p>
    <w:p w14:paraId="1F3A1790" w14:textId="2D171279" w:rsidR="004942A0" w:rsidRDefault="00140088" w:rsidP="002251F3">
      <w:pPr>
        <w:pStyle w:val="ListParagraph"/>
        <w:numPr>
          <w:ilvl w:val="2"/>
          <w:numId w:val="14"/>
        </w:numPr>
        <w:ind w:left="0" w:firstLine="0"/>
      </w:pPr>
      <w:r w:rsidRPr="00F133CB">
        <w:t>After deparaffinization and rehydration, soak slides in endogenous peroxide blocking solution (</w:t>
      </w:r>
      <w:r w:rsidR="00AD3682" w:rsidRPr="00F133CB">
        <w:t>1</w:t>
      </w:r>
      <w:r w:rsidR="004942A0">
        <w:t>x</w:t>
      </w:r>
      <w:r w:rsidR="00AD3682" w:rsidRPr="00F133CB">
        <w:t xml:space="preserve"> </w:t>
      </w:r>
      <w:r w:rsidRPr="00F133CB">
        <w:t xml:space="preserve">PBS containing 0.1% sodium </w:t>
      </w:r>
      <w:proofErr w:type="spellStart"/>
      <w:r w:rsidRPr="00F133CB">
        <w:t>azide</w:t>
      </w:r>
      <w:proofErr w:type="spellEnd"/>
      <w:r w:rsidRPr="00F133CB">
        <w:t xml:space="preserve"> and 0.3% hydrogen peroxide) for 5 min at room temperature. Wash slides in</w:t>
      </w:r>
      <w:r w:rsidR="00AD3682" w:rsidRPr="00F133CB">
        <w:t xml:space="preserve"> </w:t>
      </w:r>
      <w:r w:rsidR="00B274A8" w:rsidRPr="00F133CB">
        <w:t xml:space="preserve">fresh </w:t>
      </w:r>
      <w:r w:rsidR="00AD3682" w:rsidRPr="00F133CB">
        <w:t>1</w:t>
      </w:r>
      <w:r w:rsidR="004942A0">
        <w:t>x</w:t>
      </w:r>
      <w:r w:rsidRPr="00F133CB">
        <w:t xml:space="preserve"> PBS for 3 min and repeat twice for a total of 3 times.</w:t>
      </w:r>
      <w:r w:rsidR="00B274A8" w:rsidRPr="00F133CB">
        <w:t xml:space="preserve"> </w:t>
      </w:r>
    </w:p>
    <w:p w14:paraId="28DA608E" w14:textId="77777777" w:rsidR="004942A0" w:rsidRDefault="004942A0" w:rsidP="002251F3">
      <w:pPr>
        <w:pStyle w:val="ListParagraph"/>
        <w:ind w:left="0"/>
      </w:pPr>
    </w:p>
    <w:p w14:paraId="7DF631FC" w14:textId="04D36A4E" w:rsidR="004942A0" w:rsidRDefault="00B274A8" w:rsidP="002251F3">
      <w:pPr>
        <w:pStyle w:val="ListParagraph"/>
        <w:ind w:left="0"/>
      </w:pPr>
      <w:r w:rsidRPr="00F133CB">
        <w:t>C</w:t>
      </w:r>
      <w:r w:rsidR="0054660C">
        <w:t>AUTION</w:t>
      </w:r>
      <w:r w:rsidRPr="00F133CB">
        <w:t xml:space="preserve">: Sodium </w:t>
      </w:r>
      <w:proofErr w:type="spellStart"/>
      <w:r w:rsidRPr="00F133CB">
        <w:t>a</w:t>
      </w:r>
      <w:r w:rsidR="00AD3682" w:rsidRPr="00F133CB">
        <w:t>zide</w:t>
      </w:r>
      <w:proofErr w:type="spellEnd"/>
      <w:r w:rsidR="00AD3682" w:rsidRPr="00F133CB">
        <w:t xml:space="preserve"> is acutely toxic. Ensure to practice precautionary procedures and proper disposal of reagent depending on the regulations of your institution. </w:t>
      </w:r>
    </w:p>
    <w:p w14:paraId="02CDB122" w14:textId="77777777" w:rsidR="004942A0" w:rsidRDefault="004942A0" w:rsidP="002251F3">
      <w:pPr>
        <w:pStyle w:val="ListParagraph"/>
        <w:ind w:left="0"/>
      </w:pPr>
    </w:p>
    <w:p w14:paraId="5ED3AB00" w14:textId="41C24652" w:rsidR="004942A0" w:rsidRDefault="00140088" w:rsidP="002251F3">
      <w:pPr>
        <w:pStyle w:val="ListParagraph"/>
        <w:numPr>
          <w:ilvl w:val="2"/>
          <w:numId w:val="14"/>
        </w:numPr>
        <w:ind w:left="0" w:firstLine="0"/>
      </w:pPr>
      <w:r w:rsidRPr="00F133CB">
        <w:t xml:space="preserve">Retrieve antigen by incubating slides in solution with proteinase K (1:500 in </w:t>
      </w:r>
      <w:r w:rsidR="00AD3682" w:rsidRPr="00F133CB">
        <w:t>1</w:t>
      </w:r>
      <w:r w:rsidR="00415489">
        <w:t>x</w:t>
      </w:r>
      <w:r w:rsidR="00AD3682" w:rsidRPr="00F133CB">
        <w:t xml:space="preserve"> </w:t>
      </w:r>
      <w:r w:rsidRPr="00F133CB">
        <w:t>PBS) for 1</w:t>
      </w:r>
      <w:r w:rsidR="00B274A8" w:rsidRPr="00F133CB">
        <w:t>0 min at room temperature. Wash slides 3 times with 1</w:t>
      </w:r>
      <w:r w:rsidR="00415489">
        <w:t>x</w:t>
      </w:r>
      <w:r w:rsidR="00B274A8" w:rsidRPr="00F133CB">
        <w:t xml:space="preserve"> PBS for 3 min each.</w:t>
      </w:r>
    </w:p>
    <w:p w14:paraId="2A83CE45" w14:textId="77777777" w:rsidR="004942A0" w:rsidRDefault="004942A0" w:rsidP="002251F3">
      <w:pPr>
        <w:pStyle w:val="ListParagraph"/>
        <w:ind w:left="0"/>
      </w:pPr>
    </w:p>
    <w:p w14:paraId="32A95467" w14:textId="750C0E21" w:rsidR="004942A0" w:rsidRDefault="00B274A8" w:rsidP="002251F3">
      <w:pPr>
        <w:pStyle w:val="ListParagraph"/>
        <w:numPr>
          <w:ilvl w:val="2"/>
          <w:numId w:val="14"/>
        </w:numPr>
        <w:ind w:left="0" w:firstLine="0"/>
      </w:pPr>
      <w:r w:rsidRPr="00F133CB">
        <w:t>Block slides by incubating with 5% goat serum in 1</w:t>
      </w:r>
      <w:r w:rsidR="00415489">
        <w:t>x</w:t>
      </w:r>
      <w:r w:rsidRPr="00F133CB">
        <w:t xml:space="preserve"> PBS for 30 min at room temperature on rocker. Wash slides with fresh 1</w:t>
      </w:r>
      <w:r w:rsidR="00415489">
        <w:t>x</w:t>
      </w:r>
      <w:r w:rsidRPr="00F133CB">
        <w:t xml:space="preserve"> PBS twice for 3 min each.</w:t>
      </w:r>
    </w:p>
    <w:p w14:paraId="3A458389" w14:textId="77777777" w:rsidR="004942A0" w:rsidRDefault="004942A0" w:rsidP="002251F3">
      <w:pPr>
        <w:pStyle w:val="ListParagraph"/>
        <w:ind w:left="0"/>
      </w:pPr>
    </w:p>
    <w:p w14:paraId="71415B76" w14:textId="24B1C6E4" w:rsidR="004942A0" w:rsidRDefault="00B274A8" w:rsidP="002251F3">
      <w:pPr>
        <w:pStyle w:val="ListParagraph"/>
        <w:numPr>
          <w:ilvl w:val="2"/>
          <w:numId w:val="14"/>
        </w:numPr>
        <w:ind w:left="0" w:firstLine="0"/>
      </w:pPr>
      <w:r w:rsidRPr="00F133CB">
        <w:t>A</w:t>
      </w:r>
      <w:r w:rsidR="00140088" w:rsidRPr="00F133CB">
        <w:t>dd 4 drops of Avidin blocking solution directly onto slide and incubate for 15 min at room temperature. After washing slides with</w:t>
      </w:r>
      <w:r w:rsidR="00AD3682" w:rsidRPr="00F133CB">
        <w:t xml:space="preserve"> </w:t>
      </w:r>
      <w:r w:rsidRPr="00F133CB">
        <w:t xml:space="preserve">fresh </w:t>
      </w:r>
      <w:r w:rsidR="00AD3682" w:rsidRPr="00F133CB">
        <w:t>1</w:t>
      </w:r>
      <w:r w:rsidR="00415489">
        <w:t>x</w:t>
      </w:r>
      <w:r w:rsidRPr="00F133CB">
        <w:t xml:space="preserve"> PBS twice for 3 min each, add 4 drops of B</w:t>
      </w:r>
      <w:r w:rsidR="00140088" w:rsidRPr="00F133CB">
        <w:t>iotin blocking solution and incubate at room temperature for 15 min.</w:t>
      </w:r>
    </w:p>
    <w:p w14:paraId="1EAE5FCA" w14:textId="77777777" w:rsidR="004942A0" w:rsidRDefault="004942A0" w:rsidP="002251F3">
      <w:pPr>
        <w:pStyle w:val="ListParagraph"/>
        <w:ind w:left="0"/>
      </w:pPr>
    </w:p>
    <w:p w14:paraId="774373AE" w14:textId="77777777" w:rsidR="004942A0" w:rsidRDefault="00140088" w:rsidP="002251F3">
      <w:pPr>
        <w:pStyle w:val="ListParagraph"/>
        <w:numPr>
          <w:ilvl w:val="2"/>
          <w:numId w:val="14"/>
        </w:numPr>
        <w:ind w:left="0" w:firstLine="0"/>
      </w:pPr>
      <w:r w:rsidRPr="00F133CB">
        <w:t xml:space="preserve">After blocking slides, incubate in primary antibody of tyrosine hydroxylase (TH) (1:500) for 45-60 min at room temperature, or overnight at 4 °C. </w:t>
      </w:r>
    </w:p>
    <w:p w14:paraId="5F68A927" w14:textId="77777777" w:rsidR="004942A0" w:rsidRDefault="004942A0" w:rsidP="002251F3">
      <w:pPr>
        <w:pStyle w:val="ListParagraph"/>
        <w:ind w:left="0"/>
      </w:pPr>
    </w:p>
    <w:p w14:paraId="1B43A2A2" w14:textId="66B51E87" w:rsidR="00140088" w:rsidRPr="00F133CB" w:rsidRDefault="004942A0" w:rsidP="002251F3">
      <w:pPr>
        <w:pStyle w:val="ListParagraph"/>
        <w:ind w:left="0"/>
      </w:pPr>
      <w:r>
        <w:t>NOTE</w:t>
      </w:r>
      <w:r w:rsidR="00140088" w:rsidRPr="00F133CB">
        <w:t>: Stain with additional antibodies against transgenes and other relevant markers to address physiology and activity of primary tumor and other metastatic sites. Optimal antibody concentrations may vary depending on antibody and tissue.</w:t>
      </w:r>
    </w:p>
    <w:p w14:paraId="0CC2DD1A" w14:textId="77777777" w:rsidR="00140088" w:rsidRPr="00F133CB" w:rsidRDefault="00140088" w:rsidP="002251F3">
      <w:pPr>
        <w:tabs>
          <w:tab w:val="left" w:pos="3060"/>
        </w:tabs>
      </w:pPr>
    </w:p>
    <w:p w14:paraId="004985D4" w14:textId="77777777" w:rsidR="004942A0" w:rsidRDefault="00140088" w:rsidP="002251F3">
      <w:pPr>
        <w:pStyle w:val="ListParagraph"/>
        <w:numPr>
          <w:ilvl w:val="2"/>
          <w:numId w:val="14"/>
        </w:numPr>
        <w:tabs>
          <w:tab w:val="left" w:pos="3060"/>
        </w:tabs>
        <w:ind w:left="0" w:firstLine="0"/>
      </w:pPr>
      <w:r w:rsidRPr="00F133CB">
        <w:t>Wash slides with</w:t>
      </w:r>
      <w:r w:rsidR="00AD3682" w:rsidRPr="00F133CB">
        <w:t xml:space="preserve"> </w:t>
      </w:r>
      <w:r w:rsidR="00B274A8" w:rsidRPr="00F133CB">
        <w:t xml:space="preserve">fresh </w:t>
      </w:r>
      <w:r w:rsidR="00AD3682" w:rsidRPr="00F133CB">
        <w:t>1</w:t>
      </w:r>
      <w:r w:rsidR="004942A0">
        <w:t>x</w:t>
      </w:r>
      <w:r w:rsidRPr="00F133CB">
        <w:t xml:space="preserve"> PBS for 3 min, repeating twice with a total of 3 times. </w:t>
      </w:r>
    </w:p>
    <w:p w14:paraId="3F70A623" w14:textId="77777777" w:rsidR="004942A0" w:rsidRDefault="004942A0" w:rsidP="002251F3">
      <w:pPr>
        <w:pStyle w:val="ListParagraph"/>
        <w:tabs>
          <w:tab w:val="left" w:pos="3060"/>
        </w:tabs>
        <w:ind w:left="0"/>
      </w:pPr>
    </w:p>
    <w:p w14:paraId="3D215DCF" w14:textId="41ECF38C" w:rsidR="004942A0" w:rsidRDefault="00140088" w:rsidP="002251F3">
      <w:pPr>
        <w:pStyle w:val="ListParagraph"/>
        <w:numPr>
          <w:ilvl w:val="2"/>
          <w:numId w:val="14"/>
        </w:numPr>
        <w:tabs>
          <w:tab w:val="left" w:pos="3060"/>
        </w:tabs>
        <w:ind w:left="0" w:firstLine="0"/>
      </w:pPr>
      <w:r w:rsidRPr="00F133CB">
        <w:t xml:space="preserve">Incubate slides in secondary antibody of biotinylated anti-rabbit IgG secondary antibody (1:500) diluted in blocking solution for 45-60 min at room temperature. </w:t>
      </w:r>
      <w:r w:rsidR="006C5056">
        <w:t>Repeat previous washing step 7</w:t>
      </w:r>
      <w:r w:rsidRPr="00F133CB">
        <w:t>.2.7.</w:t>
      </w:r>
    </w:p>
    <w:p w14:paraId="1CEFB35E" w14:textId="77777777" w:rsidR="004942A0" w:rsidRDefault="004942A0" w:rsidP="002251F3">
      <w:pPr>
        <w:pStyle w:val="ListParagraph"/>
        <w:ind w:left="0"/>
      </w:pPr>
    </w:p>
    <w:p w14:paraId="75EF8C23" w14:textId="77777777" w:rsidR="00B60680" w:rsidRDefault="00140088" w:rsidP="002251F3">
      <w:pPr>
        <w:pStyle w:val="ListParagraph"/>
        <w:numPr>
          <w:ilvl w:val="2"/>
          <w:numId w:val="14"/>
        </w:numPr>
        <w:tabs>
          <w:tab w:val="left" w:pos="3060"/>
        </w:tabs>
        <w:ind w:left="0" w:firstLine="0"/>
      </w:pPr>
      <w:r w:rsidRPr="00F133CB">
        <w:t xml:space="preserve">Add HRP conjugated Avidin (1:300 in </w:t>
      </w:r>
      <w:r w:rsidR="00AD3682" w:rsidRPr="00F133CB">
        <w:t>1</w:t>
      </w:r>
      <w:r w:rsidR="004942A0">
        <w:t>x</w:t>
      </w:r>
      <w:r w:rsidR="00AD3682" w:rsidRPr="00F133CB">
        <w:t xml:space="preserve"> </w:t>
      </w:r>
      <w:r w:rsidRPr="00F133CB">
        <w:t>PBS), and incubate for 20 min at room temperature. Wash slides 3 times</w:t>
      </w:r>
      <w:r w:rsidR="00B274A8" w:rsidRPr="00F133CB">
        <w:t xml:space="preserve"> with fresh 1</w:t>
      </w:r>
      <w:r w:rsidR="004942A0">
        <w:t>x</w:t>
      </w:r>
      <w:r w:rsidR="00B274A8" w:rsidRPr="00F133CB">
        <w:t xml:space="preserve"> PBS</w:t>
      </w:r>
      <w:r w:rsidRPr="00F133CB">
        <w:t xml:space="preserve"> for 5 min each.</w:t>
      </w:r>
    </w:p>
    <w:p w14:paraId="22FD7DF6" w14:textId="77777777" w:rsidR="00B60680" w:rsidRDefault="00B60680" w:rsidP="002251F3">
      <w:pPr>
        <w:pStyle w:val="ListParagraph"/>
        <w:ind w:left="0"/>
      </w:pPr>
    </w:p>
    <w:p w14:paraId="4780ED9F" w14:textId="77777777" w:rsidR="00B60680" w:rsidRDefault="00140088" w:rsidP="002251F3">
      <w:pPr>
        <w:pStyle w:val="ListParagraph"/>
        <w:numPr>
          <w:ilvl w:val="2"/>
          <w:numId w:val="14"/>
        </w:numPr>
        <w:tabs>
          <w:tab w:val="left" w:pos="3060"/>
        </w:tabs>
        <w:ind w:left="0" w:firstLine="0"/>
      </w:pPr>
      <w:r w:rsidRPr="00F133CB">
        <w:lastRenderedPageBreak/>
        <w:t xml:space="preserve">Prepare 3,3’-Diaminobenzidine (DAB) solution (2.5 mL distilled water, 1 drop of </w:t>
      </w:r>
      <w:r w:rsidR="009E4880" w:rsidRPr="00F133CB">
        <w:t xml:space="preserve">kit </w:t>
      </w:r>
      <w:r w:rsidRPr="00F133CB">
        <w:t>buffer, 1 drop of hydrogen peroxide, and 2 drops of DAB</w:t>
      </w:r>
      <w:r w:rsidR="009E4880" w:rsidRPr="00F133CB">
        <w:t xml:space="preserve"> from kit</w:t>
      </w:r>
      <w:r w:rsidRPr="00F133CB">
        <w:t>), and place drops of DAB directly onto slides near a microscope. After adding DAB, observe the color change reaction on the slides under microscope. Once desired staining intensity is reached, stop reaction by placing slide sections in cold distilled water.</w:t>
      </w:r>
    </w:p>
    <w:p w14:paraId="4AC5FFFF" w14:textId="77777777" w:rsidR="00B60680" w:rsidRDefault="00B60680" w:rsidP="002251F3">
      <w:pPr>
        <w:pStyle w:val="ListParagraph"/>
        <w:ind w:left="0"/>
      </w:pPr>
    </w:p>
    <w:p w14:paraId="09FBE01C" w14:textId="5AEB5EF6" w:rsidR="00B60680" w:rsidRDefault="00140088" w:rsidP="002251F3">
      <w:pPr>
        <w:pStyle w:val="ListParagraph"/>
        <w:numPr>
          <w:ilvl w:val="2"/>
          <w:numId w:val="14"/>
        </w:numPr>
        <w:tabs>
          <w:tab w:val="left" w:pos="3060"/>
        </w:tabs>
        <w:ind w:left="0" w:firstLine="0"/>
      </w:pPr>
      <w:r w:rsidRPr="00F133CB">
        <w:t xml:space="preserve">Counterstain the slides with </w:t>
      </w:r>
      <w:r w:rsidR="007307F2" w:rsidRPr="00F133CB">
        <w:t>fresh 50</w:t>
      </w:r>
      <w:r w:rsidR="006A6F70" w:rsidRPr="00F133CB">
        <w:t xml:space="preserve">% </w:t>
      </w:r>
      <w:r w:rsidRPr="00F133CB">
        <w:t>hematoxylin by submerging or dipping samples for a few short</w:t>
      </w:r>
      <w:r w:rsidR="006F0300">
        <w:t xml:space="preserve"> </w:t>
      </w:r>
      <w:r w:rsidRPr="00F133CB">
        <w:t>s</w:t>
      </w:r>
      <w:r w:rsidR="006F0300">
        <w:t>econds</w:t>
      </w:r>
      <w:r w:rsidRPr="00F133CB">
        <w:t xml:space="preserve"> and placing back into distilled water. Repeat as desired, but normally, once should be </w:t>
      </w:r>
      <w:r w:rsidR="006A6F70" w:rsidRPr="00F133CB">
        <w:t xml:space="preserve">enough </w:t>
      </w:r>
      <w:r w:rsidRPr="00F133CB">
        <w:t>since tissue sections are thin.</w:t>
      </w:r>
    </w:p>
    <w:p w14:paraId="1C6F53BD" w14:textId="77777777" w:rsidR="00B60680" w:rsidRDefault="00B60680" w:rsidP="002251F3">
      <w:pPr>
        <w:pStyle w:val="ListParagraph"/>
        <w:ind w:left="0"/>
      </w:pPr>
    </w:p>
    <w:p w14:paraId="3E8A1418" w14:textId="03EFEEBD" w:rsidR="00B60680" w:rsidRDefault="00140088" w:rsidP="002251F3">
      <w:pPr>
        <w:pStyle w:val="ListParagraph"/>
        <w:numPr>
          <w:ilvl w:val="2"/>
          <w:numId w:val="14"/>
        </w:numPr>
        <w:tabs>
          <w:tab w:val="left" w:pos="3060"/>
        </w:tabs>
        <w:ind w:left="0" w:firstLine="0"/>
      </w:pPr>
      <w:r w:rsidRPr="00F133CB">
        <w:t>Dehydrate tissue samples on slides in alcohol gradient as p</w:t>
      </w:r>
      <w:r w:rsidR="004662CC">
        <w:t>reviously described in step</w:t>
      </w:r>
      <w:r w:rsidR="00800372">
        <w:t xml:space="preserve"> 7</w:t>
      </w:r>
      <w:r w:rsidRPr="00F133CB">
        <w:t xml:space="preserve">.1.5 and continue through the remaining </w:t>
      </w:r>
      <w:r w:rsidR="00800372">
        <w:t>steps (with the last step as 7</w:t>
      </w:r>
      <w:r w:rsidRPr="00F133CB">
        <w:t xml:space="preserve">.1.8) to finish the IHC analysis. </w:t>
      </w:r>
    </w:p>
    <w:p w14:paraId="11D1BA63" w14:textId="77777777" w:rsidR="004662CC" w:rsidRPr="004662CC" w:rsidRDefault="004662CC" w:rsidP="004662CC">
      <w:pPr>
        <w:pStyle w:val="ListParagraph"/>
        <w:rPr>
          <w:b/>
        </w:rPr>
      </w:pPr>
    </w:p>
    <w:p w14:paraId="16C44D0B" w14:textId="4DE833BC" w:rsidR="004662CC" w:rsidRPr="004662CC" w:rsidRDefault="004662CC" w:rsidP="004662CC">
      <w:pPr>
        <w:pStyle w:val="ListParagraph"/>
        <w:numPr>
          <w:ilvl w:val="0"/>
          <w:numId w:val="14"/>
        </w:numPr>
        <w:tabs>
          <w:tab w:val="left" w:pos="3060"/>
        </w:tabs>
        <w:rPr>
          <w:b/>
        </w:rPr>
      </w:pPr>
      <w:r w:rsidRPr="004662CC">
        <w:rPr>
          <w:b/>
        </w:rPr>
        <w:t xml:space="preserve">Picrosirius </w:t>
      </w:r>
      <w:r w:rsidR="00415489">
        <w:rPr>
          <w:b/>
        </w:rPr>
        <w:t>r</w:t>
      </w:r>
      <w:r w:rsidRPr="004662CC">
        <w:rPr>
          <w:b/>
        </w:rPr>
        <w:t xml:space="preserve">ed </w:t>
      </w:r>
      <w:r w:rsidR="00415489">
        <w:rPr>
          <w:b/>
        </w:rPr>
        <w:t>s</w:t>
      </w:r>
      <w:r w:rsidRPr="004662CC">
        <w:rPr>
          <w:b/>
        </w:rPr>
        <w:t xml:space="preserve">taining of </w:t>
      </w:r>
      <w:r w:rsidR="00415489">
        <w:rPr>
          <w:b/>
        </w:rPr>
        <w:t>p</w:t>
      </w:r>
      <w:r w:rsidRPr="004662CC">
        <w:rPr>
          <w:b/>
        </w:rPr>
        <w:t xml:space="preserve">araffin </w:t>
      </w:r>
      <w:r w:rsidR="00415489">
        <w:rPr>
          <w:b/>
        </w:rPr>
        <w:t>s</w:t>
      </w:r>
      <w:r w:rsidRPr="004662CC">
        <w:rPr>
          <w:b/>
        </w:rPr>
        <w:t xml:space="preserve">lides for </w:t>
      </w:r>
      <w:r w:rsidR="00415489">
        <w:rPr>
          <w:b/>
        </w:rPr>
        <w:t>c</w:t>
      </w:r>
      <w:r w:rsidRPr="004662CC">
        <w:rPr>
          <w:b/>
        </w:rPr>
        <w:t xml:space="preserve">ollagen </w:t>
      </w:r>
      <w:r w:rsidR="00415489">
        <w:rPr>
          <w:b/>
        </w:rPr>
        <w:t>a</w:t>
      </w:r>
      <w:r w:rsidRPr="004662CC">
        <w:rPr>
          <w:b/>
        </w:rPr>
        <w:t xml:space="preserve">ccumulation in </w:t>
      </w:r>
      <w:r w:rsidR="00415489">
        <w:rPr>
          <w:b/>
        </w:rPr>
        <w:t>t</w:t>
      </w:r>
      <w:r w:rsidRPr="004662CC">
        <w:rPr>
          <w:b/>
        </w:rPr>
        <w:t>umors</w:t>
      </w:r>
      <w:r w:rsidR="001229F8">
        <w:rPr>
          <w:b/>
        </w:rPr>
        <w:t xml:space="preserve"> as </w:t>
      </w:r>
      <w:r w:rsidR="00415489">
        <w:rPr>
          <w:b/>
        </w:rPr>
        <w:t>m</w:t>
      </w:r>
      <w:r w:rsidR="001229F8">
        <w:rPr>
          <w:b/>
        </w:rPr>
        <w:t xml:space="preserve">echanism </w:t>
      </w:r>
      <w:r w:rsidR="00415489">
        <w:rPr>
          <w:b/>
        </w:rPr>
        <w:t>s</w:t>
      </w:r>
      <w:r w:rsidR="001229F8">
        <w:rPr>
          <w:b/>
        </w:rPr>
        <w:t>tudy</w:t>
      </w:r>
    </w:p>
    <w:p w14:paraId="6A2101F8" w14:textId="77777777" w:rsidR="004662CC" w:rsidRPr="004662CC" w:rsidRDefault="004662CC" w:rsidP="004662CC">
      <w:pPr>
        <w:tabs>
          <w:tab w:val="left" w:pos="3060"/>
        </w:tabs>
      </w:pPr>
    </w:p>
    <w:p w14:paraId="224ADC98" w14:textId="77777777" w:rsidR="004662CC" w:rsidRDefault="004662CC" w:rsidP="004662CC">
      <w:pPr>
        <w:pStyle w:val="ListParagraph"/>
        <w:numPr>
          <w:ilvl w:val="1"/>
          <w:numId w:val="14"/>
        </w:numPr>
        <w:tabs>
          <w:tab w:val="left" w:pos="3060"/>
        </w:tabs>
        <w:ind w:left="0" w:firstLine="0"/>
      </w:pPr>
      <w:r w:rsidRPr="00415489">
        <w:t>Repeat steps 6.1-6.3</w:t>
      </w:r>
      <w:r>
        <w:t xml:space="preserve"> to dewax, hydrate, and wash paraffin sections on slides.</w:t>
      </w:r>
    </w:p>
    <w:p w14:paraId="2CFD777B" w14:textId="77777777" w:rsidR="004662CC" w:rsidRDefault="004662CC" w:rsidP="004662CC">
      <w:pPr>
        <w:tabs>
          <w:tab w:val="left" w:pos="3060"/>
        </w:tabs>
      </w:pPr>
    </w:p>
    <w:p w14:paraId="12DD6F5F" w14:textId="77777777" w:rsidR="004662CC" w:rsidRDefault="004662CC" w:rsidP="004662CC">
      <w:pPr>
        <w:pStyle w:val="ListParagraph"/>
        <w:numPr>
          <w:ilvl w:val="1"/>
          <w:numId w:val="14"/>
        </w:numPr>
        <w:tabs>
          <w:tab w:val="left" w:pos="3060"/>
        </w:tabs>
        <w:ind w:left="0" w:firstLine="0"/>
      </w:pPr>
      <w:r>
        <w:t xml:space="preserve">After blotting the excess water from the slide holder with professional grade lint-free wipes, stain in 50% hematoxylin for 10 min. Rinse the slides with running tap water for 10 min. </w:t>
      </w:r>
    </w:p>
    <w:p w14:paraId="54064024" w14:textId="77777777" w:rsidR="004662CC" w:rsidRDefault="004662CC" w:rsidP="004662CC">
      <w:pPr>
        <w:pStyle w:val="ListParagraph"/>
        <w:tabs>
          <w:tab w:val="left" w:pos="3060"/>
        </w:tabs>
        <w:ind w:left="0"/>
      </w:pPr>
    </w:p>
    <w:p w14:paraId="0ED77A80" w14:textId="5656A205" w:rsidR="004662CC" w:rsidRDefault="004662CC" w:rsidP="004662CC">
      <w:pPr>
        <w:pStyle w:val="ListParagraph"/>
        <w:numPr>
          <w:ilvl w:val="1"/>
          <w:numId w:val="14"/>
        </w:numPr>
        <w:tabs>
          <w:tab w:val="left" w:pos="3060"/>
        </w:tabs>
        <w:ind w:left="0" w:firstLine="0"/>
      </w:pPr>
      <w:r>
        <w:t xml:space="preserve">Transfer the slides into Picrosirius Red and incubate at room temperature for 1 h. </w:t>
      </w:r>
    </w:p>
    <w:p w14:paraId="7B8336AB" w14:textId="77777777" w:rsidR="004662CC" w:rsidRDefault="004662CC" w:rsidP="004662CC">
      <w:pPr>
        <w:pStyle w:val="ListParagraph"/>
        <w:tabs>
          <w:tab w:val="left" w:pos="3060"/>
        </w:tabs>
        <w:ind w:left="0"/>
      </w:pPr>
    </w:p>
    <w:p w14:paraId="73D54AD5" w14:textId="77777777" w:rsidR="004662CC" w:rsidRDefault="004662CC" w:rsidP="004662CC">
      <w:pPr>
        <w:pStyle w:val="ListParagraph"/>
        <w:numPr>
          <w:ilvl w:val="1"/>
          <w:numId w:val="14"/>
        </w:numPr>
        <w:tabs>
          <w:tab w:val="left" w:pos="3060"/>
        </w:tabs>
        <w:ind w:left="0" w:firstLine="0"/>
      </w:pPr>
      <w:r>
        <w:t>Wash the slides in acidified water (5 mL glacial acetic acid in 1 L of tap or distilled water) twice, incubating for 5 min on shaker.</w:t>
      </w:r>
    </w:p>
    <w:p w14:paraId="58A4D260" w14:textId="77777777" w:rsidR="004662CC" w:rsidRDefault="004662CC" w:rsidP="004662CC">
      <w:pPr>
        <w:pStyle w:val="ListParagraph"/>
        <w:tabs>
          <w:tab w:val="left" w:pos="3060"/>
        </w:tabs>
        <w:ind w:left="0"/>
      </w:pPr>
    </w:p>
    <w:p w14:paraId="46279699" w14:textId="77777777" w:rsidR="004662CC" w:rsidRDefault="004662CC" w:rsidP="004662CC">
      <w:pPr>
        <w:pStyle w:val="ListParagraph"/>
        <w:numPr>
          <w:ilvl w:val="1"/>
          <w:numId w:val="14"/>
        </w:numPr>
        <w:tabs>
          <w:tab w:val="left" w:pos="3060"/>
        </w:tabs>
        <w:ind w:left="0" w:firstLine="0"/>
      </w:pPr>
      <w:r>
        <w:t xml:space="preserve">Decant most of the water from slides first before physically shaking and blotting sections on slides to remove as much water as possible. </w:t>
      </w:r>
    </w:p>
    <w:p w14:paraId="77C950BB" w14:textId="77777777" w:rsidR="004662CC" w:rsidRDefault="004662CC" w:rsidP="004662CC">
      <w:pPr>
        <w:pStyle w:val="ListParagraph"/>
        <w:tabs>
          <w:tab w:val="left" w:pos="3060"/>
        </w:tabs>
        <w:ind w:left="0"/>
      </w:pPr>
    </w:p>
    <w:p w14:paraId="012B1E62" w14:textId="77777777" w:rsidR="004662CC" w:rsidRDefault="004662CC" w:rsidP="004662CC">
      <w:pPr>
        <w:pStyle w:val="ListParagraph"/>
        <w:numPr>
          <w:ilvl w:val="1"/>
          <w:numId w:val="14"/>
        </w:numPr>
        <w:tabs>
          <w:tab w:val="left" w:pos="3060"/>
        </w:tabs>
        <w:ind w:left="0" w:firstLine="0"/>
      </w:pPr>
      <w:r>
        <w:t>Quickly place slides into three changes of 100% ethanol to dehydrate paraffin sections.</w:t>
      </w:r>
    </w:p>
    <w:p w14:paraId="6E39403C" w14:textId="77777777" w:rsidR="004662CC" w:rsidRDefault="004662CC" w:rsidP="004662CC">
      <w:pPr>
        <w:pStyle w:val="ListParagraph"/>
        <w:tabs>
          <w:tab w:val="left" w:pos="3060"/>
        </w:tabs>
        <w:ind w:left="0"/>
      </w:pPr>
    </w:p>
    <w:p w14:paraId="25622533" w14:textId="77777777" w:rsidR="004662CC" w:rsidRDefault="004662CC" w:rsidP="004662CC">
      <w:pPr>
        <w:pStyle w:val="ListParagraph"/>
        <w:numPr>
          <w:ilvl w:val="1"/>
          <w:numId w:val="14"/>
        </w:numPr>
        <w:tabs>
          <w:tab w:val="left" w:pos="3060"/>
        </w:tabs>
        <w:ind w:left="0" w:firstLine="0"/>
      </w:pPr>
      <w:r>
        <w:t xml:space="preserve">Repeat </w:t>
      </w:r>
      <w:r w:rsidRPr="00415489">
        <w:t>steps 6.10 and 6.11</w:t>
      </w:r>
      <w:r>
        <w:t xml:space="preserve"> to clear slides in xylene and mount sample. Next, image with compound microscope that is equipped with a camera.</w:t>
      </w:r>
    </w:p>
    <w:p w14:paraId="4139EE05" w14:textId="77777777" w:rsidR="004662CC" w:rsidRDefault="004662CC" w:rsidP="004662CC">
      <w:pPr>
        <w:pStyle w:val="ListParagraph"/>
        <w:tabs>
          <w:tab w:val="left" w:pos="3060"/>
        </w:tabs>
        <w:ind w:left="0"/>
      </w:pPr>
    </w:p>
    <w:p w14:paraId="666CFD25" w14:textId="77777777" w:rsidR="004662CC" w:rsidRDefault="004662CC" w:rsidP="004662CC">
      <w:pPr>
        <w:pStyle w:val="ListParagraph"/>
        <w:numPr>
          <w:ilvl w:val="1"/>
          <w:numId w:val="14"/>
        </w:numPr>
        <w:tabs>
          <w:tab w:val="left" w:pos="3060"/>
        </w:tabs>
        <w:ind w:left="0" w:firstLine="0"/>
      </w:pPr>
      <w:r>
        <w:t xml:space="preserve">Using ImageJ, count the picrosirius red-positive collagen fibers in at least three random fields for each section. Compare between slides of MYCN and </w:t>
      </w:r>
      <w:proofErr w:type="gramStart"/>
      <w:r>
        <w:t>MYCN;LMO</w:t>
      </w:r>
      <w:proofErr w:type="gramEnd"/>
      <w:r>
        <w:t>1 fish sections.</w:t>
      </w:r>
    </w:p>
    <w:p w14:paraId="5723D740" w14:textId="77777777" w:rsidR="00140088" w:rsidRPr="00F133CB" w:rsidRDefault="00140088" w:rsidP="002251F3"/>
    <w:p w14:paraId="13D52D48" w14:textId="5D6DDBAF" w:rsidR="001229F8" w:rsidRPr="001229F8" w:rsidRDefault="00140088" w:rsidP="002251F3">
      <w:pPr>
        <w:rPr>
          <w:b/>
        </w:rPr>
      </w:pPr>
      <w:r w:rsidRPr="00F133CB">
        <w:rPr>
          <w:b/>
        </w:rPr>
        <w:t xml:space="preserve">REPRESENTATIVE RESULTS:  </w:t>
      </w:r>
    </w:p>
    <w:p w14:paraId="3D34BB48" w14:textId="7BAB27AB" w:rsidR="00FC3F31" w:rsidRPr="00F133CB" w:rsidRDefault="00FC3F31" w:rsidP="002251F3">
      <w:r w:rsidRPr="00F133CB">
        <w:t xml:space="preserve">To determine whether </w:t>
      </w:r>
      <w:r w:rsidRPr="00F133CB">
        <w:rPr>
          <w:i/>
        </w:rPr>
        <w:t>LMO1</w:t>
      </w:r>
      <w:r w:rsidRPr="00F133CB">
        <w:t xml:space="preserve"> synergizes with </w:t>
      </w:r>
      <w:r w:rsidRPr="00F133CB">
        <w:rPr>
          <w:i/>
        </w:rPr>
        <w:t>MYCN</w:t>
      </w:r>
      <w:r w:rsidRPr="00F133CB">
        <w:t xml:space="preserve"> to affect NB pathogenesis, transgenic constructs that drive expression of either </w:t>
      </w:r>
      <w:r w:rsidRPr="00F133CB">
        <w:rPr>
          <w:i/>
        </w:rPr>
        <w:t>LMO1</w:t>
      </w:r>
      <w:r w:rsidRPr="00F133CB">
        <w:t xml:space="preserve"> (</w:t>
      </w:r>
      <w:r w:rsidRPr="00F133CB">
        <w:rPr>
          <w:i/>
        </w:rPr>
        <w:t>dϐ</w:t>
      </w:r>
      <w:proofErr w:type="gramStart"/>
      <w:r w:rsidRPr="00F133CB">
        <w:rPr>
          <w:i/>
        </w:rPr>
        <w:t>h:LMO</w:t>
      </w:r>
      <w:proofErr w:type="gramEnd"/>
      <w:r w:rsidRPr="00F133CB">
        <w:rPr>
          <w:i/>
        </w:rPr>
        <w:t>1</w:t>
      </w:r>
      <w:r w:rsidRPr="00F133CB">
        <w:t xml:space="preserve"> and </w:t>
      </w:r>
      <w:proofErr w:type="spellStart"/>
      <w:r w:rsidRPr="00F133CB">
        <w:rPr>
          <w:i/>
        </w:rPr>
        <w:t>dϐh:mCherry</w:t>
      </w:r>
      <w:proofErr w:type="spellEnd"/>
      <w:r w:rsidRPr="00F133CB">
        <w:t xml:space="preserve">) or </w:t>
      </w:r>
      <w:r w:rsidRPr="00F133CB">
        <w:rPr>
          <w:i/>
        </w:rPr>
        <w:t>MYCN</w:t>
      </w:r>
      <w:r w:rsidRPr="00F133CB">
        <w:t xml:space="preserve"> (</w:t>
      </w:r>
      <w:proofErr w:type="spellStart"/>
      <w:r w:rsidRPr="00F133CB">
        <w:rPr>
          <w:i/>
        </w:rPr>
        <w:t>dϐh:EGFP-MYCN</w:t>
      </w:r>
      <w:proofErr w:type="spellEnd"/>
      <w:r w:rsidRPr="00F133CB">
        <w:rPr>
          <w:i/>
        </w:rPr>
        <w:t>)</w:t>
      </w:r>
      <w:r w:rsidRPr="00F133CB">
        <w:t xml:space="preserve"> in the PSNS cells under control of the </w:t>
      </w:r>
      <w:proofErr w:type="spellStart"/>
      <w:r w:rsidRPr="00F133CB">
        <w:rPr>
          <w:i/>
        </w:rPr>
        <w:t>dϐh</w:t>
      </w:r>
      <w:proofErr w:type="spellEnd"/>
      <w:r w:rsidRPr="00F133CB">
        <w:t xml:space="preserve"> promoter were injected into zebrafish embryos</w:t>
      </w:r>
      <w:r w:rsidRPr="00F133CB">
        <w:rPr>
          <w:vertAlign w:val="superscript"/>
        </w:rPr>
        <w:t>1</w:t>
      </w:r>
      <w:r w:rsidR="003F2809" w:rsidRPr="00F133CB">
        <w:rPr>
          <w:vertAlign w:val="superscript"/>
        </w:rPr>
        <w:t>3</w:t>
      </w:r>
      <w:r w:rsidRPr="00F133CB">
        <w:t xml:space="preserve">. As illustrated </w:t>
      </w:r>
      <w:r w:rsidRPr="00984227">
        <w:t xml:space="preserve">in </w:t>
      </w:r>
      <w:r w:rsidRPr="00415489">
        <w:rPr>
          <w:b/>
        </w:rPr>
        <w:t>Figure 1A</w:t>
      </w:r>
      <w:r w:rsidRPr="00F133CB">
        <w:t xml:space="preserve">, after </w:t>
      </w:r>
      <w:r w:rsidR="00B60680">
        <w:t xml:space="preserve">the </w:t>
      </w:r>
      <w:r w:rsidRPr="00F133CB">
        <w:t xml:space="preserve">development of stable transgenic lines and validation of their genotypes, heterozygous </w:t>
      </w:r>
      <w:r w:rsidRPr="00F133CB">
        <w:rPr>
          <w:i/>
        </w:rPr>
        <w:t>MYCN</w:t>
      </w:r>
      <w:r w:rsidRPr="00F133CB">
        <w:t xml:space="preserve"> and </w:t>
      </w:r>
      <w:r w:rsidRPr="00F133CB">
        <w:rPr>
          <w:i/>
        </w:rPr>
        <w:t>LMO1</w:t>
      </w:r>
      <w:r w:rsidRPr="00F133CB">
        <w:t xml:space="preserve"> fish were interbred. Their </w:t>
      </w:r>
      <w:r w:rsidRPr="00F133CB">
        <w:lastRenderedPageBreak/>
        <w:t xml:space="preserve">offspring were sorted for </w:t>
      </w:r>
      <w:r w:rsidRPr="00F133CB">
        <w:rPr>
          <w:i/>
        </w:rPr>
        <w:t>MYCN</w:t>
      </w:r>
      <w:r w:rsidRPr="00F133CB">
        <w:t xml:space="preserve"> (EGFP+) or </w:t>
      </w:r>
      <w:r w:rsidRPr="00F133CB">
        <w:rPr>
          <w:i/>
        </w:rPr>
        <w:t>LMO1</w:t>
      </w:r>
      <w:r w:rsidRPr="00F133CB">
        <w:t xml:space="preserve"> (</w:t>
      </w:r>
      <w:proofErr w:type="spellStart"/>
      <w:r w:rsidRPr="00F133CB">
        <w:t>mCherry</w:t>
      </w:r>
      <w:proofErr w:type="spellEnd"/>
      <w:r w:rsidRPr="00F133CB">
        <w:t xml:space="preserve">+) expression at 1 </w:t>
      </w:r>
      <w:proofErr w:type="spellStart"/>
      <w:r w:rsidRPr="00F133CB">
        <w:t>dpf</w:t>
      </w:r>
      <w:proofErr w:type="spellEnd"/>
      <w:r w:rsidRPr="00F133CB">
        <w:t xml:space="preserve"> or 3-4 </w:t>
      </w:r>
      <w:proofErr w:type="spellStart"/>
      <w:r w:rsidRPr="00F133CB">
        <w:t>dpf</w:t>
      </w:r>
      <w:proofErr w:type="spellEnd"/>
      <w:r w:rsidRPr="00F133CB">
        <w:t xml:space="preserve">, respectively. </w:t>
      </w:r>
      <w:r w:rsidRPr="00F133CB">
        <w:rPr>
          <w:i/>
        </w:rPr>
        <w:t>MYCN</w:t>
      </w:r>
      <w:r w:rsidRPr="00F133CB">
        <w:t xml:space="preserve"> overexpression has been shown to suppress PSNS development</w:t>
      </w:r>
      <w:r w:rsidR="003F2809" w:rsidRPr="00F133CB">
        <w:rPr>
          <w:vertAlign w:val="superscript"/>
        </w:rPr>
        <w:t>6</w:t>
      </w:r>
      <w:r w:rsidRPr="00F133CB">
        <w:t>. Thus, the EGFP-MYCN expression is more prominent in the non-PSNS dopaminergic neuronal cells at 1 dpf</w:t>
      </w:r>
      <w:r w:rsidR="003F2809" w:rsidRPr="00F133CB">
        <w:rPr>
          <w:vertAlign w:val="superscript"/>
        </w:rPr>
        <w:t>6</w:t>
      </w:r>
      <w:r w:rsidRPr="00F133CB">
        <w:t xml:space="preserve">, such as the cranial ganglia (CA), arch-associated catecholaminergic neurons (AAC), and medulla oblongata (MO). Due to the instability of </w:t>
      </w:r>
      <w:r w:rsidRPr="00F133CB">
        <w:rPr>
          <w:i/>
        </w:rPr>
        <w:t>EGFP-MYCN</w:t>
      </w:r>
      <w:r w:rsidRPr="00F133CB">
        <w:t xml:space="preserve"> protein, the EGFP signal becomes dimmer after 2 days. In contrast, the </w:t>
      </w:r>
      <w:proofErr w:type="spellStart"/>
      <w:r w:rsidRPr="00F133CB">
        <w:t>mCherry</w:t>
      </w:r>
      <w:proofErr w:type="spellEnd"/>
      <w:r w:rsidRPr="00F133CB">
        <w:t xml:space="preserve"> expression is prominent in both PSNS cells, such as the superior cervical ganglion and non-PSNS dopaminergic neuronal cells, which includes CA, AAC, and MO, from 3 </w:t>
      </w:r>
      <w:proofErr w:type="spellStart"/>
      <w:r w:rsidRPr="00F133CB">
        <w:t>dpf</w:t>
      </w:r>
      <w:proofErr w:type="spellEnd"/>
      <w:r w:rsidRPr="00F133CB">
        <w:t xml:space="preserve"> and onwards</w:t>
      </w:r>
      <w:r w:rsidR="003F2809" w:rsidRPr="00F133CB">
        <w:rPr>
          <w:vertAlign w:val="superscript"/>
        </w:rPr>
        <w:t>6</w:t>
      </w:r>
      <w:r w:rsidRPr="00F133CB">
        <w:t>. Hence, the offspring of MYCN and LMO1 mating are sorted</w:t>
      </w:r>
      <w:r w:rsidRPr="00F133CB">
        <w:rPr>
          <w:i/>
        </w:rPr>
        <w:t xml:space="preserve"> </w:t>
      </w:r>
      <w:r w:rsidRPr="00F133CB">
        <w:t xml:space="preserve">at 1 </w:t>
      </w:r>
      <w:proofErr w:type="spellStart"/>
      <w:r w:rsidRPr="00F133CB">
        <w:t>dpf</w:t>
      </w:r>
      <w:proofErr w:type="spellEnd"/>
      <w:r w:rsidRPr="00F133CB">
        <w:t xml:space="preserve"> for </w:t>
      </w:r>
      <w:r w:rsidRPr="00F133CB">
        <w:rPr>
          <w:i/>
        </w:rPr>
        <w:t>MYCN</w:t>
      </w:r>
      <w:r w:rsidRPr="00F133CB">
        <w:t xml:space="preserve"> (EGFP+) and at 3 </w:t>
      </w:r>
      <w:proofErr w:type="spellStart"/>
      <w:r w:rsidRPr="00F133CB">
        <w:t>dpf</w:t>
      </w:r>
      <w:proofErr w:type="spellEnd"/>
      <w:r w:rsidRPr="00F133CB">
        <w:t xml:space="preserve"> for </w:t>
      </w:r>
      <w:r w:rsidRPr="00F133CB">
        <w:rPr>
          <w:i/>
        </w:rPr>
        <w:t xml:space="preserve">LMO1 </w:t>
      </w:r>
      <w:r w:rsidRPr="00F133CB">
        <w:t>(</w:t>
      </w:r>
      <w:proofErr w:type="spellStart"/>
      <w:r w:rsidRPr="00F133CB">
        <w:t>mCherry</w:t>
      </w:r>
      <w:proofErr w:type="spellEnd"/>
      <w:r w:rsidRPr="00F133CB">
        <w:t xml:space="preserve">+). The sorted fish were separated into different genotypic groups, as follows: i) </w:t>
      </w:r>
      <w:r w:rsidRPr="00F133CB">
        <w:rPr>
          <w:i/>
        </w:rPr>
        <w:t>MYCN</w:t>
      </w:r>
      <w:r w:rsidRPr="00F133CB">
        <w:t xml:space="preserve">, ii) </w:t>
      </w:r>
      <w:r w:rsidRPr="00F133CB">
        <w:rPr>
          <w:i/>
        </w:rPr>
        <w:t>LMO1</w:t>
      </w:r>
      <w:r w:rsidRPr="00F133CB">
        <w:t xml:space="preserve">, iii) </w:t>
      </w:r>
      <w:proofErr w:type="gramStart"/>
      <w:r w:rsidRPr="00F133CB">
        <w:rPr>
          <w:i/>
        </w:rPr>
        <w:t>MYCN;LMO</w:t>
      </w:r>
      <w:proofErr w:type="gramEnd"/>
      <w:r w:rsidRPr="00F133CB">
        <w:rPr>
          <w:i/>
        </w:rPr>
        <w:t>1</w:t>
      </w:r>
      <w:r w:rsidRPr="00F133CB">
        <w:t xml:space="preserve">, and iv) WT, and raised in the identical conditions. Beginning at 4 </w:t>
      </w:r>
      <w:proofErr w:type="spellStart"/>
      <w:r w:rsidRPr="00F133CB">
        <w:t>wpf</w:t>
      </w:r>
      <w:proofErr w:type="spellEnd"/>
      <w:r w:rsidRPr="00F133CB">
        <w:t xml:space="preserve">, the offspring were screened biweekly for the evidence of tumors by fluorescent microscopy. Fluorescent positive tumor masses were detected in the tissues and organs distant from the primary tumor site in the compound transgenic fish with overexpression of both </w:t>
      </w:r>
      <w:r w:rsidRPr="00F133CB">
        <w:rPr>
          <w:i/>
        </w:rPr>
        <w:t>MYCN</w:t>
      </w:r>
      <w:r w:rsidRPr="00F133CB">
        <w:t xml:space="preserve"> and </w:t>
      </w:r>
      <w:r w:rsidRPr="00F133CB">
        <w:rPr>
          <w:i/>
        </w:rPr>
        <w:t>LMO1</w:t>
      </w:r>
      <w:r w:rsidRPr="00F133CB">
        <w:t xml:space="preserve">, but not in the transgenic fish with expression of </w:t>
      </w:r>
      <w:r w:rsidRPr="00F133CB">
        <w:rPr>
          <w:i/>
        </w:rPr>
        <w:t>MYCN</w:t>
      </w:r>
      <w:r w:rsidRPr="00F133CB">
        <w:t xml:space="preserve"> alone (</w:t>
      </w:r>
      <w:r w:rsidRPr="00415489">
        <w:rPr>
          <w:b/>
          <w:bCs/>
        </w:rPr>
        <w:t>Figure 1B</w:t>
      </w:r>
      <w:r w:rsidRPr="00F133CB">
        <w:t>).</w:t>
      </w:r>
    </w:p>
    <w:p w14:paraId="455B6550" w14:textId="77777777" w:rsidR="00F42253" w:rsidRPr="00F133CB" w:rsidRDefault="00F42253" w:rsidP="002251F3"/>
    <w:p w14:paraId="7CD06FBD" w14:textId="4A4F868D" w:rsidR="00140088" w:rsidRPr="00F133CB" w:rsidRDefault="00140088" w:rsidP="001229F8">
      <w:r w:rsidRPr="00F133CB">
        <w:t xml:space="preserve">To further verify the metastasis in these transgenic animals, tumor-bearing </w:t>
      </w:r>
      <w:r w:rsidRPr="00F133CB">
        <w:rPr>
          <w:i/>
        </w:rPr>
        <w:t>MYCN</w:t>
      </w:r>
      <w:r w:rsidRPr="00F133CB">
        <w:t xml:space="preserve"> and </w:t>
      </w:r>
      <w:proofErr w:type="gramStart"/>
      <w:r w:rsidRPr="00F133CB">
        <w:rPr>
          <w:i/>
        </w:rPr>
        <w:t>MYCN;LMO</w:t>
      </w:r>
      <w:proofErr w:type="gramEnd"/>
      <w:r w:rsidRPr="00F133CB">
        <w:rPr>
          <w:i/>
        </w:rPr>
        <w:t>1</w:t>
      </w:r>
      <w:r w:rsidRPr="00F133CB">
        <w:t xml:space="preserve"> transgenic fish at 5 to 9 months of age were subjected for paraffin sectioning and immunohistochemical analyses with an antibody against the neuroblastoma marker, TH. The representative results for a </w:t>
      </w:r>
      <w:proofErr w:type="gramStart"/>
      <w:r w:rsidRPr="00F133CB">
        <w:rPr>
          <w:i/>
        </w:rPr>
        <w:t>MYCN;LMO</w:t>
      </w:r>
      <w:proofErr w:type="gramEnd"/>
      <w:r w:rsidRPr="00F133CB">
        <w:rPr>
          <w:i/>
        </w:rPr>
        <w:t>1</w:t>
      </w:r>
      <w:r w:rsidRPr="00F133CB">
        <w:t xml:space="preserve"> fish is presented in </w:t>
      </w:r>
      <w:r w:rsidRPr="00415489">
        <w:rPr>
          <w:b/>
          <w:bCs/>
        </w:rPr>
        <w:t>Figure 2</w:t>
      </w:r>
      <w:r w:rsidRPr="00F133CB">
        <w:t>. H&amp;E staining of the sagittal sections showed that the primary tumor arose from the interrenal gland region, the zebraﬁsh equivalent of the human adrenal gland, which is the most common site of primary disease in neuroblastoma patient</w:t>
      </w:r>
      <w:r w:rsidR="003F2809" w:rsidRPr="00F133CB">
        <w:rPr>
          <w:vertAlign w:val="superscript"/>
        </w:rPr>
        <w:t>12</w:t>
      </w:r>
      <w:r w:rsidRPr="00F133CB">
        <w:rPr>
          <w:vertAlign w:val="superscript"/>
        </w:rPr>
        <w:t>,</w:t>
      </w:r>
      <w:r w:rsidR="003D0711" w:rsidRPr="00F133CB">
        <w:rPr>
          <w:vertAlign w:val="superscript"/>
        </w:rPr>
        <w:t>22</w:t>
      </w:r>
      <w:r w:rsidRPr="00F133CB">
        <w:t xml:space="preserve"> (</w:t>
      </w:r>
      <w:r w:rsidRPr="00415489">
        <w:rPr>
          <w:b/>
          <w:bCs/>
        </w:rPr>
        <w:t>Figures 2</w:t>
      </w:r>
      <w:proofErr w:type="gramStart"/>
      <w:r w:rsidRPr="00415489">
        <w:rPr>
          <w:b/>
          <w:bCs/>
        </w:rPr>
        <w:t>A</w:t>
      </w:r>
      <w:r w:rsidR="00415489" w:rsidRPr="00415489">
        <w:rPr>
          <w:b/>
          <w:bCs/>
        </w:rPr>
        <w:t>,</w:t>
      </w:r>
      <w:r w:rsidRPr="00415489">
        <w:rPr>
          <w:b/>
          <w:bCs/>
        </w:rPr>
        <w:t>B</w:t>
      </w:r>
      <w:proofErr w:type="gramEnd"/>
      <w:r w:rsidRPr="00F133CB">
        <w:t>). Composed of tiny, undifferentiated, and round cancerous cells with hyperchromatic nuclei, the tumor often formed layers that were histologically similar to the human neuroblastomas as described previously</w:t>
      </w:r>
      <w:r w:rsidR="003F2809" w:rsidRPr="00F133CB">
        <w:rPr>
          <w:vertAlign w:val="superscript"/>
        </w:rPr>
        <w:t>6</w:t>
      </w:r>
      <w:r w:rsidRPr="00F133CB">
        <w:t xml:space="preserve"> (</w:t>
      </w:r>
      <w:r w:rsidRPr="00415489">
        <w:rPr>
          <w:b/>
          <w:bCs/>
        </w:rPr>
        <w:t>Figures 2</w:t>
      </w:r>
      <w:proofErr w:type="gramStart"/>
      <w:r w:rsidRPr="00415489">
        <w:rPr>
          <w:b/>
          <w:bCs/>
        </w:rPr>
        <w:t>A</w:t>
      </w:r>
      <w:r w:rsidR="00415489">
        <w:rPr>
          <w:b/>
          <w:bCs/>
        </w:rPr>
        <w:t>,</w:t>
      </w:r>
      <w:r w:rsidRPr="00415489">
        <w:rPr>
          <w:b/>
          <w:bCs/>
        </w:rPr>
        <w:t>B</w:t>
      </w:r>
      <w:proofErr w:type="gramEnd"/>
      <w:r w:rsidRPr="00F133CB">
        <w:t>). Consistent with the observation by fluorescent microscopy (</w:t>
      </w:r>
      <w:r w:rsidRPr="00415489">
        <w:rPr>
          <w:b/>
          <w:bCs/>
        </w:rPr>
        <w:t>Figure 1B</w:t>
      </w:r>
      <w:r w:rsidRPr="00F133CB">
        <w:t>), widespread tumor masses distant from the inter</w:t>
      </w:r>
      <w:r w:rsidR="00B60680">
        <w:t>-</w:t>
      </w:r>
      <w:r w:rsidRPr="00F133CB">
        <w:t xml:space="preserve">renal gland were detected in </w:t>
      </w:r>
      <w:r w:rsidR="00E11526" w:rsidRPr="00F133CB">
        <w:t>multiple regions, including:</w:t>
      </w:r>
      <w:r w:rsidRPr="00F133CB">
        <w:t xml:space="preserve"> distal portion of the kidney (the primary adult hematopoietic niche of zebrafish and comparable to the mammalian bone marrow</w:t>
      </w:r>
      <w:r w:rsidRPr="00F133CB">
        <w:rPr>
          <w:vertAlign w:val="superscript"/>
        </w:rPr>
        <w:t>2</w:t>
      </w:r>
      <w:r w:rsidR="00F51965" w:rsidRPr="00F133CB">
        <w:rPr>
          <w:vertAlign w:val="superscript"/>
        </w:rPr>
        <w:t>3</w:t>
      </w:r>
      <w:r w:rsidR="00E11526" w:rsidRPr="00F133CB">
        <w:t>) (</w:t>
      </w:r>
      <w:r w:rsidR="00E11526" w:rsidRPr="00415489">
        <w:rPr>
          <w:b/>
          <w:bCs/>
        </w:rPr>
        <w:t>Figure 2A</w:t>
      </w:r>
      <w:r w:rsidR="00415489" w:rsidRPr="00415489">
        <w:rPr>
          <w:b/>
          <w:bCs/>
        </w:rPr>
        <w:t>,</w:t>
      </w:r>
      <w:r w:rsidR="00E11526" w:rsidRPr="00415489">
        <w:rPr>
          <w:b/>
          <w:bCs/>
        </w:rPr>
        <w:t>C</w:t>
      </w:r>
      <w:r w:rsidR="00E11526" w:rsidRPr="00F133CB">
        <w:t>), orbit (</w:t>
      </w:r>
      <w:r w:rsidR="00E11526" w:rsidRPr="00415489">
        <w:rPr>
          <w:b/>
          <w:bCs/>
        </w:rPr>
        <w:t>Figures 2A</w:t>
      </w:r>
      <w:r w:rsidR="00415489" w:rsidRPr="00415489">
        <w:rPr>
          <w:b/>
          <w:bCs/>
        </w:rPr>
        <w:t>,</w:t>
      </w:r>
      <w:r w:rsidR="00E11526" w:rsidRPr="00415489">
        <w:rPr>
          <w:b/>
          <w:bCs/>
        </w:rPr>
        <w:t>D</w:t>
      </w:r>
      <w:r w:rsidR="00E11526" w:rsidRPr="00F133CB">
        <w:t xml:space="preserve">), </w:t>
      </w:r>
      <w:r w:rsidRPr="00F133CB">
        <w:t>gill (analogous to the mammalian lung</w:t>
      </w:r>
      <w:r w:rsidRPr="00F133CB">
        <w:rPr>
          <w:vertAlign w:val="superscript"/>
        </w:rPr>
        <w:t>2</w:t>
      </w:r>
      <w:r w:rsidR="00F51965" w:rsidRPr="00F133CB">
        <w:rPr>
          <w:vertAlign w:val="superscript"/>
        </w:rPr>
        <w:t>4</w:t>
      </w:r>
      <w:r w:rsidR="00E11526" w:rsidRPr="00F133CB">
        <w:t>) (</w:t>
      </w:r>
      <w:r w:rsidR="00E11526" w:rsidRPr="00415489">
        <w:rPr>
          <w:b/>
          <w:bCs/>
        </w:rPr>
        <w:t>Figures 2A</w:t>
      </w:r>
      <w:r w:rsidR="00415489" w:rsidRPr="00415489">
        <w:rPr>
          <w:b/>
          <w:bCs/>
        </w:rPr>
        <w:t>,E</w:t>
      </w:r>
      <w:r w:rsidR="00E11526" w:rsidRPr="00F133CB">
        <w:t xml:space="preserve">), </w:t>
      </w:r>
      <w:r w:rsidRPr="00F133CB">
        <w:t>spleen (analogous to the mammalian lymph node</w:t>
      </w:r>
      <w:r w:rsidRPr="00F133CB">
        <w:rPr>
          <w:vertAlign w:val="superscript"/>
        </w:rPr>
        <w:t>2</w:t>
      </w:r>
      <w:r w:rsidR="00F51965" w:rsidRPr="00F133CB">
        <w:rPr>
          <w:vertAlign w:val="superscript"/>
        </w:rPr>
        <w:t>5</w:t>
      </w:r>
      <w:r w:rsidR="00E11526" w:rsidRPr="00F133CB">
        <w:t>) (Figure 2A and 2F) and</w:t>
      </w:r>
      <w:r w:rsidRPr="00F133CB">
        <w:t xml:space="preserve"> inner wall of atrial chamber of heart (</w:t>
      </w:r>
      <w:r w:rsidRPr="00415489">
        <w:rPr>
          <w:b/>
          <w:bCs/>
        </w:rPr>
        <w:t>Figures 2G</w:t>
      </w:r>
      <w:r w:rsidRPr="00F133CB">
        <w:t>). Many of these metastases recapitulate the common sites of metastases seen in patients with hi</w:t>
      </w:r>
      <w:r w:rsidR="00E11526" w:rsidRPr="00F133CB">
        <w:t>gh-risk neuroblastoma, which include the</w:t>
      </w:r>
      <w:r w:rsidRPr="00F133CB">
        <w:t xml:space="preserve"> bone marrow, lymph node, orbit region and lung</w:t>
      </w:r>
      <w:r w:rsidR="003F2809" w:rsidRPr="00F133CB">
        <w:rPr>
          <w:vertAlign w:val="superscript"/>
        </w:rPr>
        <w:t>13</w:t>
      </w:r>
      <w:r w:rsidRPr="00F133CB">
        <w:rPr>
          <w:vertAlign w:val="superscript"/>
        </w:rPr>
        <w:t>,2</w:t>
      </w:r>
      <w:r w:rsidR="00F51965" w:rsidRPr="00F133CB">
        <w:rPr>
          <w:vertAlign w:val="superscript"/>
        </w:rPr>
        <w:t>3</w:t>
      </w:r>
      <w:r w:rsidRPr="00F133CB">
        <w:rPr>
          <w:vertAlign w:val="superscript"/>
        </w:rPr>
        <w:t>,2</w:t>
      </w:r>
      <w:r w:rsidR="00F51965" w:rsidRPr="00F133CB">
        <w:rPr>
          <w:vertAlign w:val="superscript"/>
        </w:rPr>
        <w:t>4</w:t>
      </w:r>
      <w:r w:rsidRPr="00F133CB">
        <w:rPr>
          <w:vertAlign w:val="superscript"/>
        </w:rPr>
        <w:t>,2</w:t>
      </w:r>
      <w:r w:rsidR="00F51965" w:rsidRPr="00F133CB">
        <w:rPr>
          <w:vertAlign w:val="superscript"/>
        </w:rPr>
        <w:t>5</w:t>
      </w:r>
      <w:r w:rsidRPr="00F133CB">
        <w:t>. Further immunohistochemistry with the antibody against T</w:t>
      </w:r>
      <w:r w:rsidR="00E11526" w:rsidRPr="00F133CB">
        <w:t xml:space="preserve">H confirmed the PSNS neuroblast </w:t>
      </w:r>
      <w:r w:rsidRPr="00F133CB">
        <w:t>lineage of tumor cells at</w:t>
      </w:r>
      <w:r w:rsidR="00E11526" w:rsidRPr="00F133CB">
        <w:t xml:space="preserve"> the</w:t>
      </w:r>
      <w:r w:rsidRPr="00F133CB">
        <w:t xml:space="preserve"> primary </w:t>
      </w:r>
      <w:r w:rsidR="00E11526" w:rsidRPr="00F133CB">
        <w:t xml:space="preserve">tumor </w:t>
      </w:r>
      <w:r w:rsidRPr="00F133CB">
        <w:t>and all</w:t>
      </w:r>
      <w:r w:rsidR="00E11526" w:rsidRPr="00F133CB">
        <w:t xml:space="preserve"> the</w:t>
      </w:r>
      <w:r w:rsidRPr="00F133CB">
        <w:t xml:space="preserve"> metastatic sites (</w:t>
      </w:r>
      <w:r w:rsidRPr="00415489">
        <w:rPr>
          <w:b/>
          <w:bCs/>
        </w:rPr>
        <w:t>Figures 2H–M</w:t>
      </w:r>
      <w:r w:rsidRPr="00F133CB">
        <w:t xml:space="preserve">). </w:t>
      </w:r>
    </w:p>
    <w:p w14:paraId="0FBE6848" w14:textId="77777777" w:rsidR="00F42253" w:rsidRPr="00F133CB" w:rsidRDefault="00F42253" w:rsidP="002251F3"/>
    <w:p w14:paraId="635BA32A" w14:textId="236513B2" w:rsidR="00140088" w:rsidRPr="00F133CB" w:rsidRDefault="00140088" w:rsidP="001229F8">
      <w:r w:rsidRPr="00F133CB">
        <w:t xml:space="preserve">In an effort to better understand the mechanisms underlying the synergy between </w:t>
      </w:r>
      <w:r w:rsidRPr="00F133CB">
        <w:rPr>
          <w:i/>
        </w:rPr>
        <w:t>MYCN</w:t>
      </w:r>
      <w:r w:rsidRPr="00F133CB">
        <w:t xml:space="preserve"> and </w:t>
      </w:r>
      <w:r w:rsidRPr="00F133CB">
        <w:rPr>
          <w:i/>
        </w:rPr>
        <w:t>LMO1</w:t>
      </w:r>
      <w:r w:rsidRPr="00F133CB">
        <w:t xml:space="preserve"> in accelerating tumor metastatic spread, it was discovered that the expression leve</w:t>
      </w:r>
      <w:r w:rsidR="00E11526" w:rsidRPr="00F133CB">
        <w:t>ls of a panel of genes involved</w:t>
      </w:r>
      <w:r w:rsidR="00A04D52" w:rsidRPr="00F133CB">
        <w:t xml:space="preserve"> in tumor cell to </w:t>
      </w:r>
      <w:r w:rsidRPr="00F133CB">
        <w:t xml:space="preserve">extracellular matrix interaction were significantly elevated in the fish tumors with overexpression of both </w:t>
      </w:r>
      <w:r w:rsidRPr="00F133CB">
        <w:rPr>
          <w:i/>
        </w:rPr>
        <w:t>MYCN</w:t>
      </w:r>
      <w:r w:rsidRPr="00F133CB">
        <w:t xml:space="preserve"> and </w:t>
      </w:r>
      <w:r w:rsidRPr="00F133CB">
        <w:rPr>
          <w:i/>
        </w:rPr>
        <w:t>LMO1</w:t>
      </w:r>
      <w:r w:rsidRPr="00F133CB">
        <w:rPr>
          <w:vertAlign w:val="superscript"/>
        </w:rPr>
        <w:t>1</w:t>
      </w:r>
      <w:r w:rsidR="003F2809" w:rsidRPr="00F133CB">
        <w:rPr>
          <w:vertAlign w:val="superscript"/>
        </w:rPr>
        <w:t>3</w:t>
      </w:r>
      <w:r w:rsidRPr="00F133CB">
        <w:t xml:space="preserve">. To examine whether the extracellular matrix was indeed affected by the altered gene expression in </w:t>
      </w:r>
      <w:r w:rsidRPr="00F133CB">
        <w:rPr>
          <w:i/>
        </w:rPr>
        <w:t>LMO1</w:t>
      </w:r>
      <w:r w:rsidRPr="00F133CB">
        <w:t xml:space="preserve">-overexpressing tumors leading to enhanced tumor dissemination or migration, the parafﬁn sections from </w:t>
      </w:r>
      <w:r w:rsidRPr="00F133CB">
        <w:rPr>
          <w:i/>
        </w:rPr>
        <w:t>MYCN</w:t>
      </w:r>
      <w:r w:rsidRPr="00F133CB">
        <w:t xml:space="preserve">-only and </w:t>
      </w:r>
      <w:r w:rsidRPr="00F133CB">
        <w:rPr>
          <w:i/>
        </w:rPr>
        <w:t>MYCN;LMO1</w:t>
      </w:r>
      <w:r w:rsidRPr="00F133CB">
        <w:t xml:space="preserve"> tumors were stained with Picrosirius red (PSR), a highly selective stain for collagen ﬁbers to assess collagen deposition and extracellular matrix </w:t>
      </w:r>
      <w:r w:rsidRPr="00F133CB">
        <w:lastRenderedPageBreak/>
        <w:t>(ECM) stiffness</w:t>
      </w:r>
      <w:r w:rsidRPr="00F133CB">
        <w:rPr>
          <w:vertAlign w:val="superscript"/>
        </w:rPr>
        <w:t>2</w:t>
      </w:r>
      <w:r w:rsidR="00F51965" w:rsidRPr="00F133CB">
        <w:rPr>
          <w:vertAlign w:val="superscript"/>
        </w:rPr>
        <w:t>6</w:t>
      </w:r>
      <w:r w:rsidRPr="00F133CB">
        <w:rPr>
          <w:vertAlign w:val="superscript"/>
        </w:rPr>
        <w:t>,2</w:t>
      </w:r>
      <w:r w:rsidR="00F51965" w:rsidRPr="00F133CB">
        <w:rPr>
          <w:vertAlign w:val="superscript"/>
        </w:rPr>
        <w:t>7</w:t>
      </w:r>
      <w:r w:rsidRPr="00F133CB">
        <w:t xml:space="preserve">. As demonstrated in </w:t>
      </w:r>
      <w:r w:rsidRPr="00415489">
        <w:rPr>
          <w:b/>
          <w:bCs/>
        </w:rPr>
        <w:t>Figure 3A-E</w:t>
      </w:r>
      <w:r w:rsidRPr="00F133CB">
        <w:t xml:space="preserve">, there were signiﬁcantly amplified amounts and increased thickness of PSR-stained collagen ﬁbers found in </w:t>
      </w:r>
      <w:r w:rsidRPr="00F133CB">
        <w:rPr>
          <w:i/>
        </w:rPr>
        <w:t xml:space="preserve">MYCN;LMO1 </w:t>
      </w:r>
      <w:r w:rsidRPr="00F133CB">
        <w:t xml:space="preserve">tumors, when compared to the tumors </w:t>
      </w:r>
      <w:r w:rsidR="00A04D52" w:rsidRPr="00F133CB">
        <w:t xml:space="preserve">only </w:t>
      </w:r>
      <w:r w:rsidRPr="00F133CB">
        <w:t xml:space="preserve">expressing </w:t>
      </w:r>
      <w:r w:rsidRPr="00F133CB">
        <w:rPr>
          <w:i/>
        </w:rPr>
        <w:t xml:space="preserve">MYCN </w:t>
      </w:r>
      <w:r w:rsidRPr="00F133CB">
        <w:t>alone. Together, these results demonstrate that</w:t>
      </w:r>
      <w:r w:rsidR="00A04D52" w:rsidRPr="00F133CB">
        <w:t xml:space="preserve"> the</w:t>
      </w:r>
      <w:r w:rsidRPr="00F133CB">
        <w:t xml:space="preserve"> overexpression of </w:t>
      </w:r>
      <w:r w:rsidRPr="00F133CB">
        <w:rPr>
          <w:i/>
        </w:rPr>
        <w:t>LMO1</w:t>
      </w:r>
      <w:r w:rsidRPr="00F133CB">
        <w:t xml:space="preserve"> can remodel the tumor ECM to increase its stiffness, </w:t>
      </w:r>
      <w:r w:rsidR="00A04D52" w:rsidRPr="00F133CB">
        <w:t xml:space="preserve">and </w:t>
      </w:r>
      <w:r w:rsidRPr="00F133CB">
        <w:t>therefore, facilitating tumor cell dissemination.</w:t>
      </w:r>
      <w:r w:rsidRPr="00F133CB" w:rsidDel="00286C9F">
        <w:t xml:space="preserve"> </w:t>
      </w:r>
    </w:p>
    <w:p w14:paraId="4D8F65B0" w14:textId="77777777" w:rsidR="00140088" w:rsidRPr="00F133CB" w:rsidRDefault="00140088" w:rsidP="002251F3"/>
    <w:p w14:paraId="113CEC34" w14:textId="27E74F7A" w:rsidR="00140088" w:rsidRPr="00F133CB" w:rsidRDefault="00140088" w:rsidP="002251F3">
      <w:r w:rsidRPr="00F133CB">
        <w:rPr>
          <w:b/>
        </w:rPr>
        <w:t>FIGURE AND TABLE LEGENDS:</w:t>
      </w:r>
      <w:r w:rsidRPr="00F133CB">
        <w:t xml:space="preserve"> </w:t>
      </w:r>
    </w:p>
    <w:p w14:paraId="74C5BFE2" w14:textId="77777777" w:rsidR="00EC6D14" w:rsidRPr="00F133CB" w:rsidRDefault="00EC6D14" w:rsidP="002251F3"/>
    <w:p w14:paraId="7FE35516" w14:textId="6128D5D4" w:rsidR="00FC3F31" w:rsidRPr="00415489" w:rsidRDefault="00FC3F31" w:rsidP="002251F3">
      <w:pPr>
        <w:rPr>
          <w:b/>
        </w:rPr>
      </w:pPr>
      <w:r w:rsidRPr="00F133CB">
        <w:rPr>
          <w:b/>
        </w:rPr>
        <w:t>Figure 1</w:t>
      </w:r>
      <w:r w:rsidR="00415489">
        <w:rPr>
          <w:b/>
        </w:rPr>
        <w:t>:</w:t>
      </w:r>
      <w:r w:rsidRPr="00F133CB">
        <w:rPr>
          <w:b/>
        </w:rPr>
        <w:t xml:space="preserve"> Illustration of the tumor screening assay on offspring from the breeding of </w:t>
      </w:r>
      <w:r w:rsidRPr="00F133CB">
        <w:rPr>
          <w:b/>
          <w:i/>
        </w:rPr>
        <w:t>MYCN</w:t>
      </w:r>
      <w:r w:rsidRPr="00F133CB">
        <w:rPr>
          <w:b/>
        </w:rPr>
        <w:t xml:space="preserve"> and </w:t>
      </w:r>
      <w:r w:rsidRPr="00F133CB">
        <w:rPr>
          <w:b/>
          <w:i/>
        </w:rPr>
        <w:t>LMO1</w:t>
      </w:r>
      <w:r w:rsidRPr="00F133CB">
        <w:rPr>
          <w:b/>
        </w:rPr>
        <w:t xml:space="preserve"> transgenic zebrafish lines.</w:t>
      </w:r>
      <w:r w:rsidR="00415489">
        <w:rPr>
          <w:b/>
        </w:rPr>
        <w:t xml:space="preserve"> </w:t>
      </w:r>
      <w:r w:rsidRPr="00F133CB">
        <w:t>(</w:t>
      </w:r>
      <w:r w:rsidRPr="00415489">
        <w:rPr>
          <w:b/>
          <w:bCs/>
        </w:rPr>
        <w:t>A</w:t>
      </w:r>
      <w:r w:rsidRPr="00F133CB">
        <w:t xml:space="preserve">) Schematic illustration of sorting and tumor screening of </w:t>
      </w:r>
      <w:r w:rsidRPr="00F133CB">
        <w:rPr>
          <w:i/>
        </w:rPr>
        <w:t>MYCN</w:t>
      </w:r>
      <w:r w:rsidRPr="00F133CB">
        <w:t xml:space="preserve"> and/or </w:t>
      </w:r>
      <w:r w:rsidRPr="00F133CB">
        <w:rPr>
          <w:i/>
        </w:rPr>
        <w:t>LMO1</w:t>
      </w:r>
      <w:r w:rsidRPr="00F133CB">
        <w:t xml:space="preserve">-overexpressing stable transgenic fish for neuroblastoma study. </w:t>
      </w:r>
      <w:r w:rsidRPr="00F133CB">
        <w:rPr>
          <w:i/>
        </w:rPr>
        <w:t>Upper panels</w:t>
      </w:r>
      <w:r w:rsidRPr="00F133CB">
        <w:t>: Representative pictures of EGFP-MYCN</w:t>
      </w:r>
      <w:r w:rsidRPr="00F133CB">
        <w:rPr>
          <w:vertAlign w:val="superscript"/>
        </w:rPr>
        <w:t>+</w:t>
      </w:r>
      <w:r w:rsidRPr="00F133CB">
        <w:t xml:space="preserve"> embryos at 1 day postfertilization (</w:t>
      </w:r>
      <w:proofErr w:type="spellStart"/>
      <w:r w:rsidRPr="00F133CB">
        <w:t>dpf</w:t>
      </w:r>
      <w:proofErr w:type="spellEnd"/>
      <w:r w:rsidRPr="00F133CB">
        <w:t xml:space="preserve">) (dorsal view on the left and lateral view on the right). </w:t>
      </w:r>
      <w:r w:rsidRPr="00F133CB">
        <w:rPr>
          <w:i/>
        </w:rPr>
        <w:t>Lower panels</w:t>
      </w:r>
      <w:r w:rsidRPr="00F133CB">
        <w:t>: Representative pictures of mCherry</w:t>
      </w:r>
      <w:r w:rsidR="00B274A8" w:rsidRPr="00F133CB">
        <w:t>-LMO1</w:t>
      </w:r>
      <w:r w:rsidRPr="00F133CB">
        <w:rPr>
          <w:vertAlign w:val="superscript"/>
        </w:rPr>
        <w:t>+</w:t>
      </w:r>
      <w:r w:rsidRPr="00F133CB">
        <w:t xml:space="preserve"> embryos at 3 </w:t>
      </w:r>
      <w:proofErr w:type="spellStart"/>
      <w:r w:rsidRPr="00F133CB">
        <w:t>dpf</w:t>
      </w:r>
      <w:proofErr w:type="spellEnd"/>
      <w:r w:rsidRPr="00F133CB">
        <w:t xml:space="preserve"> (lateral view on the left and ventral view on the right). AAC, arch-associated catecholaminergic neurons; CA, cranial ganglia; and MO, medulla oblongata. Scale bar, 100 µm. </w:t>
      </w:r>
      <w:r w:rsidR="00A33C8D" w:rsidRPr="00F133CB">
        <w:t xml:space="preserve">Created with BioRender.com </w:t>
      </w:r>
      <w:r w:rsidRPr="00F133CB">
        <w:t>(</w:t>
      </w:r>
      <w:r w:rsidRPr="00415489">
        <w:rPr>
          <w:b/>
          <w:bCs/>
        </w:rPr>
        <w:t>B</w:t>
      </w:r>
      <w:r w:rsidRPr="00F133CB">
        <w:t xml:space="preserve">) Coexpression of </w:t>
      </w:r>
      <w:r w:rsidRPr="00F133CB">
        <w:rPr>
          <w:i/>
        </w:rPr>
        <w:t>LMO1</w:t>
      </w:r>
      <w:r w:rsidRPr="00F133CB">
        <w:t xml:space="preserve"> and </w:t>
      </w:r>
      <w:r w:rsidRPr="00F133CB">
        <w:rPr>
          <w:i/>
        </w:rPr>
        <w:t>MYCN</w:t>
      </w:r>
      <w:r w:rsidRPr="00F133CB">
        <w:t xml:space="preserve"> promotes neuroblastoma metastasis. </w:t>
      </w:r>
      <w:r w:rsidRPr="00F133CB">
        <w:rPr>
          <w:i/>
        </w:rPr>
        <w:t>Left</w:t>
      </w:r>
      <w:r w:rsidRPr="00F133CB">
        <w:t xml:space="preserve">: </w:t>
      </w:r>
      <w:r w:rsidRPr="00F133CB">
        <w:rPr>
          <w:i/>
        </w:rPr>
        <w:t>T</w:t>
      </w:r>
      <w:r w:rsidRPr="00F133CB">
        <w:t>ransgenic fish overexpressing MYCN alone (</w:t>
      </w:r>
      <w:r w:rsidRPr="00F133CB">
        <w:rPr>
          <w:i/>
        </w:rPr>
        <w:t>MYCN</w:t>
      </w:r>
      <w:r w:rsidRPr="00F133CB">
        <w:t xml:space="preserve">) </w:t>
      </w:r>
      <w:r w:rsidR="003C089F" w:rsidRPr="00F133CB">
        <w:t>with EGFP-expressing tumor (white</w:t>
      </w:r>
      <w:r w:rsidRPr="00F133CB">
        <w:t xml:space="preserve"> </w:t>
      </w:r>
      <w:r w:rsidR="00F06483" w:rsidRPr="00F133CB">
        <w:t>arrow</w:t>
      </w:r>
      <w:r w:rsidRPr="00F133CB">
        <w:t xml:space="preserve">) at </w:t>
      </w:r>
      <w:r w:rsidR="00F06483" w:rsidRPr="00F133CB">
        <w:t>36</w:t>
      </w:r>
      <w:r w:rsidRPr="00F133CB">
        <w:t xml:space="preserve"> </w:t>
      </w:r>
      <w:r w:rsidR="00F06483" w:rsidRPr="00F133CB">
        <w:t>months of age</w:t>
      </w:r>
      <w:r w:rsidRPr="00F133CB">
        <w:t xml:space="preserve">. </w:t>
      </w:r>
      <w:r w:rsidRPr="00F133CB">
        <w:rPr>
          <w:i/>
        </w:rPr>
        <w:t>Right</w:t>
      </w:r>
      <w:r w:rsidRPr="00F133CB">
        <w:t xml:space="preserve">: Transgenic fish overexpressing both </w:t>
      </w:r>
      <w:r w:rsidRPr="00F133CB">
        <w:rPr>
          <w:i/>
        </w:rPr>
        <w:t>MYCN</w:t>
      </w:r>
      <w:r w:rsidRPr="00F133CB">
        <w:t xml:space="preserve"> and </w:t>
      </w:r>
      <w:r w:rsidRPr="00F133CB">
        <w:rPr>
          <w:i/>
        </w:rPr>
        <w:t>LMO</w:t>
      </w:r>
      <w:r w:rsidRPr="00F133CB">
        <w:t>1 (</w:t>
      </w:r>
      <w:proofErr w:type="gramStart"/>
      <w:r w:rsidRPr="00F133CB">
        <w:rPr>
          <w:i/>
        </w:rPr>
        <w:t>MYCN;LMO</w:t>
      </w:r>
      <w:proofErr w:type="gramEnd"/>
      <w:r w:rsidRPr="00F133CB">
        <w:rPr>
          <w:i/>
        </w:rPr>
        <w:t>1</w:t>
      </w:r>
      <w:r w:rsidRPr="00F133CB">
        <w:t xml:space="preserve">) with a </w:t>
      </w:r>
      <w:proofErr w:type="spellStart"/>
      <w:r w:rsidRPr="00F133CB">
        <w:t>mCherry</w:t>
      </w:r>
      <w:proofErr w:type="spellEnd"/>
      <w:r w:rsidRPr="00F133CB">
        <w:t xml:space="preserve">-positive tumor mass at the primary site (IRG, </w:t>
      </w:r>
      <w:r w:rsidR="003C089F" w:rsidRPr="00F133CB">
        <w:t>white</w:t>
      </w:r>
      <w:r w:rsidR="00F06483" w:rsidRPr="00F133CB">
        <w:t xml:space="preserve"> arrow</w:t>
      </w:r>
      <w:r w:rsidRPr="00F133CB">
        <w:t>) and multiple metastatic sites</w:t>
      </w:r>
      <w:r w:rsidR="00DC18E6" w:rsidRPr="00F133CB">
        <w:t xml:space="preserve"> (solid </w:t>
      </w:r>
      <w:r w:rsidR="00F06483" w:rsidRPr="00F133CB">
        <w:t>arrowheads)</w:t>
      </w:r>
      <w:r w:rsidRPr="00F133CB">
        <w:t xml:space="preserve"> at </w:t>
      </w:r>
      <w:r w:rsidR="00F06483" w:rsidRPr="00F133CB">
        <w:t>36 months of age</w:t>
      </w:r>
      <w:r w:rsidRPr="00F133CB">
        <w:t xml:space="preserve">. Scale bar, 1 mm. </w:t>
      </w:r>
    </w:p>
    <w:p w14:paraId="17D6082D" w14:textId="77777777" w:rsidR="00140088" w:rsidRPr="00F133CB" w:rsidRDefault="00140088" w:rsidP="002251F3"/>
    <w:p w14:paraId="0974E89E" w14:textId="142BC85D" w:rsidR="00140088" w:rsidRPr="00415489" w:rsidRDefault="00140088" w:rsidP="002251F3">
      <w:pPr>
        <w:rPr>
          <w:b/>
        </w:rPr>
      </w:pPr>
      <w:r w:rsidRPr="00F133CB">
        <w:rPr>
          <w:b/>
        </w:rPr>
        <w:t>Figure 2</w:t>
      </w:r>
      <w:r w:rsidR="00415489">
        <w:rPr>
          <w:b/>
        </w:rPr>
        <w:t>:</w:t>
      </w:r>
      <w:r w:rsidRPr="00F133CB">
        <w:rPr>
          <w:b/>
        </w:rPr>
        <w:t xml:space="preserve"> Co</w:t>
      </w:r>
      <w:r w:rsidR="00F20081" w:rsidRPr="00F133CB">
        <w:rPr>
          <w:b/>
        </w:rPr>
        <w:t>-over</w:t>
      </w:r>
      <w:r w:rsidRPr="00F133CB">
        <w:rPr>
          <w:b/>
        </w:rPr>
        <w:t xml:space="preserve">expression of </w:t>
      </w:r>
      <w:r w:rsidRPr="00F133CB">
        <w:rPr>
          <w:b/>
          <w:i/>
        </w:rPr>
        <w:t>MYCN</w:t>
      </w:r>
      <w:r w:rsidRPr="00F133CB">
        <w:rPr>
          <w:b/>
        </w:rPr>
        <w:t xml:space="preserve"> and </w:t>
      </w:r>
      <w:r w:rsidRPr="00F133CB">
        <w:rPr>
          <w:b/>
          <w:i/>
        </w:rPr>
        <w:t>LMO1</w:t>
      </w:r>
      <w:r w:rsidRPr="00F133CB">
        <w:rPr>
          <w:b/>
        </w:rPr>
        <w:t xml:space="preserve"> </w:t>
      </w:r>
      <w:r w:rsidR="00F20081" w:rsidRPr="00F133CB">
        <w:rPr>
          <w:b/>
        </w:rPr>
        <w:t>promotes</w:t>
      </w:r>
      <w:r w:rsidRPr="00F133CB">
        <w:rPr>
          <w:b/>
        </w:rPr>
        <w:t xml:space="preserve"> distant metastases of neuroblastoma</w:t>
      </w:r>
      <w:r w:rsidR="00F20081" w:rsidRPr="00F133CB">
        <w:rPr>
          <w:b/>
        </w:rPr>
        <w:t xml:space="preserve"> in transgenic zebrafish model</w:t>
      </w:r>
      <w:r w:rsidRPr="00F133CB">
        <w:t>.</w:t>
      </w:r>
      <w:r w:rsidR="00415489">
        <w:rPr>
          <w:b/>
        </w:rPr>
        <w:t xml:space="preserve"> </w:t>
      </w:r>
      <w:r w:rsidRPr="00F133CB">
        <w:t>(</w:t>
      </w:r>
      <w:r w:rsidRPr="00415489">
        <w:rPr>
          <w:b/>
          <w:bCs/>
        </w:rPr>
        <w:t>A-G</w:t>
      </w:r>
      <w:r w:rsidRPr="00F133CB">
        <w:t xml:space="preserve">) H&amp;E-stained sagittal sections of </w:t>
      </w:r>
      <w:proofErr w:type="gramStart"/>
      <w:r w:rsidRPr="00F133CB">
        <w:rPr>
          <w:i/>
        </w:rPr>
        <w:t>MYCN;LMO</w:t>
      </w:r>
      <w:proofErr w:type="gramEnd"/>
      <w:r w:rsidRPr="00F133CB">
        <w:rPr>
          <w:i/>
        </w:rPr>
        <w:t>1</w:t>
      </w:r>
      <w:r w:rsidRPr="00F133CB">
        <w:t xml:space="preserve"> transgenic fish while at 6 months of age. (</w:t>
      </w:r>
      <w:r w:rsidRPr="00415489">
        <w:rPr>
          <w:b/>
          <w:bCs/>
        </w:rPr>
        <w:t>H-M</w:t>
      </w:r>
      <w:r w:rsidRPr="00F133CB">
        <w:t xml:space="preserve">) Magnified views of immunohistochemical analyses of </w:t>
      </w:r>
      <w:proofErr w:type="gramStart"/>
      <w:r w:rsidRPr="00F133CB">
        <w:rPr>
          <w:i/>
        </w:rPr>
        <w:t>MYCN;LMO</w:t>
      </w:r>
      <w:proofErr w:type="gramEnd"/>
      <w:r w:rsidRPr="00F133CB">
        <w:rPr>
          <w:i/>
        </w:rPr>
        <w:t>1</w:t>
      </w:r>
      <w:r w:rsidRPr="00F133CB">
        <w:t xml:space="preserve"> transgenic fish in sagittal tissue sections, using tyrosine hydroxylase (TH) antibody. White box outlines the interrenal gland (b, h), with magnified views in panels </w:t>
      </w:r>
      <w:r w:rsidRPr="00415489">
        <w:rPr>
          <w:b/>
          <w:bCs/>
        </w:rPr>
        <w:t>B</w:t>
      </w:r>
      <w:r w:rsidRPr="00F133CB">
        <w:t xml:space="preserve"> and </w:t>
      </w:r>
      <w:r w:rsidRPr="00415489">
        <w:rPr>
          <w:b/>
          <w:bCs/>
        </w:rPr>
        <w:t>H</w:t>
      </w:r>
      <w:r w:rsidRPr="00F133CB">
        <w:t xml:space="preserve">. Disseminated tumor cells were found in kidney marrow (c, i, </w:t>
      </w:r>
      <w:r w:rsidRPr="00415489">
        <w:rPr>
          <w:b/>
          <w:bCs/>
        </w:rPr>
        <w:t>C</w:t>
      </w:r>
      <w:r w:rsidRPr="00F133CB">
        <w:t xml:space="preserve">, and </w:t>
      </w:r>
      <w:r w:rsidRPr="00415489">
        <w:rPr>
          <w:b/>
          <w:bCs/>
        </w:rPr>
        <w:t>I</w:t>
      </w:r>
      <w:r w:rsidRPr="00F133CB">
        <w:t xml:space="preserve"> with solid black arrowheads), the sclera of the eye (d, j, </w:t>
      </w:r>
      <w:r w:rsidRPr="00415489">
        <w:rPr>
          <w:b/>
          <w:bCs/>
        </w:rPr>
        <w:t>D</w:t>
      </w:r>
      <w:r w:rsidRPr="00F133CB">
        <w:t xml:space="preserve">, and </w:t>
      </w:r>
      <w:r w:rsidRPr="00415489">
        <w:rPr>
          <w:b/>
          <w:bCs/>
        </w:rPr>
        <w:t>J</w:t>
      </w:r>
      <w:r w:rsidRPr="00F133CB">
        <w:t xml:space="preserve"> with black outlined and white filled open arrows), the gill (e, k, </w:t>
      </w:r>
      <w:r w:rsidRPr="00415489">
        <w:rPr>
          <w:b/>
          <w:bCs/>
        </w:rPr>
        <w:t>E</w:t>
      </w:r>
      <w:r w:rsidRPr="00F133CB">
        <w:t xml:space="preserve">, and </w:t>
      </w:r>
      <w:r w:rsidRPr="00415489">
        <w:rPr>
          <w:b/>
          <w:bCs/>
        </w:rPr>
        <w:t>K</w:t>
      </w:r>
      <w:r w:rsidRPr="00F133CB">
        <w:t xml:space="preserve"> with black outlined and white filled open arrowheads), the spleen (f, </w:t>
      </w:r>
      <w:r w:rsidRPr="00415489">
        <w:rPr>
          <w:b/>
          <w:bCs/>
        </w:rPr>
        <w:t>l</w:t>
      </w:r>
      <w:r w:rsidRPr="00F133CB">
        <w:t xml:space="preserve">, </w:t>
      </w:r>
      <w:r w:rsidRPr="00415489">
        <w:rPr>
          <w:b/>
          <w:bCs/>
        </w:rPr>
        <w:t>F</w:t>
      </w:r>
      <w:r w:rsidRPr="00F133CB">
        <w:t xml:space="preserve">, and </w:t>
      </w:r>
      <w:r w:rsidRPr="00415489">
        <w:rPr>
          <w:b/>
          <w:bCs/>
        </w:rPr>
        <w:t>L</w:t>
      </w:r>
      <w:r w:rsidRPr="00F133CB">
        <w:t xml:space="preserve"> with solid black arrows), and the heart chamber (</w:t>
      </w:r>
      <w:r w:rsidRPr="00415489">
        <w:rPr>
          <w:b/>
          <w:bCs/>
        </w:rPr>
        <w:t>G</w:t>
      </w:r>
      <w:r w:rsidRPr="00F133CB">
        <w:t xml:space="preserve"> and </w:t>
      </w:r>
      <w:r w:rsidRPr="00415489">
        <w:rPr>
          <w:b/>
          <w:bCs/>
        </w:rPr>
        <w:t>M</w:t>
      </w:r>
      <w:r w:rsidRPr="00F133CB">
        <w:t xml:space="preserve"> with black outlined and white filled double arrowheads). Scale bars, 100 </w:t>
      </w:r>
      <w:proofErr w:type="spellStart"/>
      <w:r w:rsidRPr="00F133CB">
        <w:t>μm</w:t>
      </w:r>
      <w:proofErr w:type="spellEnd"/>
      <w:r w:rsidRPr="00F133CB">
        <w:t xml:space="preserve"> (</w:t>
      </w:r>
      <w:r w:rsidRPr="00415489">
        <w:rPr>
          <w:b/>
          <w:bCs/>
        </w:rPr>
        <w:t>A</w:t>
      </w:r>
      <w:r w:rsidRPr="00F133CB">
        <w:t xml:space="preserve">) and 50 </w:t>
      </w:r>
      <w:proofErr w:type="spellStart"/>
      <w:r w:rsidRPr="00F133CB">
        <w:t>μm</w:t>
      </w:r>
      <w:proofErr w:type="spellEnd"/>
      <w:r w:rsidRPr="00F133CB">
        <w:t xml:space="preserve"> (</w:t>
      </w:r>
      <w:r w:rsidRPr="00415489">
        <w:rPr>
          <w:b/>
          <w:bCs/>
        </w:rPr>
        <w:t>B-M</w:t>
      </w:r>
      <w:r w:rsidRPr="00F133CB">
        <w:t>). This figure has been modified from Zhu, S. et al. LMO1 Synergizes with MYCN to Promote Neuroblastoma Initiation and Metastasis. Cancer Cell. 32, 310–323 (2017)</w:t>
      </w:r>
      <w:r w:rsidRPr="00F133CB">
        <w:rPr>
          <w:vertAlign w:val="superscript"/>
        </w:rPr>
        <w:t>1</w:t>
      </w:r>
      <w:r w:rsidR="003F2809" w:rsidRPr="00F133CB">
        <w:rPr>
          <w:vertAlign w:val="superscript"/>
        </w:rPr>
        <w:t>3</w:t>
      </w:r>
      <w:r w:rsidRPr="00F133CB">
        <w:t>.</w:t>
      </w:r>
    </w:p>
    <w:p w14:paraId="650CAE44" w14:textId="77777777" w:rsidR="00140088" w:rsidRPr="00F133CB" w:rsidRDefault="00140088" w:rsidP="002251F3"/>
    <w:p w14:paraId="68604CE0" w14:textId="74F2F849" w:rsidR="00140088" w:rsidRPr="00415489" w:rsidRDefault="00140088" w:rsidP="002251F3">
      <w:pPr>
        <w:rPr>
          <w:b/>
        </w:rPr>
      </w:pPr>
      <w:r w:rsidRPr="00F133CB">
        <w:rPr>
          <w:b/>
        </w:rPr>
        <w:t>Figure 3</w:t>
      </w:r>
      <w:r w:rsidR="00415489">
        <w:rPr>
          <w:b/>
        </w:rPr>
        <w:t>:</w:t>
      </w:r>
      <w:r w:rsidRPr="00F133CB">
        <w:rPr>
          <w:b/>
        </w:rPr>
        <w:t xml:space="preserve"> Increased </w:t>
      </w:r>
      <w:r w:rsidRPr="00F133CB">
        <w:rPr>
          <w:b/>
          <w:i/>
        </w:rPr>
        <w:t>LMO1</w:t>
      </w:r>
      <w:r w:rsidRPr="00F133CB">
        <w:rPr>
          <w:b/>
        </w:rPr>
        <w:t xml:space="preserve"> expression promotes collagen deposition and ECM stiffness leading to facil</w:t>
      </w:r>
      <w:r w:rsidR="00F20081" w:rsidRPr="00F133CB">
        <w:rPr>
          <w:b/>
        </w:rPr>
        <w:t>itated tumor cell dissemination in zebrafish models.</w:t>
      </w:r>
      <w:r w:rsidR="00415489">
        <w:rPr>
          <w:b/>
        </w:rPr>
        <w:t xml:space="preserve"> </w:t>
      </w:r>
      <w:r w:rsidRPr="00F133CB">
        <w:t>(</w:t>
      </w:r>
      <w:r w:rsidRPr="00415489">
        <w:rPr>
          <w:b/>
          <w:bCs/>
        </w:rPr>
        <w:t>A–D</w:t>
      </w:r>
      <w:r w:rsidRPr="00F133CB">
        <w:t xml:space="preserve">) Representative light microscopy images of collagen fibers stained by Picrosirius red (PSR) in </w:t>
      </w:r>
      <w:r w:rsidRPr="00F133CB">
        <w:rPr>
          <w:i/>
        </w:rPr>
        <w:t xml:space="preserve">MYCN </w:t>
      </w:r>
      <w:r w:rsidRPr="00F133CB">
        <w:t>only (</w:t>
      </w:r>
      <w:proofErr w:type="gramStart"/>
      <w:r w:rsidRPr="00415489">
        <w:rPr>
          <w:b/>
          <w:bCs/>
        </w:rPr>
        <w:t>A</w:t>
      </w:r>
      <w:r w:rsidR="00415489" w:rsidRPr="00415489">
        <w:rPr>
          <w:b/>
          <w:bCs/>
        </w:rPr>
        <w:t>,</w:t>
      </w:r>
      <w:r w:rsidRPr="00415489">
        <w:rPr>
          <w:b/>
          <w:bCs/>
        </w:rPr>
        <w:t>B</w:t>
      </w:r>
      <w:proofErr w:type="gramEnd"/>
      <w:r w:rsidRPr="00F133CB">
        <w:t>) or</w:t>
      </w:r>
      <w:r w:rsidRPr="00F133CB">
        <w:rPr>
          <w:i/>
        </w:rPr>
        <w:t xml:space="preserve"> MYCN;LMO1 </w:t>
      </w:r>
      <w:r w:rsidRPr="00F133CB">
        <w:t>(</w:t>
      </w:r>
      <w:r w:rsidRPr="00415489">
        <w:rPr>
          <w:b/>
          <w:bCs/>
        </w:rPr>
        <w:t>C</w:t>
      </w:r>
      <w:r w:rsidR="00415489">
        <w:rPr>
          <w:b/>
          <w:bCs/>
        </w:rPr>
        <w:t>,</w:t>
      </w:r>
      <w:r w:rsidRPr="00415489">
        <w:rPr>
          <w:b/>
          <w:bCs/>
        </w:rPr>
        <w:t>D</w:t>
      </w:r>
      <w:r w:rsidRPr="00F133CB">
        <w:t>) transgenic zebrafish. (</w:t>
      </w:r>
      <w:r w:rsidRPr="00415489">
        <w:rPr>
          <w:b/>
          <w:bCs/>
        </w:rPr>
        <w:t>B</w:t>
      </w:r>
      <w:r w:rsidRPr="00F133CB">
        <w:t>) and (</w:t>
      </w:r>
      <w:r w:rsidRPr="00415489">
        <w:rPr>
          <w:b/>
          <w:bCs/>
        </w:rPr>
        <w:t>D</w:t>
      </w:r>
      <w:r w:rsidRPr="00F133CB">
        <w:t>) are magnified from the boxed areas of (</w:t>
      </w:r>
      <w:r w:rsidRPr="00415489">
        <w:rPr>
          <w:b/>
          <w:bCs/>
        </w:rPr>
        <w:t>A</w:t>
      </w:r>
      <w:r w:rsidRPr="00F133CB">
        <w:t>) and (</w:t>
      </w:r>
      <w:r w:rsidRPr="00415489">
        <w:rPr>
          <w:b/>
          <w:bCs/>
        </w:rPr>
        <w:t>C</w:t>
      </w:r>
      <w:r w:rsidRPr="00F133CB">
        <w:t>), using arrows (</w:t>
      </w:r>
      <w:r w:rsidRPr="00415489">
        <w:rPr>
          <w:b/>
          <w:bCs/>
        </w:rPr>
        <w:t>A</w:t>
      </w:r>
      <w:r w:rsidRPr="00F133CB">
        <w:t xml:space="preserve"> and </w:t>
      </w:r>
      <w:r w:rsidRPr="00415489">
        <w:rPr>
          <w:b/>
          <w:bCs/>
        </w:rPr>
        <w:t>B</w:t>
      </w:r>
      <w:r w:rsidRPr="00F133CB">
        <w:t>) and arrowheads (</w:t>
      </w:r>
      <w:r w:rsidRPr="00415489">
        <w:rPr>
          <w:b/>
          <w:bCs/>
        </w:rPr>
        <w:t>C</w:t>
      </w:r>
      <w:r w:rsidRPr="00F133CB">
        <w:t xml:space="preserve"> and </w:t>
      </w:r>
      <w:r w:rsidRPr="00415489">
        <w:rPr>
          <w:b/>
          <w:bCs/>
        </w:rPr>
        <w:t>D</w:t>
      </w:r>
      <w:r w:rsidRPr="00F133CB">
        <w:t>) to indicate the PSR-positive collagen fibers, respectively. Scale bars, 100 µm (</w:t>
      </w:r>
      <w:r w:rsidRPr="00415489">
        <w:rPr>
          <w:b/>
          <w:bCs/>
        </w:rPr>
        <w:t>A</w:t>
      </w:r>
      <w:r w:rsidRPr="00F133CB">
        <w:t xml:space="preserve"> and </w:t>
      </w:r>
      <w:r w:rsidRPr="00415489">
        <w:rPr>
          <w:b/>
          <w:bCs/>
        </w:rPr>
        <w:t>C</w:t>
      </w:r>
      <w:r w:rsidRPr="00F133CB">
        <w:t xml:space="preserve">) and 50 </w:t>
      </w:r>
      <w:r w:rsidR="00274242" w:rsidRPr="00F133CB">
        <w:t>µ</w:t>
      </w:r>
      <w:r w:rsidRPr="00F133CB">
        <w:t>m (</w:t>
      </w:r>
      <w:r w:rsidRPr="00415489">
        <w:rPr>
          <w:b/>
          <w:bCs/>
        </w:rPr>
        <w:t>B</w:t>
      </w:r>
      <w:r w:rsidRPr="00F133CB">
        <w:t xml:space="preserve"> and </w:t>
      </w:r>
      <w:r w:rsidRPr="00415489">
        <w:rPr>
          <w:b/>
          <w:bCs/>
        </w:rPr>
        <w:t>D</w:t>
      </w:r>
      <w:r w:rsidRPr="00F133CB">
        <w:t>). (</w:t>
      </w:r>
      <w:r w:rsidRPr="00415489">
        <w:rPr>
          <w:b/>
          <w:bCs/>
        </w:rPr>
        <w:t>E</w:t>
      </w:r>
      <w:r w:rsidRPr="00F133CB">
        <w:t xml:space="preserve">) Quantification of PSR-stained areas on tumor sections of </w:t>
      </w:r>
      <w:r w:rsidRPr="00F133CB">
        <w:rPr>
          <w:i/>
        </w:rPr>
        <w:t>MYCN</w:t>
      </w:r>
      <w:r w:rsidRPr="00F133CB">
        <w:t xml:space="preserve"> only or </w:t>
      </w:r>
      <w:proofErr w:type="gramStart"/>
      <w:r w:rsidRPr="00F133CB">
        <w:rPr>
          <w:i/>
        </w:rPr>
        <w:t>MYCN;LMO</w:t>
      </w:r>
      <w:proofErr w:type="gramEnd"/>
      <w:r w:rsidRPr="00F133CB">
        <w:rPr>
          <w:i/>
        </w:rPr>
        <w:t xml:space="preserve">1 </w:t>
      </w:r>
      <w:r w:rsidRPr="00F133CB">
        <w:t xml:space="preserve">transgenic fish. Results were normalized to the mean of PSR-stained areas in </w:t>
      </w:r>
      <w:r w:rsidRPr="00F133CB">
        <w:rPr>
          <w:i/>
        </w:rPr>
        <w:t>MYCN</w:t>
      </w:r>
      <w:r w:rsidRPr="00F133CB">
        <w:t xml:space="preserve">-only tumors. The statistics present as the mean ± SD of three </w:t>
      </w:r>
      <w:r w:rsidRPr="00F133CB">
        <w:rPr>
          <w:i/>
        </w:rPr>
        <w:t>MYCN-</w:t>
      </w:r>
      <w:r w:rsidRPr="00F133CB">
        <w:t xml:space="preserve">only or three </w:t>
      </w:r>
      <w:proofErr w:type="gramStart"/>
      <w:r w:rsidRPr="00F133CB">
        <w:rPr>
          <w:i/>
        </w:rPr>
        <w:t>MYCN;LMO</w:t>
      </w:r>
      <w:proofErr w:type="gramEnd"/>
      <w:r w:rsidRPr="00F133CB">
        <w:rPr>
          <w:i/>
        </w:rPr>
        <w:t>1</w:t>
      </w:r>
      <w:r w:rsidRPr="00F133CB">
        <w:t xml:space="preserve"> tumors; p = 0.02 by two-tailed t-test. This </w:t>
      </w:r>
      <w:r w:rsidRPr="00F133CB">
        <w:lastRenderedPageBreak/>
        <w:t>figure has been modified from Zhu, S. et al. LMO1 Synergizes with MYCN to Promote Neuroblastoma Initiation and Metastasis. Cancer Cell. 32, 310–323 (2017)</w:t>
      </w:r>
      <w:r w:rsidRPr="00F133CB">
        <w:rPr>
          <w:vertAlign w:val="superscript"/>
        </w:rPr>
        <w:t>1</w:t>
      </w:r>
      <w:r w:rsidR="003F2809" w:rsidRPr="00F133CB">
        <w:rPr>
          <w:vertAlign w:val="superscript"/>
        </w:rPr>
        <w:t>3</w:t>
      </w:r>
      <w:r w:rsidRPr="00F133CB">
        <w:t>.</w:t>
      </w:r>
    </w:p>
    <w:p w14:paraId="51721693" w14:textId="77777777" w:rsidR="00140088" w:rsidRPr="00F133CB" w:rsidRDefault="00140088" w:rsidP="002251F3"/>
    <w:p w14:paraId="15F583D3" w14:textId="5C187504" w:rsidR="00734FFA" w:rsidRPr="00F133CB" w:rsidRDefault="00140088" w:rsidP="002251F3">
      <w:r w:rsidRPr="00F133CB">
        <w:rPr>
          <w:b/>
        </w:rPr>
        <w:t xml:space="preserve">DISCUSSION: </w:t>
      </w:r>
    </w:p>
    <w:p w14:paraId="3B1B9DA5" w14:textId="7E38154B" w:rsidR="00140088" w:rsidRPr="00F133CB" w:rsidRDefault="00140088" w:rsidP="002251F3">
      <w:r w:rsidRPr="00F133CB">
        <w:t xml:space="preserve">Zebrafish has been commonly used in research for the past few decades, especially in cancer research, for obvious reasons, such as its ease of maintenance, robust reproduction, and clear advantages for </w:t>
      </w:r>
      <w:r w:rsidRPr="00F133CB">
        <w:rPr>
          <w:i/>
        </w:rPr>
        <w:t>in vivo</w:t>
      </w:r>
      <w:r w:rsidRPr="00F133CB">
        <w:t xml:space="preserve"> imaging</w:t>
      </w:r>
      <w:r w:rsidRPr="00F133CB">
        <w:rPr>
          <w:vertAlign w:val="superscript"/>
        </w:rPr>
        <w:t>1,2</w:t>
      </w:r>
      <w:r w:rsidR="00F51965" w:rsidRPr="00F133CB">
        <w:rPr>
          <w:vertAlign w:val="superscript"/>
        </w:rPr>
        <w:t>8</w:t>
      </w:r>
      <w:r w:rsidRPr="00F133CB">
        <w:rPr>
          <w:vertAlign w:val="superscript"/>
        </w:rPr>
        <w:t>,</w:t>
      </w:r>
      <w:r w:rsidRPr="00F133CB">
        <w:t>. The zebrafish model can be easily manipulated embryonically</w:t>
      </w:r>
      <w:r w:rsidR="00F06483" w:rsidRPr="00F133CB">
        <w:t xml:space="preserve"> due to their external fertilization and development, which</w:t>
      </w:r>
      <w:r w:rsidRPr="00F133CB">
        <w:t xml:space="preserve"> complements well </w:t>
      </w:r>
      <w:r w:rsidR="00F06483" w:rsidRPr="00F133CB">
        <w:t xml:space="preserve">to mammalian model organisms, such </w:t>
      </w:r>
      <w:r w:rsidRPr="00F133CB">
        <w:t xml:space="preserve">as rats and mice, </w:t>
      </w:r>
      <w:r w:rsidR="00F06483" w:rsidRPr="00F133CB">
        <w:t>for large-scale genetic studies</w:t>
      </w:r>
      <w:r w:rsidRPr="00F133CB">
        <w:rPr>
          <w:vertAlign w:val="superscript"/>
        </w:rPr>
        <w:t>1,2,3</w:t>
      </w:r>
      <w:r w:rsidRPr="00F133CB">
        <w:t>. M</w:t>
      </w:r>
      <w:r w:rsidR="00F06483" w:rsidRPr="00F133CB">
        <w:t>oreover, the zebrafish genome has high-level</w:t>
      </w:r>
      <w:r w:rsidRPr="00F133CB">
        <w:t xml:space="preserve"> similarities to the human genome. Comparing the detailed annotations of the zebrafish genome to the human reference genome, about 70% of human genes have been shown to obtain a zebrafish orthologue</w:t>
      </w:r>
      <w:r w:rsidRPr="00F133CB">
        <w:rPr>
          <w:vertAlign w:val="superscript"/>
        </w:rPr>
        <w:t>2</w:t>
      </w:r>
      <w:r w:rsidR="00F51965" w:rsidRPr="00F133CB">
        <w:rPr>
          <w:vertAlign w:val="superscript"/>
        </w:rPr>
        <w:t>9</w:t>
      </w:r>
      <w:r w:rsidRPr="00F133CB">
        <w:t xml:space="preserve">. </w:t>
      </w:r>
      <w:r w:rsidR="00734FFA" w:rsidRPr="00F133CB">
        <w:t xml:space="preserve">In addition, other uses of zebrafish in research have been extended to drug discovery and patient avatars for individualized cancer </w:t>
      </w:r>
      <w:r w:rsidRPr="00F133CB">
        <w:t>therapy</w:t>
      </w:r>
      <w:r w:rsidR="00F51965" w:rsidRPr="00F133CB">
        <w:rPr>
          <w:vertAlign w:val="superscript"/>
        </w:rPr>
        <w:t>30</w:t>
      </w:r>
      <w:r w:rsidRPr="00F133CB">
        <w:rPr>
          <w:vertAlign w:val="superscript"/>
        </w:rPr>
        <w:t>,</w:t>
      </w:r>
      <w:r w:rsidR="00F51965" w:rsidRPr="00F133CB">
        <w:rPr>
          <w:vertAlign w:val="superscript"/>
        </w:rPr>
        <w:t>31</w:t>
      </w:r>
      <w:r w:rsidR="00734FFA" w:rsidRPr="00F133CB">
        <w:t>. Accumulating studies have</w:t>
      </w:r>
      <w:r w:rsidRPr="00F133CB">
        <w:t xml:space="preserve"> shown that</w:t>
      </w:r>
      <w:r w:rsidR="00734FFA" w:rsidRPr="00F133CB">
        <w:t xml:space="preserve"> tumors induced in zebrafish</w:t>
      </w:r>
      <w:r w:rsidRPr="00F133CB">
        <w:t xml:space="preserve"> are similar to human tumors at the histological and molecular levels, which can aid in dissection of tumor initiation, progression, and heterogeneity</w:t>
      </w:r>
      <w:r w:rsidR="00F51965" w:rsidRPr="00F133CB">
        <w:rPr>
          <w:vertAlign w:val="superscript"/>
        </w:rPr>
        <w:t>32</w:t>
      </w:r>
      <w:r w:rsidRPr="00F133CB">
        <w:rPr>
          <w:vertAlign w:val="superscript"/>
        </w:rPr>
        <w:t>,3</w:t>
      </w:r>
      <w:r w:rsidR="00F51965" w:rsidRPr="00F133CB">
        <w:rPr>
          <w:vertAlign w:val="superscript"/>
        </w:rPr>
        <w:t>3</w:t>
      </w:r>
      <w:r w:rsidR="00734FFA" w:rsidRPr="00F133CB">
        <w:t>. Together</w:t>
      </w:r>
      <w:r w:rsidRPr="00F133CB">
        <w:t xml:space="preserve">, the zebrafish demonstrates tremendous potential as a valuable animal model that can be used to study metastasis and elucidate possible oncogenic pathways involved in disease pathogenesis. </w:t>
      </w:r>
    </w:p>
    <w:p w14:paraId="318CCA66" w14:textId="77777777" w:rsidR="005B6D6B" w:rsidRPr="00F133CB" w:rsidRDefault="005B6D6B" w:rsidP="002251F3"/>
    <w:p w14:paraId="4F986C4A" w14:textId="34E95570" w:rsidR="005B6D6B" w:rsidRPr="00F133CB" w:rsidRDefault="005B6D6B" w:rsidP="002251F3">
      <w:r w:rsidRPr="00F133CB">
        <w:t xml:space="preserve">Using the transgenic </w:t>
      </w:r>
      <w:r w:rsidR="00A07478" w:rsidRPr="00F133CB">
        <w:t>zebrafish model</w:t>
      </w:r>
      <w:r w:rsidRPr="00F133CB">
        <w:t xml:space="preserve"> with overexpression of both </w:t>
      </w:r>
      <w:r w:rsidRPr="00F133CB">
        <w:rPr>
          <w:i/>
        </w:rPr>
        <w:t>LMO1</w:t>
      </w:r>
      <w:r w:rsidRPr="00F133CB">
        <w:t xml:space="preserve"> and </w:t>
      </w:r>
      <w:r w:rsidRPr="00F133CB">
        <w:rPr>
          <w:i/>
        </w:rPr>
        <w:t>MYCN</w:t>
      </w:r>
      <w:r w:rsidRPr="00F133CB">
        <w:t>, the cooperation between these two oncogenes in NB tumorigen</w:t>
      </w:r>
      <w:r w:rsidR="00A07478" w:rsidRPr="00F133CB">
        <w:t>esis and metastasis has been clearly demonstrated. With today’s</w:t>
      </w:r>
      <w:r w:rsidRPr="00F133CB">
        <w:t xml:space="preserve"> </w:t>
      </w:r>
      <w:r w:rsidR="008611E0" w:rsidRPr="00F133CB">
        <w:t xml:space="preserve">availability of </w:t>
      </w:r>
      <w:r w:rsidRPr="00F133CB">
        <w:t>powerful live imaging technique</w:t>
      </w:r>
      <w:r w:rsidR="008611E0" w:rsidRPr="00F133CB">
        <w:t>s</w:t>
      </w:r>
      <w:r w:rsidRPr="00F133CB">
        <w:t xml:space="preserve">, tumor screens </w:t>
      </w:r>
      <w:r w:rsidR="00A07478" w:rsidRPr="00F133CB">
        <w:t>can be easily</w:t>
      </w:r>
      <w:r w:rsidRPr="00F133CB">
        <w:t xml:space="preserve"> perfo</w:t>
      </w:r>
      <w:r w:rsidR="00A07478" w:rsidRPr="00F133CB">
        <w:t>rmed biweekly and metastasis can be</w:t>
      </w:r>
      <w:r w:rsidRPr="00F133CB">
        <w:t xml:space="preserve"> traced over tim</w:t>
      </w:r>
      <w:r w:rsidR="00A07478" w:rsidRPr="00F133CB">
        <w:t>e. The widespread metastasis can also be</w:t>
      </w:r>
      <w:r w:rsidRPr="00F133CB">
        <w:t xml:space="preserve"> further confirmed by paraffin sectioning and antibody staining. Strikingly, the metastases detected in the </w:t>
      </w:r>
      <w:r w:rsidRPr="00F133CB">
        <w:rPr>
          <w:i/>
        </w:rPr>
        <w:t>MYCN</w:t>
      </w:r>
      <w:r w:rsidRPr="00F133CB">
        <w:t>;</w:t>
      </w:r>
      <w:r w:rsidRPr="00F133CB">
        <w:rPr>
          <w:i/>
        </w:rPr>
        <w:t>LMO1</w:t>
      </w:r>
      <w:r w:rsidRPr="00F133CB">
        <w:t xml:space="preserve"> zebrafish correlate well with the common sites of metastasis seen in high-risk NB cases, such as in the bone marrow, lymph nodes, orbit, and lung</w:t>
      </w:r>
      <w:r w:rsidRPr="00F133CB">
        <w:rPr>
          <w:vertAlign w:val="superscript"/>
        </w:rPr>
        <w:t>3</w:t>
      </w:r>
      <w:r w:rsidR="00A54746" w:rsidRPr="00F133CB">
        <w:rPr>
          <w:vertAlign w:val="superscript"/>
        </w:rPr>
        <w:t>4</w:t>
      </w:r>
      <w:r w:rsidRPr="00F133CB">
        <w:rPr>
          <w:vertAlign w:val="superscript"/>
        </w:rPr>
        <w:t>,3</w:t>
      </w:r>
      <w:r w:rsidR="00A54746" w:rsidRPr="00F133CB">
        <w:rPr>
          <w:vertAlign w:val="superscript"/>
        </w:rPr>
        <w:t>5</w:t>
      </w:r>
      <w:r w:rsidRPr="00F133CB">
        <w:t xml:space="preserve">, further supporting zebrafish as a feasible and beneficial model for metastasis study. </w:t>
      </w:r>
    </w:p>
    <w:p w14:paraId="6CC85568" w14:textId="77777777" w:rsidR="005B6D6B" w:rsidRPr="00F133CB" w:rsidRDefault="005B6D6B" w:rsidP="002251F3"/>
    <w:p w14:paraId="257F3677" w14:textId="0478DDFB" w:rsidR="005B6D6B" w:rsidRPr="00F133CB" w:rsidRDefault="005B6D6B" w:rsidP="002251F3">
      <w:r w:rsidRPr="00F133CB">
        <w:t>Moreover, due to relatively small body size, the whole zebrafish can be sectioned though completely, which is yet another clear advantage of this model, allowing thorough characterization of the primary tumor along with the metastases in other regions of the body. The pic</w:t>
      </w:r>
      <w:r w:rsidR="00D3024F" w:rsidRPr="00F133CB">
        <w:t>r</w:t>
      </w:r>
      <w:r w:rsidRPr="00F133CB">
        <w:t>osirius red staining of tumor sections has clearly highlighted the collagen networks</w:t>
      </w:r>
      <w:r w:rsidR="00A07478" w:rsidRPr="00F133CB">
        <w:t xml:space="preserve"> in fish tumors and demonstrates</w:t>
      </w:r>
      <w:r w:rsidRPr="00F133CB">
        <w:t xml:space="preserve"> the increased stiffness of extracellular matrix in tumors with </w:t>
      </w:r>
      <w:r w:rsidRPr="00F133CB">
        <w:rPr>
          <w:i/>
        </w:rPr>
        <w:t>LMO1</w:t>
      </w:r>
      <w:r w:rsidRPr="00F133CB">
        <w:t xml:space="preserve"> overexpression. Although this technique is not unique to zebrafish, its application together with the high-throughput compound screening on zebrafish embryos that are genetically modified or transplanted with tumor cells might provide a novel mean</w:t>
      </w:r>
      <w:r w:rsidR="00A07478" w:rsidRPr="00F133CB">
        <w:t>s</w:t>
      </w:r>
      <w:r w:rsidRPr="00F133CB">
        <w:t xml:space="preserve"> in screening for effective compounds that could target extracellular matrix remodeling, </w:t>
      </w:r>
      <w:r w:rsidR="00A07478" w:rsidRPr="00F133CB">
        <w:t>which is a critical process involved in tumor cell</w:t>
      </w:r>
      <w:r w:rsidRPr="00F133CB">
        <w:t xml:space="preserve"> metastasis. </w:t>
      </w:r>
    </w:p>
    <w:p w14:paraId="79D66443" w14:textId="77777777" w:rsidR="005B6D6B" w:rsidRPr="00F133CB" w:rsidRDefault="005B6D6B" w:rsidP="002251F3"/>
    <w:p w14:paraId="1C593612" w14:textId="4DA17B1D" w:rsidR="005B6D6B" w:rsidRPr="00F133CB" w:rsidRDefault="005B6D6B" w:rsidP="002251F3">
      <w:r w:rsidRPr="00F133CB">
        <w:t xml:space="preserve">Stable transgenic zebrafish models are very helpful for us to understand the contribution of candidate oncogenes to tumor development </w:t>
      </w:r>
      <w:r w:rsidRPr="00F133CB">
        <w:rPr>
          <w:i/>
        </w:rPr>
        <w:t>in vivo</w:t>
      </w:r>
      <w:r w:rsidRPr="00F133CB">
        <w:t xml:space="preserve">, </w:t>
      </w:r>
      <w:r w:rsidR="00A07478" w:rsidRPr="00F133CB">
        <w:t>al</w:t>
      </w:r>
      <w:r w:rsidRPr="00F133CB">
        <w:t xml:space="preserve">though it can be challenging and laborious to develop these lines. Creating a stable transgenic line requires a long period of time since multiple generations must be acquired before line propagation. Furthermore, propagating these lines can be tedious, and strategic mating plans may be needed. For example, the productivity of </w:t>
      </w:r>
      <w:r w:rsidRPr="00F133CB">
        <w:lastRenderedPageBreak/>
        <w:t xml:space="preserve">a </w:t>
      </w:r>
      <w:r w:rsidRPr="00F133CB">
        <w:rPr>
          <w:i/>
        </w:rPr>
        <w:t>MYCN</w:t>
      </w:r>
      <w:r w:rsidRPr="00F133CB">
        <w:t xml:space="preserve"> transgenic fish </w:t>
      </w:r>
      <w:r w:rsidR="00826853" w:rsidRPr="00F133CB">
        <w:t>is often markedly reduced</w:t>
      </w:r>
      <w:r w:rsidRPr="00F133CB">
        <w:t xml:space="preserve"> once</w:t>
      </w:r>
      <w:r w:rsidR="00A07478" w:rsidRPr="00F133CB">
        <w:t xml:space="preserve"> the</w:t>
      </w:r>
      <w:r w:rsidR="00826853" w:rsidRPr="00F133CB">
        <w:t xml:space="preserve"> tumor has</w:t>
      </w:r>
      <w:r w:rsidRPr="00F133CB">
        <w:t xml:space="preserve"> developed, and homozygous </w:t>
      </w:r>
      <w:r w:rsidRPr="00F133CB">
        <w:rPr>
          <w:i/>
        </w:rPr>
        <w:t>MYCN</w:t>
      </w:r>
      <w:r w:rsidR="00826853" w:rsidRPr="00F133CB">
        <w:t xml:space="preserve"> transgenic fish do not survive</w:t>
      </w:r>
      <w:r w:rsidRPr="00F133CB">
        <w:t xml:space="preserve"> well</w:t>
      </w:r>
      <w:r w:rsidR="00826853" w:rsidRPr="00F133CB">
        <w:t xml:space="preserve"> into adulthood</w:t>
      </w:r>
      <w:r w:rsidRPr="00F133CB">
        <w:t xml:space="preserve">. Therefore, to better maintain the </w:t>
      </w:r>
      <w:r w:rsidRPr="00F133CB">
        <w:rPr>
          <w:i/>
        </w:rPr>
        <w:t>MYCN</w:t>
      </w:r>
      <w:r w:rsidRPr="00F133CB">
        <w:t xml:space="preserve"> transgenic fish line, it is recommended to outcross the heterozygous non-tumor-bearing </w:t>
      </w:r>
      <w:r w:rsidRPr="00F133CB">
        <w:rPr>
          <w:i/>
        </w:rPr>
        <w:t>MYCN</w:t>
      </w:r>
      <w:r w:rsidRPr="00F133CB">
        <w:t xml:space="preserve"> transgenic fish at a younger age with WT or other genetically engineered fish lines, such as the </w:t>
      </w:r>
      <w:r w:rsidRPr="00F133CB">
        <w:rPr>
          <w:i/>
        </w:rPr>
        <w:t>LMO1</w:t>
      </w:r>
      <w:r w:rsidRPr="00F133CB">
        <w:t xml:space="preserve"> transgenic fish line. To overcome the challenges in developing and maintaining stable transgenic fish lines, mosaic transient transgenesis may be an alternative approach to rapidly and effectively assess the contribution of a single gene or combination of genes to the tumor initiation and progression in primarily injected fish. In addition, the mosaic pattern of transgene integration in the primary injected fish may better mimic the disease pathogenesis</w:t>
      </w:r>
      <w:r w:rsidR="00826853" w:rsidRPr="00F133CB">
        <w:t>,</w:t>
      </w:r>
      <w:r w:rsidRPr="00F133CB">
        <w:t xml:space="preserve"> especially those induced by somatic events</w:t>
      </w:r>
      <w:r w:rsidRPr="00F133CB">
        <w:rPr>
          <w:vertAlign w:val="superscript"/>
        </w:rPr>
        <w:t>3</w:t>
      </w:r>
      <w:r w:rsidR="00A54746" w:rsidRPr="00F133CB">
        <w:rPr>
          <w:vertAlign w:val="superscript"/>
        </w:rPr>
        <w:t>6</w:t>
      </w:r>
      <w:r w:rsidRPr="00F133CB">
        <w:t>.</w:t>
      </w:r>
    </w:p>
    <w:p w14:paraId="0D5CA184" w14:textId="77777777" w:rsidR="005B6D6B" w:rsidRPr="00F133CB" w:rsidRDefault="005B6D6B" w:rsidP="002251F3"/>
    <w:p w14:paraId="257C04EA" w14:textId="51BC2280" w:rsidR="005B6D6B" w:rsidRPr="00F133CB" w:rsidRDefault="005B6D6B" w:rsidP="002251F3">
      <w:r w:rsidRPr="00F133CB">
        <w:t xml:space="preserve">However, like any other animal model used in research to study cancer, the zebrafish also has its disadvantages. </w:t>
      </w:r>
      <w:r w:rsidR="00826853" w:rsidRPr="00F133CB">
        <w:t>For example, antibodies</w:t>
      </w:r>
      <w:r w:rsidRPr="00F133CB">
        <w:t xml:space="preserve"> specifically against zebrafish proteins remain largely underdeveloped, although several antibodies agai</w:t>
      </w:r>
      <w:r w:rsidR="00826853" w:rsidRPr="00F133CB">
        <w:t>nst neuroblastoma marker genes—</w:t>
      </w:r>
      <w:r w:rsidRPr="00F133CB">
        <w:t>such</w:t>
      </w:r>
      <w:r w:rsidR="00826853" w:rsidRPr="00F133CB">
        <w:t xml:space="preserve"> </w:t>
      </w:r>
      <w:r w:rsidRPr="00F133CB">
        <w:t>as tyrosine hydro</w:t>
      </w:r>
      <w:r w:rsidR="00826853" w:rsidRPr="00F133CB">
        <w:t xml:space="preserve">xylase, synaptophysin, and </w:t>
      </w:r>
      <w:proofErr w:type="spellStart"/>
      <w:r w:rsidR="00826853" w:rsidRPr="00F133CB">
        <w:t>HuC</w:t>
      </w:r>
      <w:proofErr w:type="spellEnd"/>
      <w:r w:rsidR="00826853" w:rsidRPr="00F133CB">
        <w:t>—</w:t>
      </w:r>
      <w:r w:rsidRPr="00F133CB">
        <w:t>are</w:t>
      </w:r>
      <w:r w:rsidR="00826853" w:rsidRPr="00F133CB">
        <w:t xml:space="preserve"> </w:t>
      </w:r>
      <w:r w:rsidRPr="00F133CB">
        <w:t>fortunately working well in zebrafish</w:t>
      </w:r>
      <w:r w:rsidR="008611E0" w:rsidRPr="00F133CB">
        <w:rPr>
          <w:vertAlign w:val="superscript"/>
        </w:rPr>
        <w:t>6,13</w:t>
      </w:r>
      <w:r w:rsidRPr="00F133CB">
        <w:t>. To combat this issue, many vendors have begun to test their products and predict the potential of their antibodies in cross-reacting with zebrafish proteins. More information about validated antibodies can also been found in the zebrafish informa</w:t>
      </w:r>
      <w:r w:rsidR="00826853" w:rsidRPr="00F133CB">
        <w:t>tion network (ZFIN). With these</w:t>
      </w:r>
      <w:r w:rsidRPr="00F133CB">
        <w:t xml:space="preserve"> efforts, more and more antibodies that can specifically detect zebrafish proteins </w:t>
      </w:r>
      <w:r w:rsidR="00826853" w:rsidRPr="00F133CB">
        <w:t>will soon become</w:t>
      </w:r>
      <w:r w:rsidRPr="00F133CB">
        <w:t xml:space="preserve"> available to the zebrafish community. Another challenge of using zebrafish as a genetic model to dissect the interplay of complex signaling pathways in NB pathogenesis is its partially duplicated genome. Such genome duplication, </w:t>
      </w:r>
      <w:r w:rsidR="00826853" w:rsidRPr="00F133CB">
        <w:t xml:space="preserve">which </w:t>
      </w:r>
      <w:r w:rsidRPr="00F133CB">
        <w:t>occurred in the</w:t>
      </w:r>
      <w:r w:rsidR="00826853" w:rsidRPr="00F133CB">
        <w:t xml:space="preserve"> natural</w:t>
      </w:r>
      <w:r w:rsidRPr="00F133CB">
        <w:t xml:space="preserve"> ancestry of zebrafish</w:t>
      </w:r>
      <w:r w:rsidR="00A54746" w:rsidRPr="00F133CB">
        <w:rPr>
          <w:vertAlign w:val="superscript"/>
        </w:rPr>
        <w:t>37,38</w:t>
      </w:r>
      <w:r w:rsidR="00826853" w:rsidRPr="00F133CB">
        <w:t>, can often lead</w:t>
      </w:r>
      <w:r w:rsidRPr="00F133CB">
        <w:t xml:space="preserve"> to more than one variant of </w:t>
      </w:r>
      <w:r w:rsidR="00826853" w:rsidRPr="00F133CB">
        <w:t xml:space="preserve">zebrafish homologues to humans. This can </w:t>
      </w:r>
      <w:r w:rsidR="00F45DD6" w:rsidRPr="00F133CB">
        <w:t xml:space="preserve">cause an </w:t>
      </w:r>
      <w:r w:rsidR="00826853" w:rsidRPr="00F133CB">
        <w:t>evolve</w:t>
      </w:r>
      <w:r w:rsidR="00F45DD6" w:rsidRPr="00F133CB">
        <w:t xml:space="preserve">d </w:t>
      </w:r>
      <w:r w:rsidRPr="00F133CB">
        <w:t>gain of novel gene functions or unique expression patterns</w:t>
      </w:r>
      <w:r w:rsidR="00F45DD6" w:rsidRPr="00F133CB">
        <w:t xml:space="preserve"> in the animal model</w:t>
      </w:r>
      <w:r w:rsidR="00A54746" w:rsidRPr="00F133CB">
        <w:rPr>
          <w:vertAlign w:val="superscript"/>
        </w:rPr>
        <w:t>39</w:t>
      </w:r>
      <w:r w:rsidRPr="00F133CB">
        <w:t>. Therefore, when studying genes with potential roles in tumor suppression,</w:t>
      </w:r>
      <w:r w:rsidR="00F45DD6" w:rsidRPr="00F133CB">
        <w:t xml:space="preserve"> it may be necessary for</w:t>
      </w:r>
      <w:r w:rsidRPr="00F133CB">
        <w:t xml:space="preserve"> multiple </w:t>
      </w:r>
      <w:r w:rsidR="00F45DD6" w:rsidRPr="00F133CB">
        <w:t xml:space="preserve">alleles of the duplicated genes </w:t>
      </w:r>
      <w:r w:rsidRPr="00F133CB">
        <w:t>to be knocked out at the same time to demonstrate their tumo</w:t>
      </w:r>
      <w:r w:rsidR="006109FD" w:rsidRPr="00F133CB">
        <w:t>r suppression function, which can be</w:t>
      </w:r>
      <w:r w:rsidRPr="00F133CB">
        <w:t xml:space="preserve"> a potentially time-consuming and a technically-challenging endeavor.</w:t>
      </w:r>
    </w:p>
    <w:p w14:paraId="51EC6BF7" w14:textId="77777777" w:rsidR="005B6D6B" w:rsidRPr="00F133CB" w:rsidRDefault="005B6D6B" w:rsidP="002251F3"/>
    <w:p w14:paraId="05A89307" w14:textId="4966C40B" w:rsidR="00140088" w:rsidRPr="00F133CB" w:rsidRDefault="005B6D6B" w:rsidP="002251F3">
      <w:r w:rsidRPr="00F133CB">
        <w:t>Nevertheless, the</w:t>
      </w:r>
      <w:r w:rsidR="00140088" w:rsidRPr="00F133CB">
        <w:t xml:space="preserve"> transgenic zebrafish model </w:t>
      </w:r>
      <w:r w:rsidRPr="00F133CB">
        <w:t>can faithfully recapitulate</w:t>
      </w:r>
      <w:r w:rsidR="00140088" w:rsidRPr="00F133CB">
        <w:t xml:space="preserve"> all stages of tumor metastasis </w:t>
      </w:r>
      <w:r w:rsidR="00140088" w:rsidRPr="00F133CB">
        <w:rPr>
          <w:i/>
        </w:rPr>
        <w:t>in vivo</w:t>
      </w:r>
      <w:r w:rsidR="00140088" w:rsidRPr="00F133CB">
        <w:t>, and possesses clear advantages for genetic analysis and real-time imaging of t</w:t>
      </w:r>
      <w:r w:rsidR="00EC4735" w:rsidRPr="00F133CB">
        <w:t>umor dissemination. T</w:t>
      </w:r>
      <w:r w:rsidR="00140088" w:rsidRPr="00F133CB">
        <w:t>his model system</w:t>
      </w:r>
      <w:r w:rsidR="00EC4735" w:rsidRPr="00F133CB">
        <w:t>, therefore,</w:t>
      </w:r>
      <w:r w:rsidR="00140088" w:rsidRPr="00F133CB">
        <w:t xml:space="preserve"> offers </w:t>
      </w:r>
      <w:r w:rsidRPr="00F133CB">
        <w:t xml:space="preserve">a </w:t>
      </w:r>
      <w:r w:rsidR="00140088" w:rsidRPr="00F133CB">
        <w:t>unique tool for us to address many daunting questions in the field, such as</w:t>
      </w:r>
      <w:r w:rsidR="00EC4735" w:rsidRPr="00F133CB">
        <w:t xml:space="preserve"> what </w:t>
      </w:r>
      <w:r w:rsidR="00140088" w:rsidRPr="00F133CB">
        <w:t xml:space="preserve">the molecular and cellular events underlying the multistep process of tumor dissemination and metastasis </w:t>
      </w:r>
      <w:r w:rsidR="00140088" w:rsidRPr="00F133CB">
        <w:rPr>
          <w:i/>
        </w:rPr>
        <w:t>in vivo</w:t>
      </w:r>
      <w:r w:rsidR="00EC4735" w:rsidRPr="00F133CB">
        <w:t xml:space="preserve"> are, when </w:t>
      </w:r>
      <w:r w:rsidR="00140088" w:rsidRPr="00F133CB">
        <w:t>the NB cells disseminate from primary tumors, and how the tumor microenvironment contributes to NB metastasis. With the robustness of zebrafish for drug screening and testing, the fish model would also provide a valuable</w:t>
      </w:r>
      <w:r w:rsidR="00253C56" w:rsidRPr="00F133CB">
        <w:t xml:space="preserve"> means </w:t>
      </w:r>
      <w:r w:rsidR="00140088" w:rsidRPr="00F133CB">
        <w:t>for</w:t>
      </w:r>
      <w:r w:rsidR="00EC4735" w:rsidRPr="00F133CB">
        <w:t xml:space="preserve"> the evaluation of </w:t>
      </w:r>
      <w:r w:rsidR="00140088" w:rsidRPr="00F133CB">
        <w:t xml:space="preserve">efficacy of novel agents and inhibitors to prevent or treat metastatic NB.  </w:t>
      </w:r>
    </w:p>
    <w:p w14:paraId="2F1D243F" w14:textId="77777777" w:rsidR="00140088" w:rsidRPr="00F133CB" w:rsidRDefault="00140088" w:rsidP="002251F3">
      <w:pPr>
        <w:rPr>
          <w:b/>
        </w:rPr>
      </w:pPr>
    </w:p>
    <w:p w14:paraId="0C046147" w14:textId="10019155" w:rsidR="00140088" w:rsidRPr="00F133CB" w:rsidRDefault="00140088" w:rsidP="002251F3">
      <w:r w:rsidRPr="00F133CB">
        <w:rPr>
          <w:b/>
        </w:rPr>
        <w:t xml:space="preserve">ACKNOWLEDGMENTS: </w:t>
      </w:r>
    </w:p>
    <w:p w14:paraId="1F1492D9" w14:textId="77777777" w:rsidR="00140088" w:rsidRPr="00F133CB" w:rsidRDefault="00140088" w:rsidP="002251F3">
      <w:r w:rsidRPr="00F133CB">
        <w:t xml:space="preserve">This work was supported by a grant R01 CA240323 (S.Z.) from the National Cancer Institute; a grant W81XWH-17-1-0498 (S.Z.) from the United States Department of Defense (DoD); a V Scholar award from the V Foundation for Cancer Research (S.Z.) and a Platform Grant from the Mayo Center for Biomedical Discovery (S.Z.); and supports from the Mayo Clinic Cancer Center </w:t>
      </w:r>
      <w:r w:rsidRPr="00F133CB">
        <w:lastRenderedPageBreak/>
        <w:t>and Center for Individualized Medicine (S.Z.).</w:t>
      </w:r>
    </w:p>
    <w:p w14:paraId="73524F31" w14:textId="77777777" w:rsidR="00140088" w:rsidRPr="00F133CB" w:rsidRDefault="00140088" w:rsidP="002251F3">
      <w:pPr>
        <w:rPr>
          <w:b/>
        </w:rPr>
      </w:pPr>
    </w:p>
    <w:p w14:paraId="37B50C21" w14:textId="6942B69D" w:rsidR="00140088" w:rsidRPr="00F133CB" w:rsidRDefault="00140088" w:rsidP="002251F3">
      <w:r w:rsidRPr="00F133CB">
        <w:rPr>
          <w:b/>
        </w:rPr>
        <w:t xml:space="preserve">DISCLOSURES: </w:t>
      </w:r>
    </w:p>
    <w:p w14:paraId="379F153F" w14:textId="77777777" w:rsidR="00140088" w:rsidRPr="00F133CB" w:rsidRDefault="00140088" w:rsidP="002251F3">
      <w:r w:rsidRPr="00F133CB">
        <w:t>The authors declare that they have no competing financial interests.</w:t>
      </w:r>
    </w:p>
    <w:p w14:paraId="6CFEE1C2" w14:textId="77777777" w:rsidR="00140088" w:rsidRPr="00F133CB" w:rsidRDefault="00140088" w:rsidP="002251F3"/>
    <w:p w14:paraId="0927C172" w14:textId="440588CB" w:rsidR="00140088" w:rsidRPr="00F133CB" w:rsidRDefault="00140088" w:rsidP="002251F3">
      <w:r w:rsidRPr="00F133CB">
        <w:rPr>
          <w:b/>
        </w:rPr>
        <w:t>REFERENCES</w:t>
      </w:r>
      <w:r w:rsidR="00F42253" w:rsidRPr="00F133CB">
        <w:rPr>
          <w:b/>
        </w:rPr>
        <w:t>:</w:t>
      </w:r>
      <w:r w:rsidRPr="00F133CB">
        <w:t xml:space="preserve"> </w:t>
      </w:r>
    </w:p>
    <w:p w14:paraId="75E926C0" w14:textId="29DF17F8" w:rsidR="007B2F56" w:rsidRPr="00F133CB" w:rsidRDefault="007B2F56" w:rsidP="002251F3">
      <w:pPr>
        <w:pStyle w:val="ListParagraph"/>
        <w:numPr>
          <w:ilvl w:val="0"/>
          <w:numId w:val="13"/>
        </w:numPr>
        <w:ind w:left="0" w:firstLine="0"/>
      </w:pPr>
      <w:proofErr w:type="spellStart"/>
      <w:r w:rsidRPr="00F133CB">
        <w:t>Veldman</w:t>
      </w:r>
      <w:proofErr w:type="spellEnd"/>
      <w:r w:rsidRPr="00F133CB">
        <w:t xml:space="preserve">, M., Lin, S. Zebrafish as a </w:t>
      </w:r>
      <w:r w:rsidR="00415489" w:rsidRPr="00F133CB">
        <w:t>developmental model organism for pediatric re</w:t>
      </w:r>
      <w:r w:rsidRPr="00F133CB">
        <w:t xml:space="preserve">search. </w:t>
      </w:r>
      <w:r w:rsidRPr="00415489">
        <w:rPr>
          <w:i/>
          <w:iCs/>
        </w:rPr>
        <w:t>Pediatric Research.</w:t>
      </w:r>
      <w:r w:rsidRPr="00F133CB">
        <w:t xml:space="preserve"> </w:t>
      </w:r>
      <w:r w:rsidRPr="00415489">
        <w:rPr>
          <w:b/>
          <w:bCs/>
        </w:rPr>
        <w:t>64</w:t>
      </w:r>
      <w:r w:rsidRPr="00F133CB">
        <w:t xml:space="preserve">, 470–476 (2008). </w:t>
      </w:r>
    </w:p>
    <w:p w14:paraId="0C807A7B" w14:textId="77777777" w:rsidR="007B2F56" w:rsidRPr="00F133CB" w:rsidRDefault="007B2F56" w:rsidP="002251F3">
      <w:pPr>
        <w:pStyle w:val="ListParagraph"/>
        <w:numPr>
          <w:ilvl w:val="0"/>
          <w:numId w:val="13"/>
        </w:numPr>
        <w:ind w:left="0" w:firstLine="0"/>
      </w:pPr>
      <w:proofErr w:type="spellStart"/>
      <w:r w:rsidRPr="00F133CB">
        <w:t>Feitsma</w:t>
      </w:r>
      <w:proofErr w:type="spellEnd"/>
      <w:r w:rsidRPr="00F133CB">
        <w:t xml:space="preserve">, H., </w:t>
      </w:r>
      <w:proofErr w:type="spellStart"/>
      <w:r w:rsidRPr="00F133CB">
        <w:t>Cuppen</w:t>
      </w:r>
      <w:proofErr w:type="spellEnd"/>
      <w:r w:rsidRPr="00F133CB">
        <w:t xml:space="preserve">, E., Zebrafish as a cancer model. </w:t>
      </w:r>
      <w:r w:rsidRPr="00415489">
        <w:rPr>
          <w:i/>
          <w:iCs/>
        </w:rPr>
        <w:t>Molecular Cancer Research</w:t>
      </w:r>
      <w:r w:rsidRPr="00F133CB">
        <w:t xml:space="preserve">. </w:t>
      </w:r>
      <w:r w:rsidRPr="00415489">
        <w:rPr>
          <w:b/>
          <w:bCs/>
        </w:rPr>
        <w:t>6</w:t>
      </w:r>
      <w:r w:rsidRPr="00F133CB">
        <w:t xml:space="preserve"> (5), 694 (2008).</w:t>
      </w:r>
    </w:p>
    <w:p w14:paraId="37E7755C" w14:textId="77777777" w:rsidR="007B2F56" w:rsidRPr="00F133CB" w:rsidRDefault="007B2F56" w:rsidP="002251F3">
      <w:pPr>
        <w:pStyle w:val="ListParagraph"/>
        <w:numPr>
          <w:ilvl w:val="0"/>
          <w:numId w:val="13"/>
        </w:numPr>
        <w:ind w:left="0" w:firstLine="0"/>
      </w:pPr>
      <w:proofErr w:type="spellStart"/>
      <w:r w:rsidRPr="00F133CB">
        <w:t>Ethcin</w:t>
      </w:r>
      <w:proofErr w:type="spellEnd"/>
      <w:r w:rsidRPr="00F133CB">
        <w:t xml:space="preserve">, J., </w:t>
      </w:r>
      <w:proofErr w:type="spellStart"/>
      <w:r w:rsidRPr="00F133CB">
        <w:t>Kanki</w:t>
      </w:r>
      <w:proofErr w:type="spellEnd"/>
      <w:r w:rsidRPr="00F133CB">
        <w:t xml:space="preserve">, J. P., Look, A. T. Zebrafish as a model for the study of human cancer. </w:t>
      </w:r>
      <w:r w:rsidRPr="00415489">
        <w:rPr>
          <w:i/>
          <w:iCs/>
        </w:rPr>
        <w:t>Methods in Cell Biology.</w:t>
      </w:r>
      <w:r w:rsidRPr="00F133CB">
        <w:t xml:space="preserve"> </w:t>
      </w:r>
      <w:r w:rsidRPr="00415489">
        <w:rPr>
          <w:b/>
          <w:bCs/>
        </w:rPr>
        <w:t>105</w:t>
      </w:r>
      <w:r w:rsidRPr="00F133CB">
        <w:t>, 309-337 (2010).</w:t>
      </w:r>
    </w:p>
    <w:p w14:paraId="458E187F" w14:textId="71DD22D4" w:rsidR="007B2F56" w:rsidRPr="00F133CB" w:rsidRDefault="007B2F56" w:rsidP="002251F3">
      <w:pPr>
        <w:pStyle w:val="ListParagraph"/>
        <w:numPr>
          <w:ilvl w:val="0"/>
          <w:numId w:val="13"/>
        </w:numPr>
        <w:ind w:left="0" w:firstLine="0"/>
      </w:pPr>
      <w:r w:rsidRPr="00F133CB">
        <w:t xml:space="preserve"> Benjamin, D. C., Hynes, R. O. Intravital imaging of metastasis in adult Zebrafish. </w:t>
      </w:r>
      <w:r w:rsidRPr="00415489">
        <w:rPr>
          <w:i/>
          <w:iCs/>
        </w:rPr>
        <w:t xml:space="preserve">BMC </w:t>
      </w:r>
      <w:r w:rsidR="00415489" w:rsidRPr="00415489">
        <w:rPr>
          <w:i/>
          <w:iCs/>
        </w:rPr>
        <w:t>C</w:t>
      </w:r>
      <w:r w:rsidRPr="00415489">
        <w:rPr>
          <w:i/>
          <w:iCs/>
        </w:rPr>
        <w:t>ancer.</w:t>
      </w:r>
      <w:r w:rsidRPr="00F133CB">
        <w:t xml:space="preserve"> </w:t>
      </w:r>
      <w:r w:rsidRPr="00415489">
        <w:rPr>
          <w:b/>
          <w:bCs/>
        </w:rPr>
        <w:t>17</w:t>
      </w:r>
      <w:r w:rsidRPr="00F133CB">
        <w:t xml:space="preserve"> (1), 660 (2017). </w:t>
      </w:r>
    </w:p>
    <w:p w14:paraId="774EA450" w14:textId="08D7379F" w:rsidR="007B2F56" w:rsidRPr="00F133CB" w:rsidRDefault="007B2F56" w:rsidP="002251F3">
      <w:pPr>
        <w:pStyle w:val="ListParagraph"/>
        <w:numPr>
          <w:ilvl w:val="0"/>
          <w:numId w:val="13"/>
        </w:numPr>
        <w:ind w:left="0" w:firstLine="0"/>
      </w:pPr>
      <w:r w:rsidRPr="00F133CB">
        <w:t xml:space="preserve">Kim, I. S. et al. Microenvironment-derived factors driving metastatic plasticity in melanoma. </w:t>
      </w:r>
      <w:r w:rsidRPr="00415489">
        <w:rPr>
          <w:i/>
          <w:iCs/>
        </w:rPr>
        <w:t xml:space="preserve">Nature </w:t>
      </w:r>
      <w:r w:rsidR="00415489">
        <w:rPr>
          <w:i/>
          <w:iCs/>
        </w:rPr>
        <w:t>C</w:t>
      </w:r>
      <w:r w:rsidRPr="00415489">
        <w:rPr>
          <w:i/>
          <w:iCs/>
        </w:rPr>
        <w:t>ommunications.</w:t>
      </w:r>
      <w:r w:rsidRPr="00F133CB">
        <w:t xml:space="preserve"> </w:t>
      </w:r>
      <w:r w:rsidRPr="00415489">
        <w:rPr>
          <w:b/>
          <w:bCs/>
        </w:rPr>
        <w:t>8</w:t>
      </w:r>
      <w:r w:rsidRPr="00F133CB">
        <w:t>, 14343 (2017).</w:t>
      </w:r>
    </w:p>
    <w:p w14:paraId="1F028BA6" w14:textId="60BD10E6" w:rsidR="007B2F56" w:rsidRPr="00F133CB" w:rsidRDefault="007B2F56" w:rsidP="002251F3">
      <w:pPr>
        <w:pStyle w:val="ListParagraph"/>
        <w:numPr>
          <w:ilvl w:val="0"/>
          <w:numId w:val="13"/>
        </w:numPr>
        <w:ind w:left="0" w:firstLine="0"/>
      </w:pPr>
      <w:r w:rsidRPr="00F133CB">
        <w:t xml:space="preserve">Zhu S, et al. Activated ALK </w:t>
      </w:r>
      <w:r w:rsidR="00415489">
        <w:t>c</w:t>
      </w:r>
      <w:r w:rsidRPr="00F133CB">
        <w:t xml:space="preserve">ollaborates with MYCN in </w:t>
      </w:r>
      <w:r w:rsidR="00415489">
        <w:t>n</w:t>
      </w:r>
      <w:r w:rsidRPr="00F133CB">
        <w:t xml:space="preserve">euroblastoma </w:t>
      </w:r>
      <w:r w:rsidR="00415489">
        <w:t>p</w:t>
      </w:r>
      <w:r w:rsidRPr="00F133CB">
        <w:t xml:space="preserve">athogenesis. </w:t>
      </w:r>
      <w:r w:rsidRPr="00415489">
        <w:rPr>
          <w:i/>
          <w:iCs/>
        </w:rPr>
        <w:t>Cancer Cell.</w:t>
      </w:r>
      <w:r w:rsidRPr="00F133CB">
        <w:t xml:space="preserve"> </w:t>
      </w:r>
      <w:r w:rsidRPr="00415489">
        <w:rPr>
          <w:b/>
          <w:bCs/>
        </w:rPr>
        <w:t>21</w:t>
      </w:r>
      <w:r w:rsidRPr="00F133CB">
        <w:t xml:space="preserve"> (3), 362–373 (2012).</w:t>
      </w:r>
    </w:p>
    <w:p w14:paraId="3FB41913" w14:textId="551B9D68" w:rsidR="007B2F56" w:rsidRPr="00F133CB" w:rsidRDefault="007B2F56" w:rsidP="002251F3">
      <w:pPr>
        <w:pStyle w:val="ListParagraph"/>
        <w:numPr>
          <w:ilvl w:val="0"/>
          <w:numId w:val="13"/>
        </w:numPr>
        <w:ind w:left="0" w:firstLine="0"/>
      </w:pPr>
      <w:r w:rsidRPr="00F133CB">
        <w:t xml:space="preserve">Maris, J. M., </w:t>
      </w:r>
      <w:proofErr w:type="spellStart"/>
      <w:r w:rsidRPr="00F133CB">
        <w:t>Hogarty</w:t>
      </w:r>
      <w:proofErr w:type="spellEnd"/>
      <w:r w:rsidRPr="00F133CB">
        <w:t xml:space="preserve">, M. D., </w:t>
      </w:r>
      <w:proofErr w:type="spellStart"/>
      <w:r w:rsidRPr="00F133CB">
        <w:t>Bagatell</w:t>
      </w:r>
      <w:proofErr w:type="spellEnd"/>
      <w:r w:rsidRPr="00F133CB">
        <w:t xml:space="preserve">, R., Cohn, S. L. Neuroblastoma. </w:t>
      </w:r>
      <w:r w:rsidRPr="00415489">
        <w:rPr>
          <w:i/>
          <w:iCs/>
        </w:rPr>
        <w:t>Lancet (London, England)</w:t>
      </w:r>
      <w:r w:rsidRPr="00F133CB">
        <w:t xml:space="preserve">. </w:t>
      </w:r>
      <w:r w:rsidRPr="00415489">
        <w:rPr>
          <w:b/>
          <w:bCs/>
        </w:rPr>
        <w:t xml:space="preserve">369 </w:t>
      </w:r>
      <w:r w:rsidRPr="00F133CB">
        <w:t>(9579), 2106–2120 (2007).</w:t>
      </w:r>
    </w:p>
    <w:p w14:paraId="7B32C976" w14:textId="7D6CDDB8" w:rsidR="007B2F56" w:rsidRPr="00F133CB" w:rsidRDefault="007B2F56" w:rsidP="002251F3">
      <w:pPr>
        <w:pStyle w:val="ListParagraph"/>
        <w:numPr>
          <w:ilvl w:val="0"/>
          <w:numId w:val="13"/>
        </w:numPr>
        <w:ind w:left="0" w:firstLine="0"/>
      </w:pPr>
      <w:r w:rsidRPr="00F133CB">
        <w:t xml:space="preserve">Park, J. R. et al. Children's </w:t>
      </w:r>
      <w:r w:rsidR="00415489">
        <w:t>o</w:t>
      </w:r>
      <w:r w:rsidRPr="00F133CB">
        <w:t xml:space="preserve">ncology </w:t>
      </w:r>
      <w:r w:rsidR="00415489">
        <w:t>g</w:t>
      </w:r>
      <w:r w:rsidRPr="00F133CB">
        <w:t xml:space="preserve">roup's 2013 blueprint for research: neuroblastoma. </w:t>
      </w:r>
      <w:r w:rsidRPr="00415489">
        <w:rPr>
          <w:i/>
          <w:iCs/>
        </w:rPr>
        <w:t xml:space="preserve">Pediatric </w:t>
      </w:r>
      <w:r w:rsidR="00415489">
        <w:rPr>
          <w:i/>
          <w:iCs/>
        </w:rPr>
        <w:t>B</w:t>
      </w:r>
      <w:r w:rsidRPr="00415489">
        <w:rPr>
          <w:i/>
          <w:iCs/>
        </w:rPr>
        <w:t xml:space="preserve">lood </w:t>
      </w:r>
      <w:r w:rsidR="00415489">
        <w:rPr>
          <w:i/>
          <w:iCs/>
        </w:rPr>
        <w:t>and</w:t>
      </w:r>
      <w:r w:rsidRPr="00415489">
        <w:rPr>
          <w:i/>
          <w:iCs/>
        </w:rPr>
        <w:t xml:space="preserve"> </w:t>
      </w:r>
      <w:r w:rsidR="00415489">
        <w:rPr>
          <w:i/>
          <w:iCs/>
        </w:rPr>
        <w:t>C</w:t>
      </w:r>
      <w:r w:rsidRPr="00415489">
        <w:rPr>
          <w:i/>
          <w:iCs/>
        </w:rPr>
        <w:t>ancer.</w:t>
      </w:r>
      <w:r w:rsidRPr="00F133CB">
        <w:t xml:space="preserve"> </w:t>
      </w:r>
      <w:r w:rsidRPr="00415489">
        <w:rPr>
          <w:b/>
          <w:bCs/>
        </w:rPr>
        <w:t>60</w:t>
      </w:r>
      <w:r w:rsidRPr="00F133CB">
        <w:t xml:space="preserve"> (6), 985–993 (2013).</w:t>
      </w:r>
    </w:p>
    <w:p w14:paraId="6667B2B8" w14:textId="54FADEF0" w:rsidR="007B2F56" w:rsidRPr="00F133CB" w:rsidRDefault="007B2F56" w:rsidP="002251F3">
      <w:pPr>
        <w:pStyle w:val="ListParagraph"/>
        <w:numPr>
          <w:ilvl w:val="0"/>
          <w:numId w:val="13"/>
        </w:numPr>
        <w:ind w:left="0" w:firstLine="0"/>
      </w:pPr>
      <w:proofErr w:type="spellStart"/>
      <w:r w:rsidRPr="00F133CB">
        <w:t>Hoehner</w:t>
      </w:r>
      <w:proofErr w:type="spellEnd"/>
      <w:r w:rsidRPr="00F133CB">
        <w:t>, J. C.</w:t>
      </w:r>
      <w:r w:rsidR="00415489">
        <w:t xml:space="preserve"> et al.</w:t>
      </w:r>
      <w:r w:rsidRPr="00F133CB">
        <w:t xml:space="preserve"> A developmental model of neuroblastoma: differentiating stroma-poor tumors' progress along an extra-adrenal chromaffin lineage. </w:t>
      </w:r>
      <w:r w:rsidRPr="00415489">
        <w:rPr>
          <w:i/>
          <w:iCs/>
        </w:rPr>
        <w:t xml:space="preserve">Laboratory </w:t>
      </w:r>
      <w:r w:rsidR="00415489" w:rsidRPr="00415489">
        <w:rPr>
          <w:i/>
          <w:iCs/>
        </w:rPr>
        <w:t>I</w:t>
      </w:r>
      <w:r w:rsidRPr="00415489">
        <w:rPr>
          <w:i/>
          <w:iCs/>
        </w:rPr>
        <w:t>nvestigation</w:t>
      </w:r>
      <w:r w:rsidR="00415489" w:rsidRPr="00415489">
        <w:rPr>
          <w:i/>
          <w:iCs/>
        </w:rPr>
        <w:t>:</w:t>
      </w:r>
      <w:r w:rsidRPr="00415489">
        <w:rPr>
          <w:i/>
          <w:iCs/>
        </w:rPr>
        <w:t xml:space="preserve"> </w:t>
      </w:r>
      <w:r w:rsidR="00415489" w:rsidRPr="00415489">
        <w:rPr>
          <w:i/>
          <w:iCs/>
        </w:rPr>
        <w:t>A</w:t>
      </w:r>
      <w:r w:rsidRPr="00415489">
        <w:rPr>
          <w:i/>
          <w:iCs/>
        </w:rPr>
        <w:t xml:space="preserve"> </w:t>
      </w:r>
      <w:r w:rsidR="00415489" w:rsidRPr="00415489">
        <w:rPr>
          <w:i/>
          <w:iCs/>
        </w:rPr>
        <w:t>J</w:t>
      </w:r>
      <w:r w:rsidRPr="00415489">
        <w:rPr>
          <w:i/>
          <w:iCs/>
        </w:rPr>
        <w:t xml:space="preserve">ournal of </w:t>
      </w:r>
      <w:r w:rsidR="00415489" w:rsidRPr="00415489">
        <w:rPr>
          <w:i/>
          <w:iCs/>
        </w:rPr>
        <w:t>T</w:t>
      </w:r>
      <w:r w:rsidRPr="00415489">
        <w:rPr>
          <w:i/>
          <w:iCs/>
        </w:rPr>
        <w:t xml:space="preserve">echnical </w:t>
      </w:r>
      <w:r w:rsidR="00415489" w:rsidRPr="00415489">
        <w:rPr>
          <w:i/>
          <w:iCs/>
        </w:rPr>
        <w:t>M</w:t>
      </w:r>
      <w:r w:rsidRPr="00415489">
        <w:rPr>
          <w:i/>
          <w:iCs/>
        </w:rPr>
        <w:t xml:space="preserve">ethods and </w:t>
      </w:r>
      <w:r w:rsidR="00415489" w:rsidRPr="00415489">
        <w:rPr>
          <w:i/>
          <w:iCs/>
        </w:rPr>
        <w:t>P</w:t>
      </w:r>
      <w:r w:rsidRPr="00415489">
        <w:rPr>
          <w:i/>
          <w:iCs/>
        </w:rPr>
        <w:t>athology.</w:t>
      </w:r>
      <w:r w:rsidRPr="00F133CB">
        <w:t xml:space="preserve"> </w:t>
      </w:r>
      <w:r w:rsidRPr="00415489">
        <w:rPr>
          <w:b/>
          <w:bCs/>
        </w:rPr>
        <w:t>75</w:t>
      </w:r>
      <w:r w:rsidRPr="00F133CB">
        <w:t xml:space="preserve"> (5), 659–675 (1996).</w:t>
      </w:r>
    </w:p>
    <w:p w14:paraId="33402A9D" w14:textId="50497E0E" w:rsidR="007B2F56" w:rsidRPr="00F133CB" w:rsidRDefault="007B2F56" w:rsidP="002251F3">
      <w:pPr>
        <w:pStyle w:val="ListParagraph"/>
        <w:numPr>
          <w:ilvl w:val="0"/>
          <w:numId w:val="13"/>
        </w:numPr>
        <w:ind w:left="0" w:firstLine="0"/>
      </w:pPr>
      <w:proofErr w:type="spellStart"/>
      <w:r w:rsidRPr="00F133CB">
        <w:t>Tsubota</w:t>
      </w:r>
      <w:proofErr w:type="spellEnd"/>
      <w:r w:rsidRPr="00F133CB">
        <w:t xml:space="preserve">, S., </w:t>
      </w:r>
      <w:proofErr w:type="spellStart"/>
      <w:r w:rsidRPr="00F133CB">
        <w:t>Kadomatsu</w:t>
      </w:r>
      <w:proofErr w:type="spellEnd"/>
      <w:r w:rsidRPr="00F133CB">
        <w:t xml:space="preserve">, K. Origin and initiation mechanisms of neuroblastoma. </w:t>
      </w:r>
      <w:r w:rsidRPr="00415489">
        <w:rPr>
          <w:i/>
          <w:iCs/>
        </w:rPr>
        <w:t xml:space="preserve">Cell and </w:t>
      </w:r>
      <w:r w:rsidR="00415489">
        <w:rPr>
          <w:i/>
          <w:iCs/>
        </w:rPr>
        <w:t>T</w:t>
      </w:r>
      <w:r w:rsidRPr="00415489">
        <w:rPr>
          <w:i/>
          <w:iCs/>
        </w:rPr>
        <w:t xml:space="preserve">issue </w:t>
      </w:r>
      <w:r w:rsidR="00415489">
        <w:rPr>
          <w:i/>
          <w:iCs/>
        </w:rPr>
        <w:t>R</w:t>
      </w:r>
      <w:r w:rsidRPr="00415489">
        <w:rPr>
          <w:i/>
          <w:iCs/>
        </w:rPr>
        <w:t>esearch.</w:t>
      </w:r>
      <w:r w:rsidRPr="00F133CB">
        <w:t xml:space="preserve"> </w:t>
      </w:r>
      <w:r w:rsidRPr="00415489">
        <w:rPr>
          <w:b/>
          <w:bCs/>
        </w:rPr>
        <w:t xml:space="preserve">372 </w:t>
      </w:r>
      <w:r w:rsidRPr="00F133CB">
        <w:t xml:space="preserve">(2), 211–221 (2018). </w:t>
      </w:r>
    </w:p>
    <w:p w14:paraId="3FAFA6D9" w14:textId="68D6C904" w:rsidR="007B2F56" w:rsidRPr="00F133CB" w:rsidRDefault="007B2F56" w:rsidP="002251F3">
      <w:pPr>
        <w:pStyle w:val="ListParagraph"/>
        <w:numPr>
          <w:ilvl w:val="0"/>
          <w:numId w:val="13"/>
        </w:numPr>
        <w:ind w:left="0" w:firstLine="0"/>
      </w:pPr>
      <w:r w:rsidRPr="00F133CB">
        <w:t xml:space="preserve">Tolbert, V. P., </w:t>
      </w:r>
      <w:proofErr w:type="spellStart"/>
      <w:r w:rsidRPr="00F133CB">
        <w:t>Matthay</w:t>
      </w:r>
      <w:proofErr w:type="spellEnd"/>
      <w:r w:rsidRPr="00F133CB">
        <w:t xml:space="preserve">, K. K. Neuroblastoma: </w:t>
      </w:r>
      <w:r w:rsidR="00415489">
        <w:t>C</w:t>
      </w:r>
      <w:r w:rsidRPr="00F133CB">
        <w:t xml:space="preserve">linical and biological approach to risk stratification and treatment. </w:t>
      </w:r>
      <w:r w:rsidRPr="00415489">
        <w:rPr>
          <w:i/>
          <w:iCs/>
        </w:rPr>
        <w:t xml:space="preserve">Cell and Tissue Research. </w:t>
      </w:r>
      <w:r w:rsidRPr="00415489">
        <w:rPr>
          <w:b/>
          <w:bCs/>
        </w:rPr>
        <w:t>372</w:t>
      </w:r>
      <w:r w:rsidRPr="00F133CB">
        <w:t xml:space="preserve"> (2), 195–209 (2018).</w:t>
      </w:r>
    </w:p>
    <w:p w14:paraId="50A09631" w14:textId="383A3295" w:rsidR="007B2F56" w:rsidRPr="00F133CB" w:rsidRDefault="007B2F56" w:rsidP="002251F3">
      <w:pPr>
        <w:pStyle w:val="ListParagraph"/>
        <w:numPr>
          <w:ilvl w:val="0"/>
          <w:numId w:val="13"/>
        </w:numPr>
        <w:ind w:left="0" w:firstLine="0"/>
      </w:pPr>
      <w:r w:rsidRPr="00F133CB">
        <w:t xml:space="preserve">Maris J. M. Recent advances in neuroblastoma. </w:t>
      </w:r>
      <w:r w:rsidRPr="00415489">
        <w:rPr>
          <w:i/>
          <w:iCs/>
        </w:rPr>
        <w:t>New England Journal of Medicine</w:t>
      </w:r>
      <w:r w:rsidR="00415489">
        <w:t>.</w:t>
      </w:r>
      <w:r w:rsidRPr="00F133CB">
        <w:t xml:space="preserve"> </w:t>
      </w:r>
      <w:r w:rsidRPr="00415489">
        <w:rPr>
          <w:b/>
          <w:bCs/>
        </w:rPr>
        <w:t>362</w:t>
      </w:r>
      <w:r w:rsidRPr="00F133CB">
        <w:t xml:space="preserve"> (23), 2202–2211 (2010).</w:t>
      </w:r>
    </w:p>
    <w:p w14:paraId="3BAEBAF4" w14:textId="57C6147D" w:rsidR="007B2F56" w:rsidRPr="00F133CB" w:rsidRDefault="007B2F56" w:rsidP="002251F3">
      <w:pPr>
        <w:pStyle w:val="ListParagraph"/>
        <w:numPr>
          <w:ilvl w:val="0"/>
          <w:numId w:val="13"/>
        </w:numPr>
        <w:ind w:left="0" w:firstLine="0"/>
      </w:pPr>
      <w:r w:rsidRPr="00F133CB">
        <w:t>Zhu, S. et al. LMO1 Synergizes with MYCN to</w:t>
      </w:r>
      <w:r w:rsidR="00415489" w:rsidRPr="00F133CB">
        <w:t xml:space="preserve"> promote neuroblastoma initiation and meta</w:t>
      </w:r>
      <w:r w:rsidRPr="00F133CB">
        <w:t xml:space="preserve">stasis. </w:t>
      </w:r>
      <w:r w:rsidRPr="00415489">
        <w:rPr>
          <w:i/>
          <w:iCs/>
        </w:rPr>
        <w:t>Cancer Cell.</w:t>
      </w:r>
      <w:r w:rsidRPr="00F133CB">
        <w:t xml:space="preserve"> </w:t>
      </w:r>
      <w:r w:rsidRPr="00415489">
        <w:rPr>
          <w:b/>
          <w:bCs/>
        </w:rPr>
        <w:t>32</w:t>
      </w:r>
      <w:r w:rsidRPr="00F133CB">
        <w:t>, 310–323 (2017).</w:t>
      </w:r>
    </w:p>
    <w:p w14:paraId="394704B9" w14:textId="0A264F80" w:rsidR="007B2F56" w:rsidRPr="00F133CB" w:rsidRDefault="007B2F56" w:rsidP="002251F3">
      <w:pPr>
        <w:pStyle w:val="ListParagraph"/>
        <w:numPr>
          <w:ilvl w:val="0"/>
          <w:numId w:val="13"/>
        </w:numPr>
        <w:ind w:left="0" w:firstLine="0"/>
      </w:pPr>
      <w:r w:rsidRPr="00F133CB">
        <w:t xml:space="preserve">Patton, E. E., </w:t>
      </w:r>
      <w:proofErr w:type="spellStart"/>
      <w:r w:rsidRPr="00F133CB">
        <w:t>Zon</w:t>
      </w:r>
      <w:proofErr w:type="spellEnd"/>
      <w:r w:rsidRPr="00F133CB">
        <w:t xml:space="preserve">, L. I. The art and design of genetic screens: zebrafish. </w:t>
      </w:r>
      <w:r w:rsidRPr="00415489">
        <w:rPr>
          <w:i/>
          <w:iCs/>
        </w:rPr>
        <w:t xml:space="preserve">Nature </w:t>
      </w:r>
      <w:r w:rsidR="00415489" w:rsidRPr="00415489">
        <w:rPr>
          <w:i/>
          <w:iCs/>
        </w:rPr>
        <w:t>R</w:t>
      </w:r>
      <w:r w:rsidRPr="00415489">
        <w:rPr>
          <w:i/>
          <w:iCs/>
        </w:rPr>
        <w:t>eviews Genetics</w:t>
      </w:r>
      <w:r w:rsidRPr="00F133CB">
        <w:t>.</w:t>
      </w:r>
      <w:r w:rsidRPr="00415489">
        <w:rPr>
          <w:b/>
          <w:bCs/>
        </w:rPr>
        <w:t xml:space="preserve"> 2</w:t>
      </w:r>
      <w:r w:rsidRPr="00F133CB">
        <w:t xml:space="preserve"> (12), 956–966 (2001).</w:t>
      </w:r>
    </w:p>
    <w:p w14:paraId="748CFE20" w14:textId="2C59FDF3" w:rsidR="007B2F56" w:rsidRPr="00F133CB" w:rsidRDefault="007B2F56" w:rsidP="002251F3">
      <w:pPr>
        <w:pStyle w:val="ListParagraph"/>
        <w:numPr>
          <w:ilvl w:val="0"/>
          <w:numId w:val="13"/>
        </w:numPr>
        <w:ind w:left="0" w:firstLine="0"/>
      </w:pPr>
      <w:proofErr w:type="spellStart"/>
      <w:r w:rsidRPr="00F133CB">
        <w:t>Lieschke</w:t>
      </w:r>
      <w:proofErr w:type="spellEnd"/>
      <w:r w:rsidRPr="00F133CB">
        <w:t xml:space="preserve">, G. J., Currie, P. D. Animal models of human disease: zebrafish swim into view. </w:t>
      </w:r>
      <w:r w:rsidRPr="00415489">
        <w:rPr>
          <w:i/>
          <w:iCs/>
        </w:rPr>
        <w:t xml:space="preserve">Nature </w:t>
      </w:r>
      <w:r w:rsidR="00415489" w:rsidRPr="00415489">
        <w:rPr>
          <w:i/>
          <w:iCs/>
        </w:rPr>
        <w:t>R</w:t>
      </w:r>
      <w:r w:rsidRPr="00415489">
        <w:rPr>
          <w:i/>
          <w:iCs/>
        </w:rPr>
        <w:t>eviews Genetics.</w:t>
      </w:r>
      <w:r w:rsidRPr="00F133CB">
        <w:t xml:space="preserve"> </w:t>
      </w:r>
      <w:r w:rsidRPr="00415489">
        <w:rPr>
          <w:b/>
          <w:bCs/>
        </w:rPr>
        <w:t>8</w:t>
      </w:r>
      <w:r w:rsidRPr="00F133CB">
        <w:t xml:space="preserve"> (5), 353–367 (2007).</w:t>
      </w:r>
    </w:p>
    <w:p w14:paraId="5FFE186B" w14:textId="77777777" w:rsidR="007B2F56" w:rsidRPr="00F133CB" w:rsidRDefault="007B2F56" w:rsidP="002251F3">
      <w:pPr>
        <w:pStyle w:val="ListParagraph"/>
        <w:numPr>
          <w:ilvl w:val="0"/>
          <w:numId w:val="13"/>
        </w:numPr>
        <w:ind w:left="0" w:firstLine="0"/>
      </w:pPr>
      <w:r w:rsidRPr="00F133CB">
        <w:t xml:space="preserve">Tao, T et al. LIN28B regulates transcription and potentiates MYCN-induced neuroblastoma through binding to ZNF143 at target gene promotors. </w:t>
      </w:r>
      <w:r w:rsidRPr="00415489">
        <w:rPr>
          <w:i/>
          <w:iCs/>
        </w:rPr>
        <w:t xml:space="preserve">Proceedings of the National Academy of Sciences of the United States of America. </w:t>
      </w:r>
      <w:r w:rsidRPr="00415489">
        <w:rPr>
          <w:b/>
          <w:bCs/>
        </w:rPr>
        <w:t>117</w:t>
      </w:r>
      <w:r w:rsidRPr="00F133CB">
        <w:t xml:space="preserve"> (28), 16516–16526 (2020).</w:t>
      </w:r>
    </w:p>
    <w:p w14:paraId="31FBB862" w14:textId="2C6AEFEC" w:rsidR="007B2F56" w:rsidRPr="00F133CB" w:rsidRDefault="007B2F56" w:rsidP="002251F3">
      <w:pPr>
        <w:pStyle w:val="ListParagraph"/>
        <w:numPr>
          <w:ilvl w:val="0"/>
          <w:numId w:val="13"/>
        </w:numPr>
        <w:ind w:left="0" w:firstLine="0"/>
      </w:pPr>
      <w:r w:rsidRPr="00F133CB">
        <w:t xml:space="preserve">Ung, C. Y., Guo, F., Zhang, X., Zhu, Z., Zhu, S. Mosaic </w:t>
      </w:r>
      <w:r w:rsidR="00415489">
        <w:t>z</w:t>
      </w:r>
      <w:r w:rsidRPr="00F133CB">
        <w:t xml:space="preserve">ebrafish </w:t>
      </w:r>
      <w:r w:rsidR="00415489">
        <w:t>t</w:t>
      </w:r>
      <w:r w:rsidRPr="00F133CB">
        <w:t>ransgenesis for</w:t>
      </w:r>
      <w:r w:rsidR="00415489" w:rsidRPr="00F133CB">
        <w:t xml:space="preserve"> </w:t>
      </w:r>
      <w:r w:rsidR="00415489">
        <w:t>f</w:t>
      </w:r>
      <w:r w:rsidR="00415489" w:rsidRPr="00F133CB">
        <w:t>unctional genomic analysis of candidate cooperative genes in tumor pathog</w:t>
      </w:r>
      <w:r w:rsidRPr="00F133CB">
        <w:t xml:space="preserve">enesis. </w:t>
      </w:r>
      <w:r w:rsidRPr="00415489">
        <w:rPr>
          <w:i/>
          <w:iCs/>
        </w:rPr>
        <w:t>Journal of Visualized Experiments</w:t>
      </w:r>
      <w:r w:rsidRPr="00F133CB">
        <w:t xml:space="preserve">. </w:t>
      </w:r>
      <w:r w:rsidR="00415489">
        <w:t>(</w:t>
      </w:r>
      <w:r w:rsidRPr="00F133CB">
        <w:t>97</w:t>
      </w:r>
      <w:r w:rsidR="00415489">
        <w:t>)</w:t>
      </w:r>
      <w:r w:rsidRPr="00F133CB">
        <w:t xml:space="preserve">, </w:t>
      </w:r>
      <w:r w:rsidR="00415489">
        <w:t>e</w:t>
      </w:r>
      <w:r w:rsidRPr="00F133CB">
        <w:t>52567 (2015).</w:t>
      </w:r>
    </w:p>
    <w:p w14:paraId="20DD5694" w14:textId="463A525F" w:rsidR="007B2F56" w:rsidRPr="00F133CB" w:rsidRDefault="007B2F56" w:rsidP="002251F3">
      <w:pPr>
        <w:pStyle w:val="ListParagraph"/>
        <w:numPr>
          <w:ilvl w:val="0"/>
          <w:numId w:val="13"/>
        </w:numPr>
        <w:ind w:left="0" w:firstLine="0"/>
      </w:pPr>
      <w:r w:rsidRPr="00F133CB">
        <w:t xml:space="preserve">Zhang, X. et al. Critical </w:t>
      </w:r>
      <w:r w:rsidR="00415489">
        <w:t>r</w:t>
      </w:r>
      <w:r w:rsidRPr="00F133CB">
        <w:t>ole for GAB2 in</w:t>
      </w:r>
      <w:r w:rsidR="00415489" w:rsidRPr="00F133CB">
        <w:t xml:space="preserve"> neuroblastoma pathogenesis through the </w:t>
      </w:r>
      <w:r w:rsidR="00415489" w:rsidRPr="00F133CB">
        <w:lastRenderedPageBreak/>
        <w:t>promotion</w:t>
      </w:r>
      <w:r w:rsidRPr="00F133CB">
        <w:t xml:space="preserve"> of SHP2/MYCN </w:t>
      </w:r>
      <w:r w:rsidR="00415489">
        <w:t>c</w:t>
      </w:r>
      <w:r w:rsidRPr="00F133CB">
        <w:t xml:space="preserve">ooperation. </w:t>
      </w:r>
      <w:r w:rsidRPr="00415489">
        <w:rPr>
          <w:i/>
          <w:iCs/>
        </w:rPr>
        <w:t xml:space="preserve">Cell </w:t>
      </w:r>
      <w:r w:rsidR="00415489" w:rsidRPr="00415489">
        <w:rPr>
          <w:i/>
          <w:iCs/>
        </w:rPr>
        <w:t>R</w:t>
      </w:r>
      <w:r w:rsidRPr="00415489">
        <w:rPr>
          <w:i/>
          <w:iCs/>
        </w:rPr>
        <w:t>eports</w:t>
      </w:r>
      <w:r w:rsidRPr="00F133CB">
        <w:t xml:space="preserve">. </w:t>
      </w:r>
      <w:r w:rsidRPr="00415489">
        <w:rPr>
          <w:b/>
          <w:bCs/>
        </w:rPr>
        <w:t>18</w:t>
      </w:r>
      <w:r w:rsidRPr="00F133CB">
        <w:t xml:space="preserve"> (12), 2932–2942 (2017).</w:t>
      </w:r>
    </w:p>
    <w:p w14:paraId="664F3079" w14:textId="5C48485E" w:rsidR="007B2F56" w:rsidRPr="00F133CB" w:rsidRDefault="007B2F56" w:rsidP="002251F3">
      <w:pPr>
        <w:pStyle w:val="ListParagraph"/>
        <w:numPr>
          <w:ilvl w:val="0"/>
          <w:numId w:val="13"/>
        </w:numPr>
        <w:ind w:left="0" w:firstLine="0"/>
      </w:pPr>
      <w:r w:rsidRPr="00F133CB">
        <w:t xml:space="preserve">Zimmerman, M. W. et al. MYC </w:t>
      </w:r>
      <w:r w:rsidR="00415489" w:rsidRPr="00F133CB">
        <w:t xml:space="preserve">drives a subset of high-risk pediatric neuroblastomas and is activated through mechanisms including enhancer hijacking and focal enhancer amplification. </w:t>
      </w:r>
      <w:r w:rsidRPr="00415489">
        <w:rPr>
          <w:i/>
          <w:iCs/>
        </w:rPr>
        <w:t xml:space="preserve">Cancer </w:t>
      </w:r>
      <w:r w:rsidR="00415489" w:rsidRPr="00415489">
        <w:rPr>
          <w:i/>
          <w:iCs/>
        </w:rPr>
        <w:t>D</w:t>
      </w:r>
      <w:r w:rsidRPr="00415489">
        <w:rPr>
          <w:i/>
          <w:iCs/>
        </w:rPr>
        <w:t>iscovery</w:t>
      </w:r>
      <w:r w:rsidR="00415489" w:rsidRPr="00415489">
        <w:rPr>
          <w:i/>
          <w:iCs/>
        </w:rPr>
        <w:t>.</w:t>
      </w:r>
      <w:r w:rsidRPr="00F133CB">
        <w:t xml:space="preserve"> </w:t>
      </w:r>
      <w:r w:rsidRPr="00415489">
        <w:rPr>
          <w:b/>
          <w:bCs/>
        </w:rPr>
        <w:t>8</w:t>
      </w:r>
      <w:r w:rsidR="00415489">
        <w:t xml:space="preserve"> </w:t>
      </w:r>
      <w:r w:rsidRPr="00F133CB">
        <w:t>(3), 320–335 (2018).</w:t>
      </w:r>
    </w:p>
    <w:p w14:paraId="07038174" w14:textId="732AA58E" w:rsidR="007B2F56" w:rsidRPr="00F133CB" w:rsidRDefault="007B2F56" w:rsidP="002251F3">
      <w:pPr>
        <w:pStyle w:val="ListParagraph"/>
        <w:numPr>
          <w:ilvl w:val="0"/>
          <w:numId w:val="13"/>
        </w:numPr>
        <w:ind w:left="0" w:firstLine="0"/>
      </w:pPr>
      <w:proofErr w:type="spellStart"/>
      <w:r w:rsidRPr="00F133CB">
        <w:t>Koach</w:t>
      </w:r>
      <w:proofErr w:type="spellEnd"/>
      <w:r w:rsidRPr="00F133CB">
        <w:t xml:space="preserve">, J. et al. Drugging MYCN </w:t>
      </w:r>
      <w:r w:rsidR="00415489">
        <w:t>o</w:t>
      </w:r>
      <w:r w:rsidRPr="00F133CB">
        <w:t xml:space="preserve">ncogenic </w:t>
      </w:r>
      <w:r w:rsidR="00415489">
        <w:t>s</w:t>
      </w:r>
      <w:r w:rsidRPr="00F133CB">
        <w:t xml:space="preserve">ignaling through the MYCN-PA2G4 </w:t>
      </w:r>
      <w:r w:rsidR="00415489">
        <w:t>b</w:t>
      </w:r>
      <w:r w:rsidRPr="00F133CB">
        <w:t xml:space="preserve">inding </w:t>
      </w:r>
      <w:r w:rsidR="00415489">
        <w:t>i</w:t>
      </w:r>
      <w:r w:rsidRPr="00F133CB">
        <w:t xml:space="preserve">nterface. </w:t>
      </w:r>
      <w:r w:rsidRPr="00415489">
        <w:rPr>
          <w:i/>
          <w:iCs/>
        </w:rPr>
        <w:t xml:space="preserve">Cancer </w:t>
      </w:r>
      <w:r w:rsidR="00415489" w:rsidRPr="00415489">
        <w:rPr>
          <w:i/>
          <w:iCs/>
        </w:rPr>
        <w:t>R</w:t>
      </w:r>
      <w:r w:rsidRPr="00415489">
        <w:rPr>
          <w:i/>
          <w:iCs/>
        </w:rPr>
        <w:t>esearch.</w:t>
      </w:r>
      <w:r w:rsidRPr="00F133CB">
        <w:t xml:space="preserve"> </w:t>
      </w:r>
      <w:r w:rsidRPr="00415489">
        <w:rPr>
          <w:b/>
          <w:bCs/>
        </w:rPr>
        <w:t>79</w:t>
      </w:r>
      <w:r w:rsidRPr="00F133CB">
        <w:t xml:space="preserve"> (21), 5652–5667 (2019).</w:t>
      </w:r>
    </w:p>
    <w:p w14:paraId="2C89FD68" w14:textId="6F515936" w:rsidR="007B2F56" w:rsidRPr="00F133CB" w:rsidRDefault="007B2F56" w:rsidP="002251F3">
      <w:pPr>
        <w:pStyle w:val="ListParagraph"/>
        <w:numPr>
          <w:ilvl w:val="0"/>
          <w:numId w:val="13"/>
        </w:numPr>
        <w:ind w:left="0" w:firstLine="0"/>
      </w:pPr>
      <w:r w:rsidRPr="00F133CB">
        <w:t>Kimmel, C. B., Ballard, W. W., Kimmel, S. R., Ullmann, B., Schilling, T. F. Stages of embryonic development of the zebrafish.</w:t>
      </w:r>
      <w:r w:rsidRPr="00415489">
        <w:rPr>
          <w:i/>
          <w:iCs/>
        </w:rPr>
        <w:t xml:space="preserve"> Developmental Dynamics.</w:t>
      </w:r>
      <w:r w:rsidRPr="00F133CB">
        <w:t xml:space="preserve"> </w:t>
      </w:r>
      <w:r w:rsidRPr="00415489">
        <w:rPr>
          <w:b/>
          <w:bCs/>
        </w:rPr>
        <w:t>203</w:t>
      </w:r>
      <w:r w:rsidRPr="00F133CB">
        <w:t xml:space="preserve"> (3), 253–310 (1995).</w:t>
      </w:r>
    </w:p>
    <w:p w14:paraId="44CB5673" w14:textId="77777777" w:rsidR="007B2F56" w:rsidRPr="00F133CB" w:rsidRDefault="007B2F56" w:rsidP="002251F3">
      <w:pPr>
        <w:pStyle w:val="ListParagraph"/>
        <w:numPr>
          <w:ilvl w:val="0"/>
          <w:numId w:val="13"/>
        </w:numPr>
        <w:ind w:left="0" w:firstLine="0"/>
      </w:pPr>
      <w:r w:rsidRPr="00F133CB">
        <w:t xml:space="preserve">DuBois, S. G. et al. Metastatic sites in stage IV and IVS neuroblastoma correlate with age, tumor biology, and survival. Journal of pediatric hematology/oncology. </w:t>
      </w:r>
      <w:r w:rsidRPr="007F15A7">
        <w:rPr>
          <w:b/>
          <w:bCs/>
        </w:rPr>
        <w:t xml:space="preserve">21 </w:t>
      </w:r>
      <w:r w:rsidRPr="00F133CB">
        <w:t>(3), 181–189 (1999).</w:t>
      </w:r>
    </w:p>
    <w:p w14:paraId="47C0412F" w14:textId="1C5B21CD" w:rsidR="007B2F56" w:rsidRPr="00F133CB" w:rsidRDefault="007B2F56" w:rsidP="002251F3">
      <w:pPr>
        <w:pStyle w:val="ListParagraph"/>
        <w:numPr>
          <w:ilvl w:val="0"/>
          <w:numId w:val="13"/>
        </w:numPr>
        <w:ind w:left="0" w:firstLine="0"/>
      </w:pPr>
      <w:proofErr w:type="spellStart"/>
      <w:r w:rsidRPr="00F133CB">
        <w:t>Wattrus</w:t>
      </w:r>
      <w:proofErr w:type="spellEnd"/>
      <w:r w:rsidRPr="00F133CB">
        <w:t xml:space="preserve">, S. J., </w:t>
      </w:r>
      <w:proofErr w:type="spellStart"/>
      <w:r w:rsidRPr="00F133CB">
        <w:t>Zon</w:t>
      </w:r>
      <w:proofErr w:type="spellEnd"/>
      <w:r w:rsidRPr="00F133CB">
        <w:t xml:space="preserve">, L. I. Stem cell safe harbor: </w:t>
      </w:r>
      <w:r w:rsidR="007F15A7">
        <w:t>T</w:t>
      </w:r>
      <w:r w:rsidRPr="00F133CB">
        <w:t xml:space="preserve">he hematopoietic stem cell niche in zebrafish. </w:t>
      </w:r>
      <w:r w:rsidRPr="007F15A7">
        <w:rPr>
          <w:i/>
          <w:iCs/>
        </w:rPr>
        <w:t xml:space="preserve">Blood </w:t>
      </w:r>
      <w:r w:rsidR="007F15A7" w:rsidRPr="007F15A7">
        <w:rPr>
          <w:i/>
          <w:iCs/>
        </w:rPr>
        <w:t>A</w:t>
      </w:r>
      <w:r w:rsidRPr="007F15A7">
        <w:rPr>
          <w:i/>
          <w:iCs/>
        </w:rPr>
        <w:t>dvances.</w:t>
      </w:r>
      <w:r w:rsidRPr="007F15A7">
        <w:rPr>
          <w:b/>
          <w:bCs/>
        </w:rPr>
        <w:t xml:space="preserve"> 2</w:t>
      </w:r>
      <w:r w:rsidRPr="00F133CB">
        <w:t xml:space="preserve"> (21), 3063–3069 </w:t>
      </w:r>
      <w:r w:rsidR="007F15A7">
        <w:t>(</w:t>
      </w:r>
      <w:r w:rsidRPr="00F133CB">
        <w:t xml:space="preserve">2018). </w:t>
      </w:r>
    </w:p>
    <w:p w14:paraId="359185E3" w14:textId="7183D06C" w:rsidR="007B2F56" w:rsidRPr="00F133CB" w:rsidRDefault="007B2F56" w:rsidP="002251F3">
      <w:pPr>
        <w:pStyle w:val="ListParagraph"/>
        <w:numPr>
          <w:ilvl w:val="0"/>
          <w:numId w:val="13"/>
        </w:numPr>
        <w:ind w:left="0" w:firstLine="0"/>
      </w:pPr>
      <w:r w:rsidRPr="00F133CB">
        <w:t xml:space="preserve">Menke, A. L., Spitsbergen, J. M., </w:t>
      </w:r>
      <w:proofErr w:type="spellStart"/>
      <w:r w:rsidRPr="00F133CB">
        <w:t>Wolterbeek</w:t>
      </w:r>
      <w:proofErr w:type="spellEnd"/>
      <w:r w:rsidRPr="00F133CB">
        <w:t xml:space="preserve">, A. P., </w:t>
      </w:r>
      <w:proofErr w:type="spellStart"/>
      <w:r w:rsidRPr="00F133CB">
        <w:t>Woutersen</w:t>
      </w:r>
      <w:proofErr w:type="spellEnd"/>
      <w:r w:rsidRPr="00F133CB">
        <w:t xml:space="preserve">, R. A. Normal anatomy and histology of the adult zebrafish. </w:t>
      </w:r>
      <w:r w:rsidRPr="007F15A7">
        <w:rPr>
          <w:i/>
          <w:iCs/>
        </w:rPr>
        <w:t xml:space="preserve">Toxicologic </w:t>
      </w:r>
      <w:r w:rsidR="007F15A7" w:rsidRPr="007F15A7">
        <w:rPr>
          <w:i/>
          <w:iCs/>
        </w:rPr>
        <w:t>P</w:t>
      </w:r>
      <w:r w:rsidRPr="007F15A7">
        <w:rPr>
          <w:i/>
          <w:iCs/>
        </w:rPr>
        <w:t>athology.</w:t>
      </w:r>
      <w:r w:rsidRPr="00F133CB">
        <w:t xml:space="preserve"> </w:t>
      </w:r>
      <w:r w:rsidRPr="007F15A7">
        <w:rPr>
          <w:b/>
          <w:bCs/>
        </w:rPr>
        <w:t>39</w:t>
      </w:r>
      <w:r w:rsidRPr="00F133CB">
        <w:t xml:space="preserve"> (5), 759–775 (2011).</w:t>
      </w:r>
    </w:p>
    <w:p w14:paraId="2ACA18D4" w14:textId="28DF1B36" w:rsidR="007B2F56" w:rsidRPr="00F133CB" w:rsidRDefault="007B2F56" w:rsidP="002251F3">
      <w:pPr>
        <w:pStyle w:val="ListParagraph"/>
        <w:numPr>
          <w:ilvl w:val="0"/>
          <w:numId w:val="13"/>
        </w:numPr>
        <w:ind w:left="0" w:firstLine="0"/>
      </w:pPr>
      <w:r w:rsidRPr="00F133CB">
        <w:t xml:space="preserve">Renshaw, S. A., </w:t>
      </w:r>
      <w:proofErr w:type="spellStart"/>
      <w:r w:rsidRPr="00F133CB">
        <w:t>Trede</w:t>
      </w:r>
      <w:proofErr w:type="spellEnd"/>
      <w:r w:rsidRPr="00F133CB">
        <w:t xml:space="preserve">, N. S. A model 450 million years in the making: </w:t>
      </w:r>
      <w:r w:rsidR="007F15A7">
        <w:t>Z</w:t>
      </w:r>
      <w:r w:rsidRPr="00F133CB">
        <w:t xml:space="preserve">ebrafish and vertebrate immunity. </w:t>
      </w:r>
      <w:r w:rsidRPr="007F15A7">
        <w:rPr>
          <w:i/>
          <w:iCs/>
        </w:rPr>
        <w:t xml:space="preserve">Disease </w:t>
      </w:r>
      <w:r w:rsidR="007F15A7">
        <w:rPr>
          <w:i/>
          <w:iCs/>
        </w:rPr>
        <w:t>M</w:t>
      </w:r>
      <w:r w:rsidRPr="007F15A7">
        <w:rPr>
          <w:i/>
          <w:iCs/>
        </w:rPr>
        <w:t>odels</w:t>
      </w:r>
      <w:r w:rsidR="007F15A7">
        <w:rPr>
          <w:i/>
          <w:iCs/>
        </w:rPr>
        <w:t xml:space="preserve"> and M</w:t>
      </w:r>
      <w:r w:rsidRPr="007F15A7">
        <w:rPr>
          <w:i/>
          <w:iCs/>
        </w:rPr>
        <w:t>echanisms.</w:t>
      </w:r>
      <w:r w:rsidRPr="00F133CB">
        <w:t xml:space="preserve"> </w:t>
      </w:r>
      <w:r w:rsidRPr="007F15A7">
        <w:rPr>
          <w:b/>
          <w:bCs/>
        </w:rPr>
        <w:t>5</w:t>
      </w:r>
      <w:r w:rsidRPr="00F133CB">
        <w:t xml:space="preserve"> (1), 38–47 (2012).</w:t>
      </w:r>
    </w:p>
    <w:p w14:paraId="26273BCF" w14:textId="7246583E" w:rsidR="007B2F56" w:rsidRPr="00F133CB" w:rsidRDefault="007B2F56" w:rsidP="002251F3">
      <w:pPr>
        <w:pStyle w:val="ListParagraph"/>
        <w:numPr>
          <w:ilvl w:val="0"/>
          <w:numId w:val="13"/>
        </w:numPr>
        <w:ind w:left="0" w:firstLine="0"/>
      </w:pPr>
      <w:proofErr w:type="spellStart"/>
      <w:r w:rsidRPr="00F133CB">
        <w:t>Junqueira</w:t>
      </w:r>
      <w:proofErr w:type="spellEnd"/>
      <w:r w:rsidRPr="00F133CB">
        <w:t xml:space="preserve">, L. C., </w:t>
      </w:r>
      <w:proofErr w:type="spellStart"/>
      <w:r w:rsidRPr="00F133CB">
        <w:t>Cossermelli</w:t>
      </w:r>
      <w:proofErr w:type="spellEnd"/>
      <w:r w:rsidRPr="00F133CB">
        <w:t xml:space="preserve">, W., Brentani, R. Differential staining of collagens type I, II and III by Sirius Red and polarization microscopy. </w:t>
      </w:r>
      <w:proofErr w:type="spellStart"/>
      <w:r w:rsidRPr="007F15A7">
        <w:rPr>
          <w:i/>
          <w:iCs/>
        </w:rPr>
        <w:t>Archivum</w:t>
      </w:r>
      <w:proofErr w:type="spellEnd"/>
      <w:r w:rsidRPr="007F15A7">
        <w:rPr>
          <w:i/>
          <w:iCs/>
        </w:rPr>
        <w:t xml:space="preserve"> </w:t>
      </w:r>
      <w:proofErr w:type="spellStart"/>
      <w:r w:rsidRPr="007F15A7">
        <w:rPr>
          <w:i/>
          <w:iCs/>
        </w:rPr>
        <w:t>histologicum</w:t>
      </w:r>
      <w:proofErr w:type="spellEnd"/>
      <w:r w:rsidRPr="007F15A7">
        <w:rPr>
          <w:i/>
          <w:iCs/>
        </w:rPr>
        <w:t xml:space="preserve"> Japonicum</w:t>
      </w:r>
      <w:r w:rsidR="007F15A7">
        <w:rPr>
          <w:i/>
          <w:iCs/>
        </w:rPr>
        <w:t xml:space="preserve"> (</w:t>
      </w:r>
      <w:r w:rsidRPr="007F15A7">
        <w:rPr>
          <w:i/>
          <w:iCs/>
        </w:rPr>
        <w:t xml:space="preserve">Nihon </w:t>
      </w:r>
      <w:proofErr w:type="spellStart"/>
      <w:r w:rsidR="007F15A7">
        <w:rPr>
          <w:i/>
          <w:iCs/>
        </w:rPr>
        <w:t>S</w:t>
      </w:r>
      <w:r w:rsidRPr="007F15A7">
        <w:rPr>
          <w:i/>
          <w:iCs/>
        </w:rPr>
        <w:t>oshikigaku</w:t>
      </w:r>
      <w:proofErr w:type="spellEnd"/>
      <w:r w:rsidRPr="007F15A7">
        <w:rPr>
          <w:i/>
          <w:iCs/>
        </w:rPr>
        <w:t xml:space="preserve"> </w:t>
      </w:r>
      <w:proofErr w:type="spellStart"/>
      <w:r w:rsidR="007F15A7">
        <w:rPr>
          <w:i/>
          <w:iCs/>
        </w:rPr>
        <w:t>K</w:t>
      </w:r>
      <w:r w:rsidRPr="007F15A7">
        <w:rPr>
          <w:i/>
          <w:iCs/>
        </w:rPr>
        <w:t>iroku</w:t>
      </w:r>
      <w:proofErr w:type="spellEnd"/>
      <w:r w:rsidR="007F15A7">
        <w:rPr>
          <w:i/>
          <w:iCs/>
        </w:rPr>
        <w:t>)</w:t>
      </w:r>
      <w:r w:rsidRPr="007F15A7">
        <w:rPr>
          <w:i/>
          <w:iCs/>
        </w:rPr>
        <w:t>.</w:t>
      </w:r>
      <w:r w:rsidRPr="00F133CB">
        <w:t xml:space="preserve"> </w:t>
      </w:r>
      <w:r w:rsidRPr="007F15A7">
        <w:rPr>
          <w:b/>
          <w:bCs/>
        </w:rPr>
        <w:t>41</w:t>
      </w:r>
      <w:r w:rsidRPr="00F133CB">
        <w:t xml:space="preserve"> (3), 267–274 (1978).</w:t>
      </w:r>
    </w:p>
    <w:p w14:paraId="4A2E2FEB" w14:textId="301516A6" w:rsidR="007B2F56" w:rsidRPr="00F133CB" w:rsidRDefault="007B2F56" w:rsidP="002251F3">
      <w:pPr>
        <w:pStyle w:val="ListParagraph"/>
        <w:numPr>
          <w:ilvl w:val="0"/>
          <w:numId w:val="13"/>
        </w:numPr>
        <w:ind w:left="0" w:firstLine="0"/>
      </w:pPr>
      <w:r w:rsidRPr="00F133CB">
        <w:t>S</w:t>
      </w:r>
      <w:r w:rsidR="00EC4735" w:rsidRPr="00F133CB">
        <w:t>weat</w:t>
      </w:r>
      <w:r w:rsidRPr="00F133CB">
        <w:t xml:space="preserve">, F., </w:t>
      </w:r>
      <w:proofErr w:type="spellStart"/>
      <w:r w:rsidRPr="00F133CB">
        <w:t>P</w:t>
      </w:r>
      <w:r w:rsidR="00EC4735" w:rsidRPr="00F133CB">
        <w:t>uchtler</w:t>
      </w:r>
      <w:proofErr w:type="spellEnd"/>
      <w:r w:rsidRPr="00F133CB">
        <w:t>, H.,</w:t>
      </w:r>
      <w:r w:rsidR="007F15A7">
        <w:t xml:space="preserve"> </w:t>
      </w:r>
      <w:r w:rsidRPr="00F133CB">
        <w:t>R</w:t>
      </w:r>
      <w:r w:rsidR="00EC4735" w:rsidRPr="00F133CB">
        <w:t>osenthal</w:t>
      </w:r>
      <w:r w:rsidRPr="00F133CB">
        <w:t>, S. I. S</w:t>
      </w:r>
      <w:r w:rsidR="00253C56" w:rsidRPr="00F133CB">
        <w:t>irius red</w:t>
      </w:r>
      <w:r w:rsidRPr="00F133CB">
        <w:t xml:space="preserve"> F3BA </w:t>
      </w:r>
      <w:r w:rsidR="00253C56" w:rsidRPr="00F133CB">
        <w:t>as a stain for connective tissue</w:t>
      </w:r>
      <w:r w:rsidRPr="00F133CB">
        <w:t xml:space="preserve">. </w:t>
      </w:r>
      <w:r w:rsidRPr="007F15A7">
        <w:rPr>
          <w:i/>
          <w:iCs/>
        </w:rPr>
        <w:t xml:space="preserve">Archives of </w:t>
      </w:r>
      <w:r w:rsidR="007F15A7" w:rsidRPr="007F15A7">
        <w:rPr>
          <w:i/>
          <w:iCs/>
        </w:rPr>
        <w:t>P</w:t>
      </w:r>
      <w:r w:rsidRPr="007F15A7">
        <w:rPr>
          <w:i/>
          <w:iCs/>
        </w:rPr>
        <w:t xml:space="preserve">athology. </w:t>
      </w:r>
      <w:r w:rsidRPr="007F15A7">
        <w:rPr>
          <w:b/>
          <w:bCs/>
        </w:rPr>
        <w:t>78</w:t>
      </w:r>
      <w:r w:rsidRPr="00F133CB">
        <w:t>, 69–72 (1964).</w:t>
      </w:r>
    </w:p>
    <w:p w14:paraId="68F11B4B" w14:textId="69C39AFE" w:rsidR="007B2F56" w:rsidRPr="00F133CB" w:rsidRDefault="007B2F56" w:rsidP="002251F3">
      <w:pPr>
        <w:pStyle w:val="ListParagraph"/>
        <w:numPr>
          <w:ilvl w:val="0"/>
          <w:numId w:val="13"/>
        </w:numPr>
        <w:ind w:left="0" w:firstLine="0"/>
      </w:pPr>
      <w:r w:rsidRPr="00F133CB">
        <w:t xml:space="preserve">Ignatius, M. S., Hayes, M., </w:t>
      </w:r>
      <w:proofErr w:type="spellStart"/>
      <w:r w:rsidRPr="00F133CB">
        <w:t>Langenau</w:t>
      </w:r>
      <w:proofErr w:type="spellEnd"/>
      <w:r w:rsidRPr="00F133CB">
        <w:t xml:space="preserve">, D. M. In </w:t>
      </w:r>
      <w:r w:rsidR="007F15A7">
        <w:t>v</w:t>
      </w:r>
      <w:r w:rsidRPr="00F133CB">
        <w:t xml:space="preserve">ivo </w:t>
      </w:r>
      <w:r w:rsidR="007F15A7">
        <w:t>i</w:t>
      </w:r>
      <w:r w:rsidRPr="00F133CB">
        <w:t xml:space="preserve">maging of </w:t>
      </w:r>
      <w:r w:rsidR="007F15A7">
        <w:t>c</w:t>
      </w:r>
      <w:r w:rsidRPr="00F133CB">
        <w:t xml:space="preserve">ancer in </w:t>
      </w:r>
      <w:r w:rsidR="007F15A7">
        <w:t>z</w:t>
      </w:r>
      <w:r w:rsidRPr="00F133CB">
        <w:t xml:space="preserve">ebrafish. </w:t>
      </w:r>
      <w:r w:rsidRPr="007F15A7">
        <w:rPr>
          <w:i/>
          <w:iCs/>
        </w:rPr>
        <w:t xml:space="preserve">Advances in </w:t>
      </w:r>
      <w:r w:rsidR="007F15A7" w:rsidRPr="007F15A7">
        <w:rPr>
          <w:i/>
          <w:iCs/>
        </w:rPr>
        <w:t>E</w:t>
      </w:r>
      <w:r w:rsidRPr="007F15A7">
        <w:rPr>
          <w:i/>
          <w:iCs/>
        </w:rPr>
        <w:t xml:space="preserve">xperimental </w:t>
      </w:r>
      <w:r w:rsidR="007F15A7" w:rsidRPr="007F15A7">
        <w:rPr>
          <w:i/>
          <w:iCs/>
        </w:rPr>
        <w:t>M</w:t>
      </w:r>
      <w:r w:rsidRPr="007F15A7">
        <w:rPr>
          <w:i/>
          <w:iCs/>
        </w:rPr>
        <w:t xml:space="preserve">edicine and </w:t>
      </w:r>
      <w:r w:rsidR="007F15A7" w:rsidRPr="007F15A7">
        <w:rPr>
          <w:i/>
          <w:iCs/>
        </w:rPr>
        <w:t>B</w:t>
      </w:r>
      <w:r w:rsidRPr="007F15A7">
        <w:rPr>
          <w:i/>
          <w:iCs/>
        </w:rPr>
        <w:t>iology.</w:t>
      </w:r>
      <w:r w:rsidRPr="007F15A7">
        <w:rPr>
          <w:b/>
          <w:bCs/>
        </w:rPr>
        <w:t xml:space="preserve"> 916</w:t>
      </w:r>
      <w:r w:rsidRPr="00F133CB">
        <w:t>, 219–237 (2016).</w:t>
      </w:r>
    </w:p>
    <w:p w14:paraId="04B0ECAF" w14:textId="77777777" w:rsidR="007B2F56" w:rsidRPr="00F133CB" w:rsidRDefault="007B2F56" w:rsidP="002251F3">
      <w:pPr>
        <w:pStyle w:val="ListParagraph"/>
        <w:numPr>
          <w:ilvl w:val="0"/>
          <w:numId w:val="13"/>
        </w:numPr>
        <w:ind w:left="0" w:firstLine="0"/>
      </w:pPr>
      <w:r w:rsidRPr="00F133CB">
        <w:t xml:space="preserve">Howe, K., Clark et al. The zebrafish reference genome sequence and its relationship to the human genome. </w:t>
      </w:r>
      <w:r w:rsidRPr="007F15A7">
        <w:rPr>
          <w:i/>
          <w:iCs/>
        </w:rPr>
        <w:t>Nature.</w:t>
      </w:r>
      <w:r w:rsidRPr="00F133CB">
        <w:t xml:space="preserve"> </w:t>
      </w:r>
      <w:r w:rsidRPr="007F15A7">
        <w:rPr>
          <w:b/>
          <w:bCs/>
        </w:rPr>
        <w:t>496</w:t>
      </w:r>
      <w:r w:rsidRPr="00F133CB">
        <w:t xml:space="preserve"> (7446), 498–503 (2013).</w:t>
      </w:r>
    </w:p>
    <w:p w14:paraId="1274A049" w14:textId="38B4BB19" w:rsidR="007B2F56" w:rsidRPr="00F133CB" w:rsidRDefault="007B2F56" w:rsidP="002251F3">
      <w:pPr>
        <w:pStyle w:val="ListParagraph"/>
        <w:numPr>
          <w:ilvl w:val="0"/>
          <w:numId w:val="13"/>
        </w:numPr>
        <w:ind w:left="0" w:firstLine="0"/>
      </w:pPr>
      <w:r w:rsidRPr="00F133CB">
        <w:t xml:space="preserve">Fazio, M., </w:t>
      </w:r>
      <w:proofErr w:type="spellStart"/>
      <w:r w:rsidRPr="00F133CB">
        <w:t>Ablain</w:t>
      </w:r>
      <w:proofErr w:type="spellEnd"/>
      <w:r w:rsidRPr="00F133CB">
        <w:t xml:space="preserve">, J., </w:t>
      </w:r>
      <w:proofErr w:type="spellStart"/>
      <w:r w:rsidRPr="00F133CB">
        <w:t>Chuan</w:t>
      </w:r>
      <w:proofErr w:type="spellEnd"/>
      <w:r w:rsidRPr="00F133CB">
        <w:t xml:space="preserve">, Y., </w:t>
      </w:r>
      <w:proofErr w:type="spellStart"/>
      <w:r w:rsidRPr="00F133CB">
        <w:t>Langenau</w:t>
      </w:r>
      <w:proofErr w:type="spellEnd"/>
      <w:r w:rsidRPr="00F133CB">
        <w:t xml:space="preserve">, D. M., </w:t>
      </w:r>
      <w:proofErr w:type="spellStart"/>
      <w:r w:rsidRPr="00F133CB">
        <w:t>Zon</w:t>
      </w:r>
      <w:proofErr w:type="spellEnd"/>
      <w:r w:rsidRPr="00F133CB">
        <w:t xml:space="preserve">, L. I.  Zebrafish patient avatars in cancer biology and precision cancer therapy. </w:t>
      </w:r>
      <w:r w:rsidRPr="007F15A7">
        <w:rPr>
          <w:i/>
          <w:iCs/>
        </w:rPr>
        <w:t>Nature Reviews Cancer</w:t>
      </w:r>
      <w:r w:rsidR="007F15A7" w:rsidRPr="007F15A7">
        <w:rPr>
          <w:i/>
          <w:iCs/>
        </w:rPr>
        <w:t>.</w:t>
      </w:r>
      <w:r w:rsidRPr="00F133CB">
        <w:t xml:space="preserve"> </w:t>
      </w:r>
      <w:r w:rsidRPr="007F15A7">
        <w:rPr>
          <w:b/>
          <w:bCs/>
        </w:rPr>
        <w:t>20</w:t>
      </w:r>
      <w:r w:rsidR="007F15A7">
        <w:t xml:space="preserve"> </w:t>
      </w:r>
      <w:r w:rsidRPr="00F133CB">
        <w:t>(5), 263–273 (2020).</w:t>
      </w:r>
    </w:p>
    <w:p w14:paraId="1F35D887" w14:textId="1BC1D2F2" w:rsidR="007B2F56" w:rsidRPr="00F133CB" w:rsidRDefault="007B2F56" w:rsidP="002251F3">
      <w:pPr>
        <w:pStyle w:val="ListParagraph"/>
        <w:numPr>
          <w:ilvl w:val="0"/>
          <w:numId w:val="13"/>
        </w:numPr>
        <w:ind w:left="0" w:firstLine="0"/>
      </w:pPr>
      <w:proofErr w:type="spellStart"/>
      <w:r w:rsidRPr="00F133CB">
        <w:t>Yoganantharjah</w:t>
      </w:r>
      <w:proofErr w:type="spellEnd"/>
      <w:r w:rsidRPr="00F133CB">
        <w:t xml:space="preserve">, P., </w:t>
      </w:r>
      <w:proofErr w:type="spellStart"/>
      <w:r w:rsidRPr="00F133CB">
        <w:t>Gibert</w:t>
      </w:r>
      <w:proofErr w:type="spellEnd"/>
      <w:r w:rsidRPr="00F133CB">
        <w:t xml:space="preserve">, Y. (2017). The Use </w:t>
      </w:r>
      <w:r w:rsidR="007F15A7" w:rsidRPr="00F133CB">
        <w:t>of the zebrafish model to aid in drug discovery and target validat</w:t>
      </w:r>
      <w:r w:rsidRPr="00F133CB">
        <w:t xml:space="preserve">ion. </w:t>
      </w:r>
      <w:r w:rsidRPr="007F15A7">
        <w:rPr>
          <w:i/>
          <w:iCs/>
        </w:rPr>
        <w:t>Current Topics in Medicinal Chemistry.</w:t>
      </w:r>
      <w:r w:rsidRPr="00F133CB">
        <w:t xml:space="preserve"> </w:t>
      </w:r>
      <w:r w:rsidRPr="007F15A7">
        <w:rPr>
          <w:b/>
          <w:bCs/>
        </w:rPr>
        <w:t>17</w:t>
      </w:r>
      <w:r w:rsidRPr="00F133CB">
        <w:t xml:space="preserve"> (18), 2041–2055 (2018).</w:t>
      </w:r>
    </w:p>
    <w:p w14:paraId="6FC07BDF" w14:textId="3BCDAFCC" w:rsidR="007B2F56" w:rsidRPr="00F133CB" w:rsidRDefault="007B2F56" w:rsidP="002251F3">
      <w:pPr>
        <w:pStyle w:val="ListParagraph"/>
        <w:numPr>
          <w:ilvl w:val="0"/>
          <w:numId w:val="13"/>
        </w:numPr>
        <w:ind w:left="0" w:firstLine="0"/>
      </w:pPr>
      <w:r w:rsidRPr="00F133CB">
        <w:t xml:space="preserve">Ignatius, M. S. et al. In vivo imaging of tumor-propagating cells, regional tumor heterogeneity, and dynamic cell movements in embryonal rhabdomyosarcoma. </w:t>
      </w:r>
      <w:r w:rsidRPr="007F15A7">
        <w:rPr>
          <w:i/>
          <w:iCs/>
        </w:rPr>
        <w:t xml:space="preserve">Cancer </w:t>
      </w:r>
      <w:r w:rsidR="007F15A7">
        <w:rPr>
          <w:i/>
          <w:iCs/>
        </w:rPr>
        <w:t>C</w:t>
      </w:r>
      <w:r w:rsidRPr="007F15A7">
        <w:rPr>
          <w:i/>
          <w:iCs/>
        </w:rPr>
        <w:t>ell.</w:t>
      </w:r>
      <w:r w:rsidRPr="00F133CB">
        <w:t xml:space="preserve"> </w:t>
      </w:r>
      <w:r w:rsidRPr="007F15A7">
        <w:rPr>
          <w:b/>
          <w:bCs/>
        </w:rPr>
        <w:t>21</w:t>
      </w:r>
      <w:r w:rsidRPr="00F133CB">
        <w:t xml:space="preserve"> (5), 680–693 (2012).</w:t>
      </w:r>
    </w:p>
    <w:p w14:paraId="465D0921" w14:textId="6CD6C8D2" w:rsidR="007B2F56" w:rsidRPr="00F133CB" w:rsidRDefault="007B2F56" w:rsidP="002251F3">
      <w:pPr>
        <w:pStyle w:val="ListParagraph"/>
        <w:numPr>
          <w:ilvl w:val="0"/>
          <w:numId w:val="13"/>
        </w:numPr>
        <w:ind w:left="0" w:firstLine="0"/>
      </w:pPr>
      <w:proofErr w:type="spellStart"/>
      <w:r w:rsidRPr="00F133CB">
        <w:t>Stoletov</w:t>
      </w:r>
      <w:proofErr w:type="spellEnd"/>
      <w:r w:rsidRPr="00F133CB">
        <w:t xml:space="preserve">, K., Montel, V., Lester, R. D., </w:t>
      </w:r>
      <w:proofErr w:type="spellStart"/>
      <w:r w:rsidRPr="00F133CB">
        <w:t>Gonias</w:t>
      </w:r>
      <w:proofErr w:type="spellEnd"/>
      <w:r w:rsidRPr="00F133CB">
        <w:t xml:space="preserve">, S. L., </w:t>
      </w:r>
      <w:proofErr w:type="spellStart"/>
      <w:r w:rsidRPr="00F133CB">
        <w:t>Klemke</w:t>
      </w:r>
      <w:proofErr w:type="spellEnd"/>
      <w:r w:rsidRPr="00F133CB">
        <w:t xml:space="preserve">, R. High-resolution imaging of the dynamic tumor cell vascular interface in transparent zebrafish. </w:t>
      </w:r>
      <w:r w:rsidRPr="007F15A7">
        <w:rPr>
          <w:i/>
          <w:iCs/>
        </w:rPr>
        <w:t>Proceedings of the National Academy of Sciences of the United States of America.</w:t>
      </w:r>
      <w:r w:rsidRPr="00F133CB">
        <w:t xml:space="preserve"> </w:t>
      </w:r>
      <w:r w:rsidRPr="007F15A7">
        <w:rPr>
          <w:b/>
          <w:bCs/>
        </w:rPr>
        <w:t>104</w:t>
      </w:r>
      <w:r w:rsidRPr="00F133CB">
        <w:t xml:space="preserve"> (44), 17406–17411 (2007).</w:t>
      </w:r>
    </w:p>
    <w:p w14:paraId="7A341F36" w14:textId="2492B77C" w:rsidR="007B2F56" w:rsidRPr="00F133CB" w:rsidRDefault="007B2F56" w:rsidP="002251F3">
      <w:pPr>
        <w:pStyle w:val="ListParagraph"/>
        <w:numPr>
          <w:ilvl w:val="0"/>
          <w:numId w:val="13"/>
        </w:numPr>
        <w:ind w:left="0" w:firstLine="0"/>
      </w:pPr>
      <w:r w:rsidRPr="00F133CB">
        <w:t>Ahmed, S.</w:t>
      </w:r>
      <w:r w:rsidR="007F15A7">
        <w:t xml:space="preserve"> et al. </w:t>
      </w:r>
      <w:r w:rsidRPr="00F133CB">
        <w:t xml:space="preserve">Neuroblastoma with orbital metastasis: ophthalmic presentation and role of ophthalmologists. </w:t>
      </w:r>
      <w:r w:rsidRPr="007F15A7">
        <w:rPr>
          <w:i/>
          <w:iCs/>
        </w:rPr>
        <w:t>Eye (London, England)</w:t>
      </w:r>
      <w:r w:rsidRPr="00F133CB">
        <w:t xml:space="preserve">. </w:t>
      </w:r>
      <w:r w:rsidRPr="007F15A7">
        <w:rPr>
          <w:b/>
          <w:bCs/>
        </w:rPr>
        <w:t>20</w:t>
      </w:r>
      <w:r w:rsidRPr="00F133CB">
        <w:t xml:space="preserve"> (4), 466–470 (2006).</w:t>
      </w:r>
    </w:p>
    <w:p w14:paraId="3C9E4DDC" w14:textId="286B56F5" w:rsidR="007B2F56" w:rsidRPr="00F133CB" w:rsidRDefault="007B2F56" w:rsidP="002251F3">
      <w:pPr>
        <w:pStyle w:val="ListParagraph"/>
        <w:numPr>
          <w:ilvl w:val="0"/>
          <w:numId w:val="13"/>
        </w:numPr>
        <w:ind w:left="0" w:firstLine="0"/>
      </w:pPr>
      <w:proofErr w:type="spellStart"/>
      <w:r w:rsidRPr="00F133CB">
        <w:t>Papaioannou</w:t>
      </w:r>
      <w:proofErr w:type="spellEnd"/>
      <w:r w:rsidRPr="00F133CB">
        <w:t xml:space="preserve">, G., McHugh, K. Neuroblastoma in childhood: review and radiological findings. </w:t>
      </w:r>
      <w:r w:rsidRPr="007F15A7">
        <w:rPr>
          <w:i/>
          <w:iCs/>
        </w:rPr>
        <w:t>Cancer Imaging Society.</w:t>
      </w:r>
      <w:r w:rsidRPr="00F133CB">
        <w:t xml:space="preserve"> </w:t>
      </w:r>
      <w:r w:rsidRPr="007F15A7">
        <w:rPr>
          <w:b/>
          <w:bCs/>
        </w:rPr>
        <w:t>5</w:t>
      </w:r>
      <w:r w:rsidRPr="00F133CB">
        <w:t xml:space="preserve"> (1), 116–127 (2005).</w:t>
      </w:r>
    </w:p>
    <w:p w14:paraId="201DB27D" w14:textId="77777777" w:rsidR="007B2F56" w:rsidRPr="00F133CB" w:rsidRDefault="007B2F56" w:rsidP="002251F3">
      <w:pPr>
        <w:pStyle w:val="ListParagraph"/>
        <w:numPr>
          <w:ilvl w:val="0"/>
          <w:numId w:val="13"/>
        </w:numPr>
        <w:ind w:left="0" w:firstLine="0"/>
      </w:pPr>
      <w:proofErr w:type="spellStart"/>
      <w:r w:rsidRPr="00F133CB">
        <w:t>Langenau</w:t>
      </w:r>
      <w:proofErr w:type="spellEnd"/>
      <w:r w:rsidRPr="00F133CB">
        <w:t>, D. M. et al. Co-injection strategies to modify radiation sensitivity and tumor initiation in transgenic Zebrafish.</w:t>
      </w:r>
      <w:r w:rsidRPr="007F15A7">
        <w:rPr>
          <w:i/>
          <w:iCs/>
        </w:rPr>
        <w:t xml:space="preserve"> Oncogene. </w:t>
      </w:r>
      <w:r w:rsidRPr="007F15A7">
        <w:rPr>
          <w:b/>
          <w:bCs/>
        </w:rPr>
        <w:t xml:space="preserve">27 </w:t>
      </w:r>
      <w:r w:rsidRPr="00F133CB">
        <w:t>(30), 4242–4248 (2008).</w:t>
      </w:r>
    </w:p>
    <w:p w14:paraId="2E55166A" w14:textId="77777777" w:rsidR="007B2F56" w:rsidRPr="00F133CB" w:rsidRDefault="007B2F56" w:rsidP="002251F3">
      <w:pPr>
        <w:pStyle w:val="ListParagraph"/>
        <w:numPr>
          <w:ilvl w:val="0"/>
          <w:numId w:val="13"/>
        </w:numPr>
        <w:ind w:left="0" w:firstLine="0"/>
      </w:pPr>
      <w:proofErr w:type="spellStart"/>
      <w:r w:rsidRPr="00F133CB">
        <w:t>Amores</w:t>
      </w:r>
      <w:proofErr w:type="spellEnd"/>
      <w:r w:rsidRPr="00F133CB">
        <w:t xml:space="preserve">, A. et al. Zebrafish hox clusters and vertebrate genome evolution. </w:t>
      </w:r>
      <w:r w:rsidRPr="007F15A7">
        <w:rPr>
          <w:i/>
          <w:iCs/>
        </w:rPr>
        <w:t>Science (New York, N.Y.)</w:t>
      </w:r>
      <w:r w:rsidRPr="00F133CB">
        <w:t xml:space="preserve">. </w:t>
      </w:r>
      <w:r w:rsidRPr="007F15A7">
        <w:rPr>
          <w:b/>
          <w:bCs/>
        </w:rPr>
        <w:t>282</w:t>
      </w:r>
      <w:r w:rsidRPr="00F133CB">
        <w:t xml:space="preserve"> (5394), 1711–1714 (1998). </w:t>
      </w:r>
    </w:p>
    <w:p w14:paraId="1149B268" w14:textId="330CA273" w:rsidR="007B2F56" w:rsidRPr="00F133CB" w:rsidRDefault="007B2F56" w:rsidP="002251F3">
      <w:pPr>
        <w:pStyle w:val="ListParagraph"/>
        <w:numPr>
          <w:ilvl w:val="0"/>
          <w:numId w:val="13"/>
        </w:numPr>
        <w:ind w:left="0" w:firstLine="0"/>
      </w:pPr>
      <w:proofErr w:type="spellStart"/>
      <w:r w:rsidRPr="00F133CB">
        <w:lastRenderedPageBreak/>
        <w:t>Postlethwait</w:t>
      </w:r>
      <w:proofErr w:type="spellEnd"/>
      <w:r w:rsidRPr="00F133CB">
        <w:t>, J. H. et al. Vertebrate genome evolution and the zebrafish gene map.</w:t>
      </w:r>
      <w:r w:rsidRPr="007F15A7">
        <w:rPr>
          <w:i/>
          <w:iCs/>
        </w:rPr>
        <w:t xml:space="preserve"> Nature </w:t>
      </w:r>
      <w:r w:rsidR="007F15A7">
        <w:rPr>
          <w:i/>
          <w:iCs/>
        </w:rPr>
        <w:t>G</w:t>
      </w:r>
      <w:r w:rsidRPr="007F15A7">
        <w:rPr>
          <w:i/>
          <w:iCs/>
        </w:rPr>
        <w:t xml:space="preserve">enetics. </w:t>
      </w:r>
      <w:r w:rsidRPr="007F15A7">
        <w:rPr>
          <w:b/>
          <w:bCs/>
        </w:rPr>
        <w:t>18</w:t>
      </w:r>
      <w:r w:rsidRPr="00F133CB">
        <w:t xml:space="preserve"> (4), 345–349 (1998).</w:t>
      </w:r>
    </w:p>
    <w:p w14:paraId="329E864E" w14:textId="4DC72E06" w:rsidR="00A54746" w:rsidRPr="00F133CB" w:rsidRDefault="007B2F56" w:rsidP="002251F3">
      <w:pPr>
        <w:pStyle w:val="ListParagraph"/>
        <w:numPr>
          <w:ilvl w:val="0"/>
          <w:numId w:val="13"/>
        </w:numPr>
        <w:ind w:left="0" w:firstLine="0"/>
      </w:pPr>
      <w:proofErr w:type="spellStart"/>
      <w:r w:rsidRPr="00F133CB">
        <w:t>Opazo</w:t>
      </w:r>
      <w:proofErr w:type="spellEnd"/>
      <w:r w:rsidRPr="00F133CB">
        <w:t xml:space="preserve">, J. C. et al. Whole-genome duplication and the functional diversification of teleost fish </w:t>
      </w:r>
      <w:proofErr w:type="spellStart"/>
      <w:r w:rsidRPr="00F133CB">
        <w:t>hemoglobins</w:t>
      </w:r>
      <w:proofErr w:type="spellEnd"/>
      <w:r w:rsidRPr="00F133CB">
        <w:t xml:space="preserve">. </w:t>
      </w:r>
      <w:r w:rsidRPr="007F15A7">
        <w:rPr>
          <w:i/>
          <w:iCs/>
        </w:rPr>
        <w:t xml:space="preserve">Molecular </w:t>
      </w:r>
      <w:r w:rsidR="007F15A7" w:rsidRPr="007F15A7">
        <w:rPr>
          <w:i/>
          <w:iCs/>
        </w:rPr>
        <w:t>B</w:t>
      </w:r>
      <w:r w:rsidRPr="007F15A7">
        <w:rPr>
          <w:i/>
          <w:iCs/>
        </w:rPr>
        <w:t xml:space="preserve">iology and </w:t>
      </w:r>
      <w:r w:rsidR="007F15A7" w:rsidRPr="007F15A7">
        <w:rPr>
          <w:i/>
          <w:iCs/>
        </w:rPr>
        <w:t>E</w:t>
      </w:r>
      <w:r w:rsidRPr="007F15A7">
        <w:rPr>
          <w:i/>
          <w:iCs/>
        </w:rPr>
        <w:t>volution.</w:t>
      </w:r>
      <w:r w:rsidRPr="00F133CB">
        <w:t xml:space="preserve"> </w:t>
      </w:r>
      <w:r w:rsidRPr="007F15A7">
        <w:rPr>
          <w:b/>
          <w:bCs/>
        </w:rPr>
        <w:t>30</w:t>
      </w:r>
      <w:r w:rsidRPr="00F133CB">
        <w:t xml:space="preserve"> (1), 140–153 (2013).</w:t>
      </w:r>
    </w:p>
    <w:sectPr w:rsidR="00A54746" w:rsidRPr="00F133CB" w:rsidSect="00BD40B1">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6AC44" w14:textId="77777777" w:rsidR="00EE5836" w:rsidRDefault="00EE5836">
      <w:r>
        <w:separator/>
      </w:r>
    </w:p>
  </w:endnote>
  <w:endnote w:type="continuationSeparator" w:id="0">
    <w:p w14:paraId="6CB7B7A8" w14:textId="77777777" w:rsidR="00EE5836" w:rsidRDefault="00EE5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ꝠϷ怀"/>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415489" w:rsidRDefault="0041548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11CFCF" w14:textId="77777777" w:rsidR="00EE5836" w:rsidRDefault="00EE5836">
      <w:r>
        <w:separator/>
      </w:r>
    </w:p>
  </w:footnote>
  <w:footnote w:type="continuationSeparator" w:id="0">
    <w:p w14:paraId="045FC163" w14:textId="77777777" w:rsidR="00EE5836" w:rsidRDefault="00EE5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415489" w:rsidRDefault="0041548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415489" w:rsidRDefault="00415489">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217201BF" w:rsidR="00415489" w:rsidRDefault="00415489">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26D27"/>
    <w:multiLevelType w:val="hybridMultilevel"/>
    <w:tmpl w:val="CAC812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67F3F"/>
    <w:multiLevelType w:val="hybridMultilevel"/>
    <w:tmpl w:val="106C5F4C"/>
    <w:lvl w:ilvl="0" w:tplc="10747E9E">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92582"/>
    <w:multiLevelType w:val="multilevel"/>
    <w:tmpl w:val="6ED6A74E"/>
    <w:lvl w:ilvl="0">
      <w:start w:val="1"/>
      <w:numFmt w:val="decimal"/>
      <w:lvlText w:val="%1."/>
      <w:lvlJc w:val="left"/>
      <w:pPr>
        <w:ind w:left="360" w:hanging="360"/>
      </w:pPr>
      <w:rPr>
        <w:rFonts w:hint="default"/>
      </w:rPr>
    </w:lvl>
    <w:lvl w:ilvl="1">
      <w:start w:val="1"/>
      <w:numFmt w:val="decimal"/>
      <w:lvlText w:val="%1.%2."/>
      <w:lvlJc w:val="left"/>
      <w:pPr>
        <w:ind w:left="97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7A63A0"/>
    <w:multiLevelType w:val="multilevel"/>
    <w:tmpl w:val="8FDA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53049F9"/>
    <w:multiLevelType w:val="multilevel"/>
    <w:tmpl w:val="5C848A80"/>
    <w:lvl w:ilvl="0">
      <w:start w:val="1"/>
      <w:numFmt w:val="decimal"/>
      <w:suff w:val="space"/>
      <w:lvlText w:val="%1."/>
      <w:lvlJc w:val="left"/>
      <w:pPr>
        <w:ind w:left="0" w:firstLine="0"/>
      </w:pPr>
      <w:rPr>
        <w:rFonts w:hint="default"/>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7AA5289"/>
    <w:multiLevelType w:val="hybridMultilevel"/>
    <w:tmpl w:val="757A23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D6C4CB3"/>
    <w:multiLevelType w:val="hybridMultilevel"/>
    <w:tmpl w:val="33361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E6751B"/>
    <w:multiLevelType w:val="hybridMultilevel"/>
    <w:tmpl w:val="AEFED720"/>
    <w:lvl w:ilvl="0" w:tplc="AD481D2E">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3"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9FC3677"/>
    <w:multiLevelType w:val="multilevel"/>
    <w:tmpl w:val="56F8BFEE"/>
    <w:lvl w:ilvl="0">
      <w:start w:val="1"/>
      <w:numFmt w:val="decimal"/>
      <w:lvlText w:val="%1"/>
      <w:lvlJc w:val="left"/>
      <w:pPr>
        <w:ind w:left="750" w:hanging="750"/>
      </w:pPr>
      <w:rPr>
        <w:rFonts w:hint="default"/>
      </w:rPr>
    </w:lvl>
    <w:lvl w:ilvl="1">
      <w:start w:val="1"/>
      <w:numFmt w:val="decimal"/>
      <w:lvlText w:val="%1.%2"/>
      <w:lvlJc w:val="left"/>
      <w:pPr>
        <w:ind w:left="1470" w:hanging="750"/>
      </w:pPr>
      <w:rPr>
        <w:rFonts w:hint="default"/>
      </w:rPr>
    </w:lvl>
    <w:lvl w:ilvl="2">
      <w:start w:val="1"/>
      <w:numFmt w:val="decimal"/>
      <w:lvlText w:val="%1.%2.%3"/>
      <w:lvlJc w:val="left"/>
      <w:pPr>
        <w:ind w:left="2190" w:hanging="750"/>
      </w:pPr>
      <w:rPr>
        <w:rFonts w:hint="default"/>
      </w:rPr>
    </w:lvl>
    <w:lvl w:ilvl="3">
      <w:start w:val="1"/>
      <w:numFmt w:val="decimal"/>
      <w:lvlText w:val="%1.%2.%3.%4"/>
      <w:lvlJc w:val="left"/>
      <w:pPr>
        <w:ind w:left="2910" w:hanging="75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F829EF"/>
    <w:multiLevelType w:val="multilevel"/>
    <w:tmpl w:val="0CDA8DCC"/>
    <w:lvl w:ilvl="0">
      <w:start w:val="3"/>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suff w:val="space"/>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8786D5A"/>
    <w:multiLevelType w:val="multilevel"/>
    <w:tmpl w:val="EE34E7D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A830172"/>
    <w:multiLevelType w:val="multilevel"/>
    <w:tmpl w:val="1BE2F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16"/>
  </w:num>
  <w:num w:numId="3">
    <w:abstractNumId w:val="23"/>
  </w:num>
  <w:num w:numId="4">
    <w:abstractNumId w:val="4"/>
  </w:num>
  <w:num w:numId="5">
    <w:abstractNumId w:val="20"/>
  </w:num>
  <w:num w:numId="6">
    <w:abstractNumId w:val="21"/>
  </w:num>
  <w:num w:numId="7">
    <w:abstractNumId w:val="12"/>
  </w:num>
  <w:num w:numId="8">
    <w:abstractNumId w:val="15"/>
  </w:num>
  <w:num w:numId="9">
    <w:abstractNumId w:val="7"/>
  </w:num>
  <w:num w:numId="10">
    <w:abstractNumId w:val="13"/>
  </w:num>
  <w:num w:numId="11">
    <w:abstractNumId w:val="19"/>
  </w:num>
  <w:num w:numId="12">
    <w:abstractNumId w:val="8"/>
  </w:num>
  <w:num w:numId="13">
    <w:abstractNumId w:val="9"/>
  </w:num>
  <w:num w:numId="14">
    <w:abstractNumId w:val="5"/>
  </w:num>
  <w:num w:numId="15">
    <w:abstractNumId w:val="14"/>
  </w:num>
  <w:num w:numId="16">
    <w:abstractNumId w:val="0"/>
  </w:num>
  <w:num w:numId="17">
    <w:abstractNumId w:val="10"/>
  </w:num>
  <w:num w:numId="18">
    <w:abstractNumId w:val="17"/>
  </w:num>
  <w:num w:numId="19">
    <w:abstractNumId w:val="1"/>
  </w:num>
  <w:num w:numId="20">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3"/>
  </w:num>
  <w:num w:numId="23">
    <w:abstractNumId w:val="2"/>
  </w:num>
  <w:num w:numId="24">
    <w:abstractNumId w:val="6"/>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97"/>
    <w:rsid w:val="0000149A"/>
    <w:rsid w:val="000142A3"/>
    <w:rsid w:val="0002233F"/>
    <w:rsid w:val="00024A6E"/>
    <w:rsid w:val="00026BF4"/>
    <w:rsid w:val="00027358"/>
    <w:rsid w:val="000302F5"/>
    <w:rsid w:val="00030B8A"/>
    <w:rsid w:val="000314F2"/>
    <w:rsid w:val="00033C33"/>
    <w:rsid w:val="0003580F"/>
    <w:rsid w:val="00036A4E"/>
    <w:rsid w:val="00042E0B"/>
    <w:rsid w:val="00050019"/>
    <w:rsid w:val="0005196E"/>
    <w:rsid w:val="00057485"/>
    <w:rsid w:val="00066001"/>
    <w:rsid w:val="0008245D"/>
    <w:rsid w:val="0008275D"/>
    <w:rsid w:val="000867C0"/>
    <w:rsid w:val="00087B72"/>
    <w:rsid w:val="00090237"/>
    <w:rsid w:val="000A0454"/>
    <w:rsid w:val="000A092E"/>
    <w:rsid w:val="000A5072"/>
    <w:rsid w:val="000A6FD0"/>
    <w:rsid w:val="000A7022"/>
    <w:rsid w:val="000B225D"/>
    <w:rsid w:val="000B2D4A"/>
    <w:rsid w:val="000B3F03"/>
    <w:rsid w:val="000C1705"/>
    <w:rsid w:val="000C2E45"/>
    <w:rsid w:val="000C5138"/>
    <w:rsid w:val="000C7CCE"/>
    <w:rsid w:val="000D49F9"/>
    <w:rsid w:val="000E0F20"/>
    <w:rsid w:val="000E2B1C"/>
    <w:rsid w:val="000E30A3"/>
    <w:rsid w:val="000E4067"/>
    <w:rsid w:val="000F100D"/>
    <w:rsid w:val="000F11B0"/>
    <w:rsid w:val="000F7814"/>
    <w:rsid w:val="00100BD0"/>
    <w:rsid w:val="00102A6A"/>
    <w:rsid w:val="00103975"/>
    <w:rsid w:val="001041A1"/>
    <w:rsid w:val="00104244"/>
    <w:rsid w:val="0010635E"/>
    <w:rsid w:val="001106CB"/>
    <w:rsid w:val="00110A55"/>
    <w:rsid w:val="00113A7A"/>
    <w:rsid w:val="001209B8"/>
    <w:rsid w:val="001229F8"/>
    <w:rsid w:val="0012383D"/>
    <w:rsid w:val="001273AD"/>
    <w:rsid w:val="0013713E"/>
    <w:rsid w:val="00137544"/>
    <w:rsid w:val="00140088"/>
    <w:rsid w:val="00141C04"/>
    <w:rsid w:val="00150A58"/>
    <w:rsid w:val="001529B0"/>
    <w:rsid w:val="001536FF"/>
    <w:rsid w:val="00154594"/>
    <w:rsid w:val="00155CBA"/>
    <w:rsid w:val="001563E3"/>
    <w:rsid w:val="001607BD"/>
    <w:rsid w:val="00163421"/>
    <w:rsid w:val="00163B84"/>
    <w:rsid w:val="001649F3"/>
    <w:rsid w:val="00171C48"/>
    <w:rsid w:val="00171C83"/>
    <w:rsid w:val="00176276"/>
    <w:rsid w:val="0018334A"/>
    <w:rsid w:val="00192721"/>
    <w:rsid w:val="001974B9"/>
    <w:rsid w:val="00197F9B"/>
    <w:rsid w:val="001A50D9"/>
    <w:rsid w:val="001A69F4"/>
    <w:rsid w:val="001B3BA9"/>
    <w:rsid w:val="001B4755"/>
    <w:rsid w:val="001B4DD4"/>
    <w:rsid w:val="001C4A7B"/>
    <w:rsid w:val="001C6BFB"/>
    <w:rsid w:val="001D6018"/>
    <w:rsid w:val="001E1DF9"/>
    <w:rsid w:val="001F45BD"/>
    <w:rsid w:val="00201349"/>
    <w:rsid w:val="00204C7C"/>
    <w:rsid w:val="00210B9E"/>
    <w:rsid w:val="00217FEE"/>
    <w:rsid w:val="00223296"/>
    <w:rsid w:val="002248B5"/>
    <w:rsid w:val="002251F3"/>
    <w:rsid w:val="00226CE1"/>
    <w:rsid w:val="00236738"/>
    <w:rsid w:val="00247F3A"/>
    <w:rsid w:val="00253C56"/>
    <w:rsid w:val="00261373"/>
    <w:rsid w:val="00274242"/>
    <w:rsid w:val="002763F7"/>
    <w:rsid w:val="002779C9"/>
    <w:rsid w:val="0028076E"/>
    <w:rsid w:val="00280965"/>
    <w:rsid w:val="0028559E"/>
    <w:rsid w:val="00293417"/>
    <w:rsid w:val="002946F4"/>
    <w:rsid w:val="002B1265"/>
    <w:rsid w:val="002B373E"/>
    <w:rsid w:val="002C0EDF"/>
    <w:rsid w:val="002C5223"/>
    <w:rsid w:val="002C641E"/>
    <w:rsid w:val="002C64AF"/>
    <w:rsid w:val="002D4F50"/>
    <w:rsid w:val="002E0625"/>
    <w:rsid w:val="002E3AF2"/>
    <w:rsid w:val="002E44BC"/>
    <w:rsid w:val="002E4CF5"/>
    <w:rsid w:val="002E7D78"/>
    <w:rsid w:val="002F14E6"/>
    <w:rsid w:val="00305621"/>
    <w:rsid w:val="00306029"/>
    <w:rsid w:val="00307449"/>
    <w:rsid w:val="00310104"/>
    <w:rsid w:val="003154CD"/>
    <w:rsid w:val="00315F09"/>
    <w:rsid w:val="00324E00"/>
    <w:rsid w:val="00330E87"/>
    <w:rsid w:val="00342D8A"/>
    <w:rsid w:val="00351087"/>
    <w:rsid w:val="003519F3"/>
    <w:rsid w:val="00355248"/>
    <w:rsid w:val="003577F8"/>
    <w:rsid w:val="00366555"/>
    <w:rsid w:val="003704D0"/>
    <w:rsid w:val="00370F4B"/>
    <w:rsid w:val="00374564"/>
    <w:rsid w:val="00374E1B"/>
    <w:rsid w:val="003964D0"/>
    <w:rsid w:val="003A2459"/>
    <w:rsid w:val="003A3BED"/>
    <w:rsid w:val="003B5389"/>
    <w:rsid w:val="003C089F"/>
    <w:rsid w:val="003C2602"/>
    <w:rsid w:val="003C51FA"/>
    <w:rsid w:val="003C57B9"/>
    <w:rsid w:val="003D0711"/>
    <w:rsid w:val="003D0DE5"/>
    <w:rsid w:val="003D132D"/>
    <w:rsid w:val="003D1B73"/>
    <w:rsid w:val="003D2B72"/>
    <w:rsid w:val="003E2CE1"/>
    <w:rsid w:val="003E7984"/>
    <w:rsid w:val="003F15F1"/>
    <w:rsid w:val="003F2809"/>
    <w:rsid w:val="003F2966"/>
    <w:rsid w:val="00402838"/>
    <w:rsid w:val="00410C18"/>
    <w:rsid w:val="00414BFC"/>
    <w:rsid w:val="00415489"/>
    <w:rsid w:val="0041595D"/>
    <w:rsid w:val="00416184"/>
    <w:rsid w:val="00416C4B"/>
    <w:rsid w:val="00420833"/>
    <w:rsid w:val="00422305"/>
    <w:rsid w:val="004224EC"/>
    <w:rsid w:val="004228A4"/>
    <w:rsid w:val="00422D04"/>
    <w:rsid w:val="00422D13"/>
    <w:rsid w:val="00423F6D"/>
    <w:rsid w:val="00426F03"/>
    <w:rsid w:val="0043035B"/>
    <w:rsid w:val="00436369"/>
    <w:rsid w:val="00442319"/>
    <w:rsid w:val="00443A8C"/>
    <w:rsid w:val="00444D93"/>
    <w:rsid w:val="004461CC"/>
    <w:rsid w:val="004473F5"/>
    <w:rsid w:val="00450098"/>
    <w:rsid w:val="00451E13"/>
    <w:rsid w:val="00453D1B"/>
    <w:rsid w:val="00457DEB"/>
    <w:rsid w:val="004662CC"/>
    <w:rsid w:val="0047302C"/>
    <w:rsid w:val="00474062"/>
    <w:rsid w:val="0047523D"/>
    <w:rsid w:val="004832CB"/>
    <w:rsid w:val="004860C8"/>
    <w:rsid w:val="0049037D"/>
    <w:rsid w:val="00491FC4"/>
    <w:rsid w:val="00493449"/>
    <w:rsid w:val="0049402E"/>
    <w:rsid w:val="004942A0"/>
    <w:rsid w:val="004951F7"/>
    <w:rsid w:val="00495A86"/>
    <w:rsid w:val="0049725D"/>
    <w:rsid w:val="004A1DA5"/>
    <w:rsid w:val="004B4779"/>
    <w:rsid w:val="004B6798"/>
    <w:rsid w:val="004B69DB"/>
    <w:rsid w:val="004B79CA"/>
    <w:rsid w:val="004C42D7"/>
    <w:rsid w:val="004C73FA"/>
    <w:rsid w:val="004D030C"/>
    <w:rsid w:val="004E202F"/>
    <w:rsid w:val="004F1083"/>
    <w:rsid w:val="004F689F"/>
    <w:rsid w:val="004F76A3"/>
    <w:rsid w:val="005010CA"/>
    <w:rsid w:val="0050177D"/>
    <w:rsid w:val="005030D3"/>
    <w:rsid w:val="00503B5C"/>
    <w:rsid w:val="00503E48"/>
    <w:rsid w:val="005060B1"/>
    <w:rsid w:val="005079A4"/>
    <w:rsid w:val="00510E52"/>
    <w:rsid w:val="00511BCA"/>
    <w:rsid w:val="00517FF1"/>
    <w:rsid w:val="005201F2"/>
    <w:rsid w:val="00532B5E"/>
    <w:rsid w:val="00535ED3"/>
    <w:rsid w:val="0053712F"/>
    <w:rsid w:val="0054660C"/>
    <w:rsid w:val="00551D82"/>
    <w:rsid w:val="00557A59"/>
    <w:rsid w:val="005614FA"/>
    <w:rsid w:val="005615BC"/>
    <w:rsid w:val="005642A0"/>
    <w:rsid w:val="00574EA9"/>
    <w:rsid w:val="00575A95"/>
    <w:rsid w:val="005801E7"/>
    <w:rsid w:val="005829B5"/>
    <w:rsid w:val="00584069"/>
    <w:rsid w:val="005851EE"/>
    <w:rsid w:val="00585AEF"/>
    <w:rsid w:val="00590463"/>
    <w:rsid w:val="005A4651"/>
    <w:rsid w:val="005A5A0E"/>
    <w:rsid w:val="005A5DFA"/>
    <w:rsid w:val="005A6C6A"/>
    <w:rsid w:val="005A74DC"/>
    <w:rsid w:val="005B3753"/>
    <w:rsid w:val="005B44DD"/>
    <w:rsid w:val="005B4AA6"/>
    <w:rsid w:val="005B6D6B"/>
    <w:rsid w:val="005B7FC9"/>
    <w:rsid w:val="005C766C"/>
    <w:rsid w:val="005D69EA"/>
    <w:rsid w:val="005E3419"/>
    <w:rsid w:val="005E3604"/>
    <w:rsid w:val="005E4C83"/>
    <w:rsid w:val="005E6B95"/>
    <w:rsid w:val="005F2291"/>
    <w:rsid w:val="005F77E0"/>
    <w:rsid w:val="00601327"/>
    <w:rsid w:val="00604456"/>
    <w:rsid w:val="00605106"/>
    <w:rsid w:val="00605886"/>
    <w:rsid w:val="00610252"/>
    <w:rsid w:val="006109FD"/>
    <w:rsid w:val="0062198D"/>
    <w:rsid w:val="00622578"/>
    <w:rsid w:val="0062613B"/>
    <w:rsid w:val="006273AC"/>
    <w:rsid w:val="00632F20"/>
    <w:rsid w:val="00640DD1"/>
    <w:rsid w:val="006539A0"/>
    <w:rsid w:val="006613E3"/>
    <w:rsid w:val="006625F3"/>
    <w:rsid w:val="0066491D"/>
    <w:rsid w:val="006677A6"/>
    <w:rsid w:val="006762BC"/>
    <w:rsid w:val="0067704B"/>
    <w:rsid w:val="006843C0"/>
    <w:rsid w:val="00685FC7"/>
    <w:rsid w:val="00691032"/>
    <w:rsid w:val="00691339"/>
    <w:rsid w:val="006971FE"/>
    <w:rsid w:val="006A4C0D"/>
    <w:rsid w:val="006A656B"/>
    <w:rsid w:val="006A6F70"/>
    <w:rsid w:val="006B12A6"/>
    <w:rsid w:val="006B2D5C"/>
    <w:rsid w:val="006B6A39"/>
    <w:rsid w:val="006B6B02"/>
    <w:rsid w:val="006C3CE6"/>
    <w:rsid w:val="006C3ECD"/>
    <w:rsid w:val="006C5056"/>
    <w:rsid w:val="006C7B92"/>
    <w:rsid w:val="006D5970"/>
    <w:rsid w:val="006E4797"/>
    <w:rsid w:val="006E62D1"/>
    <w:rsid w:val="006F0300"/>
    <w:rsid w:val="006F1F8B"/>
    <w:rsid w:val="006F308E"/>
    <w:rsid w:val="006F3C8D"/>
    <w:rsid w:val="00700986"/>
    <w:rsid w:val="00703919"/>
    <w:rsid w:val="0070444F"/>
    <w:rsid w:val="0071413E"/>
    <w:rsid w:val="00715BB4"/>
    <w:rsid w:val="00717196"/>
    <w:rsid w:val="0072164E"/>
    <w:rsid w:val="00724B5C"/>
    <w:rsid w:val="00725CD3"/>
    <w:rsid w:val="007307F2"/>
    <w:rsid w:val="00734FFA"/>
    <w:rsid w:val="00736570"/>
    <w:rsid w:val="007368D7"/>
    <w:rsid w:val="00737558"/>
    <w:rsid w:val="007450FD"/>
    <w:rsid w:val="00746174"/>
    <w:rsid w:val="00753680"/>
    <w:rsid w:val="00754AD4"/>
    <w:rsid w:val="00757B71"/>
    <w:rsid w:val="00757EDE"/>
    <w:rsid w:val="007637C7"/>
    <w:rsid w:val="00765686"/>
    <w:rsid w:val="0077524B"/>
    <w:rsid w:val="0077692A"/>
    <w:rsid w:val="007832C3"/>
    <w:rsid w:val="00783B57"/>
    <w:rsid w:val="00783BC9"/>
    <w:rsid w:val="00787971"/>
    <w:rsid w:val="007923AF"/>
    <w:rsid w:val="00796F84"/>
    <w:rsid w:val="00797844"/>
    <w:rsid w:val="007A793D"/>
    <w:rsid w:val="007B2B32"/>
    <w:rsid w:val="007B2F56"/>
    <w:rsid w:val="007B2FF6"/>
    <w:rsid w:val="007B530F"/>
    <w:rsid w:val="007C605B"/>
    <w:rsid w:val="007C765E"/>
    <w:rsid w:val="007D0724"/>
    <w:rsid w:val="007D4568"/>
    <w:rsid w:val="007D4B45"/>
    <w:rsid w:val="007D615C"/>
    <w:rsid w:val="007E6E61"/>
    <w:rsid w:val="007F0008"/>
    <w:rsid w:val="007F1222"/>
    <w:rsid w:val="007F15A7"/>
    <w:rsid w:val="007F441A"/>
    <w:rsid w:val="007F7722"/>
    <w:rsid w:val="00800372"/>
    <w:rsid w:val="00803454"/>
    <w:rsid w:val="008123BC"/>
    <w:rsid w:val="00823533"/>
    <w:rsid w:val="00823DC8"/>
    <w:rsid w:val="0082483B"/>
    <w:rsid w:val="00825FED"/>
    <w:rsid w:val="00826853"/>
    <w:rsid w:val="008273AC"/>
    <w:rsid w:val="00832F6A"/>
    <w:rsid w:val="0083478C"/>
    <w:rsid w:val="00836BA4"/>
    <w:rsid w:val="008418CA"/>
    <w:rsid w:val="00842AD7"/>
    <w:rsid w:val="00842E37"/>
    <w:rsid w:val="008431AB"/>
    <w:rsid w:val="008454BB"/>
    <w:rsid w:val="0084554D"/>
    <w:rsid w:val="00851893"/>
    <w:rsid w:val="00860F89"/>
    <w:rsid w:val="008611E0"/>
    <w:rsid w:val="00864662"/>
    <w:rsid w:val="0086620F"/>
    <w:rsid w:val="00867DDD"/>
    <w:rsid w:val="00872BFD"/>
    <w:rsid w:val="008732E1"/>
    <w:rsid w:val="0087391F"/>
    <w:rsid w:val="00873E27"/>
    <w:rsid w:val="00876C0B"/>
    <w:rsid w:val="00885618"/>
    <w:rsid w:val="008974DD"/>
    <w:rsid w:val="008A18B2"/>
    <w:rsid w:val="008A2CC4"/>
    <w:rsid w:val="008B272A"/>
    <w:rsid w:val="008B33A3"/>
    <w:rsid w:val="008B6028"/>
    <w:rsid w:val="008C24C6"/>
    <w:rsid w:val="008C79BF"/>
    <w:rsid w:val="008D4994"/>
    <w:rsid w:val="008E0E23"/>
    <w:rsid w:val="008E4126"/>
    <w:rsid w:val="0090215C"/>
    <w:rsid w:val="00906182"/>
    <w:rsid w:val="00907611"/>
    <w:rsid w:val="00912C8B"/>
    <w:rsid w:val="00914001"/>
    <w:rsid w:val="00926B77"/>
    <w:rsid w:val="00931CD6"/>
    <w:rsid w:val="009323E7"/>
    <w:rsid w:val="009323EF"/>
    <w:rsid w:val="00933988"/>
    <w:rsid w:val="00935709"/>
    <w:rsid w:val="00937CB7"/>
    <w:rsid w:val="009415BB"/>
    <w:rsid w:val="00943DF7"/>
    <w:rsid w:val="00944B79"/>
    <w:rsid w:val="00946C4B"/>
    <w:rsid w:val="00951C11"/>
    <w:rsid w:val="00954458"/>
    <w:rsid w:val="00975E21"/>
    <w:rsid w:val="00977112"/>
    <w:rsid w:val="0097783E"/>
    <w:rsid w:val="0098181C"/>
    <w:rsid w:val="009820AF"/>
    <w:rsid w:val="009824EB"/>
    <w:rsid w:val="00983E7B"/>
    <w:rsid w:val="00984227"/>
    <w:rsid w:val="0098730F"/>
    <w:rsid w:val="0098740F"/>
    <w:rsid w:val="009900DB"/>
    <w:rsid w:val="009916F4"/>
    <w:rsid w:val="00994A7A"/>
    <w:rsid w:val="009972C3"/>
    <w:rsid w:val="00997F89"/>
    <w:rsid w:val="009A07E1"/>
    <w:rsid w:val="009A1860"/>
    <w:rsid w:val="009A40B5"/>
    <w:rsid w:val="009A44B6"/>
    <w:rsid w:val="009B017C"/>
    <w:rsid w:val="009B1AD3"/>
    <w:rsid w:val="009B5ABC"/>
    <w:rsid w:val="009B5F7B"/>
    <w:rsid w:val="009B7B8C"/>
    <w:rsid w:val="009C284C"/>
    <w:rsid w:val="009C7422"/>
    <w:rsid w:val="009C763F"/>
    <w:rsid w:val="009D2506"/>
    <w:rsid w:val="009D3638"/>
    <w:rsid w:val="009D4831"/>
    <w:rsid w:val="009D7D6A"/>
    <w:rsid w:val="009E1AC3"/>
    <w:rsid w:val="009E3769"/>
    <w:rsid w:val="009E4880"/>
    <w:rsid w:val="009F10EC"/>
    <w:rsid w:val="009F718E"/>
    <w:rsid w:val="00A00A1C"/>
    <w:rsid w:val="00A04D52"/>
    <w:rsid w:val="00A07478"/>
    <w:rsid w:val="00A1377D"/>
    <w:rsid w:val="00A17259"/>
    <w:rsid w:val="00A24567"/>
    <w:rsid w:val="00A33C8D"/>
    <w:rsid w:val="00A40C47"/>
    <w:rsid w:val="00A41F25"/>
    <w:rsid w:val="00A54746"/>
    <w:rsid w:val="00A81572"/>
    <w:rsid w:val="00A86331"/>
    <w:rsid w:val="00A969D6"/>
    <w:rsid w:val="00AA1648"/>
    <w:rsid w:val="00AA18A4"/>
    <w:rsid w:val="00AA1A98"/>
    <w:rsid w:val="00AA290E"/>
    <w:rsid w:val="00AA70AC"/>
    <w:rsid w:val="00AB3CCD"/>
    <w:rsid w:val="00AB628D"/>
    <w:rsid w:val="00AB78B0"/>
    <w:rsid w:val="00AC59C0"/>
    <w:rsid w:val="00AC59EA"/>
    <w:rsid w:val="00AD3682"/>
    <w:rsid w:val="00AD4648"/>
    <w:rsid w:val="00AD4E45"/>
    <w:rsid w:val="00AD6F68"/>
    <w:rsid w:val="00AE3A10"/>
    <w:rsid w:val="00AE616F"/>
    <w:rsid w:val="00AF52CE"/>
    <w:rsid w:val="00AF5923"/>
    <w:rsid w:val="00B04D07"/>
    <w:rsid w:val="00B0673F"/>
    <w:rsid w:val="00B126CF"/>
    <w:rsid w:val="00B144F0"/>
    <w:rsid w:val="00B156E8"/>
    <w:rsid w:val="00B17054"/>
    <w:rsid w:val="00B2411C"/>
    <w:rsid w:val="00B274A8"/>
    <w:rsid w:val="00B33093"/>
    <w:rsid w:val="00B36224"/>
    <w:rsid w:val="00B365F4"/>
    <w:rsid w:val="00B50D7C"/>
    <w:rsid w:val="00B60680"/>
    <w:rsid w:val="00B7445C"/>
    <w:rsid w:val="00B760B7"/>
    <w:rsid w:val="00B82927"/>
    <w:rsid w:val="00B95146"/>
    <w:rsid w:val="00BA4110"/>
    <w:rsid w:val="00BB2699"/>
    <w:rsid w:val="00BB46D7"/>
    <w:rsid w:val="00BB5600"/>
    <w:rsid w:val="00BB67C2"/>
    <w:rsid w:val="00BC1401"/>
    <w:rsid w:val="00BC2377"/>
    <w:rsid w:val="00BC3721"/>
    <w:rsid w:val="00BC7EEF"/>
    <w:rsid w:val="00BD40B1"/>
    <w:rsid w:val="00BD6102"/>
    <w:rsid w:val="00BE0C7B"/>
    <w:rsid w:val="00BE0D90"/>
    <w:rsid w:val="00BE22A2"/>
    <w:rsid w:val="00BE5715"/>
    <w:rsid w:val="00BF127E"/>
    <w:rsid w:val="00BF3D56"/>
    <w:rsid w:val="00BF4843"/>
    <w:rsid w:val="00BF712D"/>
    <w:rsid w:val="00C042A5"/>
    <w:rsid w:val="00C31AC9"/>
    <w:rsid w:val="00C34EA6"/>
    <w:rsid w:val="00C3726C"/>
    <w:rsid w:val="00C37495"/>
    <w:rsid w:val="00C42D7F"/>
    <w:rsid w:val="00C45B5F"/>
    <w:rsid w:val="00C56F53"/>
    <w:rsid w:val="00C60B3E"/>
    <w:rsid w:val="00C654EA"/>
    <w:rsid w:val="00C73D02"/>
    <w:rsid w:val="00C75B2A"/>
    <w:rsid w:val="00C819AF"/>
    <w:rsid w:val="00C84309"/>
    <w:rsid w:val="00C86826"/>
    <w:rsid w:val="00C86C85"/>
    <w:rsid w:val="00C87B51"/>
    <w:rsid w:val="00C91B96"/>
    <w:rsid w:val="00C94F0E"/>
    <w:rsid w:val="00CA3DE2"/>
    <w:rsid w:val="00CA7497"/>
    <w:rsid w:val="00CB1E28"/>
    <w:rsid w:val="00CB6769"/>
    <w:rsid w:val="00CC5EA0"/>
    <w:rsid w:val="00CC700C"/>
    <w:rsid w:val="00CD3FC6"/>
    <w:rsid w:val="00CE0F48"/>
    <w:rsid w:val="00CE5787"/>
    <w:rsid w:val="00CF0A4F"/>
    <w:rsid w:val="00CF269C"/>
    <w:rsid w:val="00CF58DB"/>
    <w:rsid w:val="00CF59A6"/>
    <w:rsid w:val="00CF7E2F"/>
    <w:rsid w:val="00D14A1A"/>
    <w:rsid w:val="00D16521"/>
    <w:rsid w:val="00D20196"/>
    <w:rsid w:val="00D21703"/>
    <w:rsid w:val="00D3024F"/>
    <w:rsid w:val="00D30676"/>
    <w:rsid w:val="00D32756"/>
    <w:rsid w:val="00D416CA"/>
    <w:rsid w:val="00D44689"/>
    <w:rsid w:val="00D44C4C"/>
    <w:rsid w:val="00D5414C"/>
    <w:rsid w:val="00D65B48"/>
    <w:rsid w:val="00D67A07"/>
    <w:rsid w:val="00D717CB"/>
    <w:rsid w:val="00D95A30"/>
    <w:rsid w:val="00D9659B"/>
    <w:rsid w:val="00D975FE"/>
    <w:rsid w:val="00D97FE9"/>
    <w:rsid w:val="00DA0550"/>
    <w:rsid w:val="00DA1BB8"/>
    <w:rsid w:val="00DB14D4"/>
    <w:rsid w:val="00DB19D7"/>
    <w:rsid w:val="00DB6CAB"/>
    <w:rsid w:val="00DC0302"/>
    <w:rsid w:val="00DC03E0"/>
    <w:rsid w:val="00DC0A3D"/>
    <w:rsid w:val="00DC18E6"/>
    <w:rsid w:val="00DC2089"/>
    <w:rsid w:val="00DC3834"/>
    <w:rsid w:val="00DE0824"/>
    <w:rsid w:val="00DE338F"/>
    <w:rsid w:val="00DE47EF"/>
    <w:rsid w:val="00DF2275"/>
    <w:rsid w:val="00DF6640"/>
    <w:rsid w:val="00E0060A"/>
    <w:rsid w:val="00E02025"/>
    <w:rsid w:val="00E0546B"/>
    <w:rsid w:val="00E11526"/>
    <w:rsid w:val="00E11E69"/>
    <w:rsid w:val="00E146C3"/>
    <w:rsid w:val="00E1494F"/>
    <w:rsid w:val="00E203CF"/>
    <w:rsid w:val="00E235B8"/>
    <w:rsid w:val="00E23DBD"/>
    <w:rsid w:val="00E24E12"/>
    <w:rsid w:val="00E2773F"/>
    <w:rsid w:val="00E33739"/>
    <w:rsid w:val="00E438A4"/>
    <w:rsid w:val="00E509AD"/>
    <w:rsid w:val="00E65119"/>
    <w:rsid w:val="00E77F34"/>
    <w:rsid w:val="00E856A5"/>
    <w:rsid w:val="00E93799"/>
    <w:rsid w:val="00E9469B"/>
    <w:rsid w:val="00E949BE"/>
    <w:rsid w:val="00E95E85"/>
    <w:rsid w:val="00EA484F"/>
    <w:rsid w:val="00EA6E09"/>
    <w:rsid w:val="00EB1E68"/>
    <w:rsid w:val="00EB2CDA"/>
    <w:rsid w:val="00EB2FE9"/>
    <w:rsid w:val="00EC1003"/>
    <w:rsid w:val="00EC4735"/>
    <w:rsid w:val="00EC6D14"/>
    <w:rsid w:val="00EC74DA"/>
    <w:rsid w:val="00EE04C7"/>
    <w:rsid w:val="00EE17C5"/>
    <w:rsid w:val="00EE53E9"/>
    <w:rsid w:val="00EE5836"/>
    <w:rsid w:val="00EF2AA0"/>
    <w:rsid w:val="00EF320D"/>
    <w:rsid w:val="00EF3CC1"/>
    <w:rsid w:val="00EF7629"/>
    <w:rsid w:val="00F014E8"/>
    <w:rsid w:val="00F01B3E"/>
    <w:rsid w:val="00F03D04"/>
    <w:rsid w:val="00F06483"/>
    <w:rsid w:val="00F068CA"/>
    <w:rsid w:val="00F06B3F"/>
    <w:rsid w:val="00F11B63"/>
    <w:rsid w:val="00F133CB"/>
    <w:rsid w:val="00F15C58"/>
    <w:rsid w:val="00F17E0F"/>
    <w:rsid w:val="00F20081"/>
    <w:rsid w:val="00F236D6"/>
    <w:rsid w:val="00F24B7D"/>
    <w:rsid w:val="00F314E9"/>
    <w:rsid w:val="00F33BC2"/>
    <w:rsid w:val="00F3429E"/>
    <w:rsid w:val="00F34FFF"/>
    <w:rsid w:val="00F42253"/>
    <w:rsid w:val="00F44BBA"/>
    <w:rsid w:val="00F45DD6"/>
    <w:rsid w:val="00F46E4D"/>
    <w:rsid w:val="00F51965"/>
    <w:rsid w:val="00F5291D"/>
    <w:rsid w:val="00F537D1"/>
    <w:rsid w:val="00F555EF"/>
    <w:rsid w:val="00F60B91"/>
    <w:rsid w:val="00F60BA5"/>
    <w:rsid w:val="00F7104F"/>
    <w:rsid w:val="00F81FAD"/>
    <w:rsid w:val="00F8557D"/>
    <w:rsid w:val="00F902DF"/>
    <w:rsid w:val="00F93A4A"/>
    <w:rsid w:val="00F95A02"/>
    <w:rsid w:val="00FB13ED"/>
    <w:rsid w:val="00FB48F0"/>
    <w:rsid w:val="00FC04D6"/>
    <w:rsid w:val="00FC3F31"/>
    <w:rsid w:val="00FC5432"/>
    <w:rsid w:val="00FC6206"/>
    <w:rsid w:val="00FC6415"/>
    <w:rsid w:val="00FD2DAE"/>
    <w:rsid w:val="00FE2CEE"/>
    <w:rsid w:val="00FE3774"/>
    <w:rsid w:val="00FE3B03"/>
    <w:rsid w:val="00FE3F13"/>
    <w:rsid w:val="00FE4F13"/>
    <w:rsid w:val="00FE616D"/>
    <w:rsid w:val="00FF27FA"/>
    <w:rsid w:val="00FF4DBB"/>
    <w:rsid w:val="00FF6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15:docId w15:val="{A136A1EA-4C8B-FF4D-B23E-5F92EC743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outlineLvl w:val="0"/>
    </w:pPr>
    <w:rPr>
      <w:b/>
      <w:sz w:val="28"/>
      <w:szCs w:val="28"/>
    </w:rPr>
  </w:style>
  <w:style w:type="paragraph" w:styleId="Heading2">
    <w:name w:val="heading 2"/>
    <w:basedOn w:val="Normal"/>
    <w:next w:val="Normal"/>
    <w:link w:val="Heading2Char"/>
    <w:uiPriority w:val="9"/>
    <w:semiHidden/>
    <w:unhideWhenUsed/>
    <w:qFormat/>
    <w:pPr>
      <w:keepNext/>
      <w:outlineLvl w:val="1"/>
    </w:pPr>
    <w:rPr>
      <w:b/>
    </w:rPr>
  </w:style>
  <w:style w:type="paragraph" w:styleId="Heading3">
    <w:name w:val="heading 3"/>
    <w:basedOn w:val="Normal"/>
    <w:next w:val="Normal"/>
    <w:link w:val="Heading3Char"/>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A81572"/>
    <w:pPr>
      <w:ind w:left="720"/>
      <w:contextualSpacing/>
    </w:pPr>
  </w:style>
  <w:style w:type="character" w:styleId="CommentReference">
    <w:name w:val="annotation reference"/>
    <w:basedOn w:val="DefaultParagraphFont"/>
    <w:uiPriority w:val="99"/>
    <w:semiHidden/>
    <w:unhideWhenUsed/>
    <w:rsid w:val="00090237"/>
    <w:rPr>
      <w:sz w:val="16"/>
      <w:szCs w:val="16"/>
    </w:rPr>
  </w:style>
  <w:style w:type="paragraph" w:styleId="CommentText">
    <w:name w:val="annotation text"/>
    <w:basedOn w:val="Normal"/>
    <w:link w:val="CommentTextChar"/>
    <w:uiPriority w:val="99"/>
    <w:unhideWhenUsed/>
    <w:rsid w:val="00090237"/>
    <w:rPr>
      <w:sz w:val="20"/>
      <w:szCs w:val="20"/>
    </w:rPr>
  </w:style>
  <w:style w:type="character" w:customStyle="1" w:styleId="CommentTextChar">
    <w:name w:val="Comment Text Char"/>
    <w:basedOn w:val="DefaultParagraphFont"/>
    <w:link w:val="CommentText"/>
    <w:uiPriority w:val="99"/>
    <w:rsid w:val="00090237"/>
    <w:rPr>
      <w:sz w:val="20"/>
      <w:szCs w:val="20"/>
    </w:rPr>
  </w:style>
  <w:style w:type="paragraph" w:styleId="CommentSubject">
    <w:name w:val="annotation subject"/>
    <w:basedOn w:val="CommentText"/>
    <w:next w:val="CommentText"/>
    <w:link w:val="CommentSubjectChar"/>
    <w:uiPriority w:val="99"/>
    <w:semiHidden/>
    <w:unhideWhenUsed/>
    <w:rsid w:val="00090237"/>
    <w:rPr>
      <w:b/>
      <w:bCs/>
    </w:rPr>
  </w:style>
  <w:style w:type="character" w:customStyle="1" w:styleId="CommentSubjectChar">
    <w:name w:val="Comment Subject Char"/>
    <w:basedOn w:val="CommentTextChar"/>
    <w:link w:val="CommentSubject"/>
    <w:uiPriority w:val="99"/>
    <w:semiHidden/>
    <w:rsid w:val="00090237"/>
    <w:rPr>
      <w:b/>
      <w:bCs/>
      <w:sz w:val="20"/>
      <w:szCs w:val="20"/>
    </w:rPr>
  </w:style>
  <w:style w:type="paragraph" w:styleId="BalloonText">
    <w:name w:val="Balloon Text"/>
    <w:basedOn w:val="Normal"/>
    <w:link w:val="BalloonTextChar"/>
    <w:uiPriority w:val="99"/>
    <w:semiHidden/>
    <w:unhideWhenUsed/>
    <w:rsid w:val="00090237"/>
    <w:rPr>
      <w:rFonts w:ascii="Tahoma" w:hAnsi="Tahoma" w:cs="Tahoma"/>
      <w:sz w:val="16"/>
      <w:szCs w:val="16"/>
    </w:rPr>
  </w:style>
  <w:style w:type="character" w:customStyle="1" w:styleId="BalloonTextChar">
    <w:name w:val="Balloon Text Char"/>
    <w:basedOn w:val="DefaultParagraphFont"/>
    <w:link w:val="BalloonText"/>
    <w:uiPriority w:val="99"/>
    <w:semiHidden/>
    <w:rsid w:val="00090237"/>
    <w:rPr>
      <w:rFonts w:ascii="Tahoma" w:hAnsi="Tahoma" w:cs="Tahoma"/>
      <w:sz w:val="16"/>
      <w:szCs w:val="16"/>
    </w:rPr>
  </w:style>
  <w:style w:type="character" w:customStyle="1" w:styleId="ref-journal">
    <w:name w:val="ref-journal"/>
    <w:basedOn w:val="DefaultParagraphFont"/>
    <w:rsid w:val="005E6B95"/>
  </w:style>
  <w:style w:type="character" w:customStyle="1" w:styleId="ref-vol">
    <w:name w:val="ref-vol"/>
    <w:basedOn w:val="DefaultParagraphFont"/>
    <w:rsid w:val="005E6B95"/>
  </w:style>
  <w:style w:type="character" w:styleId="Emphasis">
    <w:name w:val="Emphasis"/>
    <w:basedOn w:val="DefaultParagraphFont"/>
    <w:uiPriority w:val="20"/>
    <w:qFormat/>
    <w:rsid w:val="009C284C"/>
    <w:rPr>
      <w:i/>
      <w:iCs/>
    </w:rPr>
  </w:style>
  <w:style w:type="character" w:styleId="Strong">
    <w:name w:val="Strong"/>
    <w:basedOn w:val="DefaultParagraphFont"/>
    <w:uiPriority w:val="22"/>
    <w:qFormat/>
    <w:rsid w:val="009C284C"/>
    <w:rPr>
      <w:b/>
      <w:bCs/>
    </w:rPr>
  </w:style>
  <w:style w:type="character" w:styleId="FollowedHyperlink">
    <w:name w:val="FollowedHyperlink"/>
    <w:basedOn w:val="DefaultParagraphFont"/>
    <w:uiPriority w:val="99"/>
    <w:semiHidden/>
    <w:unhideWhenUsed/>
    <w:rsid w:val="00F06B3F"/>
    <w:rPr>
      <w:color w:val="800080" w:themeColor="followedHyperlink"/>
      <w:u w:val="single"/>
    </w:rPr>
  </w:style>
  <w:style w:type="character" w:customStyle="1" w:styleId="id-label">
    <w:name w:val="id-label"/>
    <w:basedOn w:val="DefaultParagraphFont"/>
    <w:rsid w:val="002E3AF2"/>
  </w:style>
  <w:style w:type="character" w:customStyle="1" w:styleId="apple-converted-space">
    <w:name w:val="apple-converted-space"/>
    <w:basedOn w:val="DefaultParagraphFont"/>
    <w:rsid w:val="002E3AF2"/>
  </w:style>
  <w:style w:type="character" w:styleId="LineNumber">
    <w:name w:val="line number"/>
    <w:basedOn w:val="DefaultParagraphFont"/>
    <w:uiPriority w:val="99"/>
    <w:semiHidden/>
    <w:unhideWhenUsed/>
    <w:rsid w:val="00BD40B1"/>
  </w:style>
  <w:style w:type="character" w:customStyle="1" w:styleId="Heading1Char">
    <w:name w:val="Heading 1 Char"/>
    <w:basedOn w:val="DefaultParagraphFont"/>
    <w:link w:val="Heading1"/>
    <w:uiPriority w:val="9"/>
    <w:rsid w:val="00140088"/>
    <w:rPr>
      <w:b/>
      <w:sz w:val="28"/>
      <w:szCs w:val="28"/>
    </w:rPr>
  </w:style>
  <w:style w:type="character" w:customStyle="1" w:styleId="Heading2Char">
    <w:name w:val="Heading 2 Char"/>
    <w:basedOn w:val="DefaultParagraphFont"/>
    <w:link w:val="Heading2"/>
    <w:uiPriority w:val="9"/>
    <w:semiHidden/>
    <w:rsid w:val="00140088"/>
    <w:rPr>
      <w:b/>
    </w:rPr>
  </w:style>
  <w:style w:type="character" w:customStyle="1" w:styleId="Heading3Char">
    <w:name w:val="Heading 3 Char"/>
    <w:basedOn w:val="DefaultParagraphFont"/>
    <w:link w:val="Heading3"/>
    <w:uiPriority w:val="9"/>
    <w:semiHidden/>
    <w:rsid w:val="00140088"/>
    <w:rPr>
      <w:rFonts w:ascii="Cambria" w:eastAsia="Cambria" w:hAnsi="Cambria" w:cs="Cambria"/>
      <w:b/>
      <w:color w:val="4F81BD"/>
    </w:rPr>
  </w:style>
  <w:style w:type="character" w:customStyle="1" w:styleId="Heading4Char">
    <w:name w:val="Heading 4 Char"/>
    <w:basedOn w:val="DefaultParagraphFont"/>
    <w:link w:val="Heading4"/>
    <w:uiPriority w:val="9"/>
    <w:semiHidden/>
    <w:rsid w:val="00140088"/>
    <w:rPr>
      <w:b/>
    </w:rPr>
  </w:style>
  <w:style w:type="character" w:customStyle="1" w:styleId="Heading5Char">
    <w:name w:val="Heading 5 Char"/>
    <w:basedOn w:val="DefaultParagraphFont"/>
    <w:link w:val="Heading5"/>
    <w:uiPriority w:val="9"/>
    <w:semiHidden/>
    <w:rsid w:val="00140088"/>
    <w:rPr>
      <w:b/>
      <w:sz w:val="22"/>
      <w:szCs w:val="22"/>
    </w:rPr>
  </w:style>
  <w:style w:type="character" w:customStyle="1" w:styleId="Heading6Char">
    <w:name w:val="Heading 6 Char"/>
    <w:basedOn w:val="DefaultParagraphFont"/>
    <w:link w:val="Heading6"/>
    <w:uiPriority w:val="9"/>
    <w:semiHidden/>
    <w:rsid w:val="00140088"/>
    <w:rPr>
      <w:b/>
      <w:sz w:val="20"/>
      <w:szCs w:val="20"/>
    </w:rPr>
  </w:style>
  <w:style w:type="character" w:customStyle="1" w:styleId="TitleChar">
    <w:name w:val="Title Char"/>
    <w:basedOn w:val="DefaultParagraphFont"/>
    <w:link w:val="Title"/>
    <w:uiPriority w:val="10"/>
    <w:rsid w:val="00140088"/>
    <w:rPr>
      <w:b/>
      <w:sz w:val="72"/>
      <w:szCs w:val="72"/>
    </w:rPr>
  </w:style>
  <w:style w:type="character" w:customStyle="1" w:styleId="SubtitleChar">
    <w:name w:val="Subtitle Char"/>
    <w:basedOn w:val="DefaultParagraphFont"/>
    <w:link w:val="Subtitle"/>
    <w:uiPriority w:val="11"/>
    <w:rsid w:val="00140088"/>
    <w:rPr>
      <w:rFonts w:ascii="Georgia" w:eastAsia="Georgia" w:hAnsi="Georgia" w:cs="Georgia"/>
      <w:i/>
      <w:color w:val="666666"/>
      <w:sz w:val="48"/>
      <w:szCs w:val="48"/>
    </w:rPr>
  </w:style>
  <w:style w:type="paragraph" w:styleId="Footer">
    <w:name w:val="footer"/>
    <w:basedOn w:val="Normal"/>
    <w:link w:val="FooterChar"/>
    <w:uiPriority w:val="99"/>
    <w:unhideWhenUsed/>
    <w:rsid w:val="00F133CB"/>
    <w:pPr>
      <w:tabs>
        <w:tab w:val="center" w:pos="4680"/>
        <w:tab w:val="right" w:pos="9360"/>
      </w:tabs>
    </w:pPr>
  </w:style>
  <w:style w:type="character" w:customStyle="1" w:styleId="FooterChar">
    <w:name w:val="Footer Char"/>
    <w:basedOn w:val="DefaultParagraphFont"/>
    <w:link w:val="Footer"/>
    <w:uiPriority w:val="99"/>
    <w:rsid w:val="00F133CB"/>
  </w:style>
  <w:style w:type="character" w:customStyle="1" w:styleId="UnresolvedMention2">
    <w:name w:val="Unresolved Mention2"/>
    <w:basedOn w:val="DefaultParagraphFont"/>
    <w:uiPriority w:val="99"/>
    <w:semiHidden/>
    <w:unhideWhenUsed/>
    <w:rsid w:val="00F13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094996">
      <w:bodyDiv w:val="1"/>
      <w:marLeft w:val="0"/>
      <w:marRight w:val="0"/>
      <w:marTop w:val="0"/>
      <w:marBottom w:val="0"/>
      <w:divBdr>
        <w:top w:val="none" w:sz="0" w:space="0" w:color="auto"/>
        <w:left w:val="none" w:sz="0" w:space="0" w:color="auto"/>
        <w:bottom w:val="none" w:sz="0" w:space="0" w:color="auto"/>
        <w:right w:val="none" w:sz="0" w:space="0" w:color="auto"/>
      </w:divBdr>
    </w:div>
    <w:div w:id="409498519">
      <w:bodyDiv w:val="1"/>
      <w:marLeft w:val="0"/>
      <w:marRight w:val="0"/>
      <w:marTop w:val="0"/>
      <w:marBottom w:val="0"/>
      <w:divBdr>
        <w:top w:val="none" w:sz="0" w:space="0" w:color="auto"/>
        <w:left w:val="none" w:sz="0" w:space="0" w:color="auto"/>
        <w:bottom w:val="none" w:sz="0" w:space="0" w:color="auto"/>
        <w:right w:val="none" w:sz="0" w:space="0" w:color="auto"/>
      </w:divBdr>
    </w:div>
    <w:div w:id="564875705">
      <w:bodyDiv w:val="1"/>
      <w:marLeft w:val="0"/>
      <w:marRight w:val="0"/>
      <w:marTop w:val="0"/>
      <w:marBottom w:val="0"/>
      <w:divBdr>
        <w:top w:val="none" w:sz="0" w:space="0" w:color="auto"/>
        <w:left w:val="none" w:sz="0" w:space="0" w:color="auto"/>
        <w:bottom w:val="none" w:sz="0" w:space="0" w:color="auto"/>
        <w:right w:val="none" w:sz="0" w:space="0" w:color="auto"/>
      </w:divBdr>
    </w:div>
    <w:div w:id="685595548">
      <w:bodyDiv w:val="1"/>
      <w:marLeft w:val="0"/>
      <w:marRight w:val="0"/>
      <w:marTop w:val="0"/>
      <w:marBottom w:val="0"/>
      <w:divBdr>
        <w:top w:val="none" w:sz="0" w:space="0" w:color="auto"/>
        <w:left w:val="none" w:sz="0" w:space="0" w:color="auto"/>
        <w:bottom w:val="none" w:sz="0" w:space="0" w:color="auto"/>
        <w:right w:val="none" w:sz="0" w:space="0" w:color="auto"/>
      </w:divBdr>
    </w:div>
    <w:div w:id="1286816238">
      <w:bodyDiv w:val="1"/>
      <w:marLeft w:val="0"/>
      <w:marRight w:val="0"/>
      <w:marTop w:val="0"/>
      <w:marBottom w:val="0"/>
      <w:divBdr>
        <w:top w:val="none" w:sz="0" w:space="0" w:color="auto"/>
        <w:left w:val="none" w:sz="0" w:space="0" w:color="auto"/>
        <w:bottom w:val="none" w:sz="0" w:space="0" w:color="auto"/>
        <w:right w:val="none" w:sz="0" w:space="0" w:color="auto"/>
      </w:divBdr>
    </w:div>
    <w:div w:id="1348286612">
      <w:bodyDiv w:val="1"/>
      <w:marLeft w:val="0"/>
      <w:marRight w:val="0"/>
      <w:marTop w:val="0"/>
      <w:marBottom w:val="0"/>
      <w:divBdr>
        <w:top w:val="none" w:sz="0" w:space="0" w:color="auto"/>
        <w:left w:val="none" w:sz="0" w:space="0" w:color="auto"/>
        <w:bottom w:val="none" w:sz="0" w:space="0" w:color="auto"/>
        <w:right w:val="none" w:sz="0" w:space="0" w:color="auto"/>
      </w:divBdr>
    </w:div>
    <w:div w:id="1437210301">
      <w:bodyDiv w:val="1"/>
      <w:marLeft w:val="0"/>
      <w:marRight w:val="0"/>
      <w:marTop w:val="0"/>
      <w:marBottom w:val="0"/>
      <w:divBdr>
        <w:top w:val="none" w:sz="0" w:space="0" w:color="auto"/>
        <w:left w:val="none" w:sz="0" w:space="0" w:color="auto"/>
        <w:bottom w:val="none" w:sz="0" w:space="0" w:color="auto"/>
        <w:right w:val="none" w:sz="0" w:space="0" w:color="auto"/>
      </w:divBdr>
    </w:div>
    <w:div w:id="1587689316">
      <w:bodyDiv w:val="1"/>
      <w:marLeft w:val="0"/>
      <w:marRight w:val="0"/>
      <w:marTop w:val="0"/>
      <w:marBottom w:val="0"/>
      <w:divBdr>
        <w:top w:val="none" w:sz="0" w:space="0" w:color="auto"/>
        <w:left w:val="none" w:sz="0" w:space="0" w:color="auto"/>
        <w:bottom w:val="none" w:sz="0" w:space="0" w:color="auto"/>
        <w:right w:val="none" w:sz="0" w:space="0" w:color="auto"/>
      </w:divBdr>
    </w:div>
    <w:div w:id="1955867685">
      <w:bodyDiv w:val="1"/>
      <w:marLeft w:val="0"/>
      <w:marRight w:val="0"/>
      <w:marTop w:val="0"/>
      <w:marBottom w:val="0"/>
      <w:divBdr>
        <w:top w:val="none" w:sz="0" w:space="0" w:color="auto"/>
        <w:left w:val="none" w:sz="0" w:space="0" w:color="auto"/>
        <w:bottom w:val="none" w:sz="0" w:space="0" w:color="auto"/>
        <w:right w:val="none" w:sz="0" w:space="0" w:color="auto"/>
      </w:divBdr>
    </w:div>
    <w:div w:id="2019887440">
      <w:bodyDiv w:val="1"/>
      <w:marLeft w:val="0"/>
      <w:marRight w:val="0"/>
      <w:marTop w:val="0"/>
      <w:marBottom w:val="0"/>
      <w:divBdr>
        <w:top w:val="none" w:sz="0" w:space="0" w:color="auto"/>
        <w:left w:val="none" w:sz="0" w:space="0" w:color="auto"/>
        <w:bottom w:val="none" w:sz="0" w:space="0" w:color="auto"/>
        <w:right w:val="none" w:sz="0" w:space="0" w:color="auto"/>
      </w:divBdr>
    </w:div>
    <w:div w:id="2140955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5C47A-D2FF-5F47-BD67-21853918B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7762</Words>
  <Characters>44250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51909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 Zuag Paj</dc:creator>
  <cp:lastModifiedBy>Vineeta Bajaj</cp:lastModifiedBy>
  <cp:revision>2</cp:revision>
  <dcterms:created xsi:type="dcterms:W3CDTF">2021-02-22T19:30:00Z</dcterms:created>
  <dcterms:modified xsi:type="dcterms:W3CDTF">2021-02-22T19:30:00Z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258325522</vt:i4>
  </property>
</Properties>
</file>