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Laboratory-Scale Emulsification Process of a Recombinant Adenovirus Vaccine with a Water-In-Oil-In-Water Adjuvant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Manon Broutin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Matthieu Bricaud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Fleur Costa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Jennifer Maye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J&amp;#233;r&amp;#233;mie Born&amp;#232;res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Juliette Ben Arous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Nicolas Versill&amp;#233;</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Bernard Klonjkowski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Universit&amp;#233; Paris-Est, ANSES, Ecole Nationale V&amp;#233;t&amp;#233;rinaire d'Alfort, INRAE, Laboratoire de sant&amp;#233; animale, UMR Virologie, Maisons-Alfort,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SEPPIC - Air Liquide Healthcare Specialty Ingredients, Paris La D&amp;#233;fense,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Manon Broutin</w:t>
        <w:tab/>
        <w:tab/>
        <w:t xml:space="preserve">(manon.broutin@vet-alfort.fr)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Matthieu Bricaud</w:t>
        <w:tab/>
        <w:tab/>
        <w:t xml:space="preserve">(matthieu.bricaud@airliquide.com)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Fleur Costa</w:t>
        <w:tab/>
        <w:tab/>
        <w:tab/>
        <w:t xml:space="preserve">(fleur.watier@vet-alfort.fr)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Maye</w:t>
        <w:tab/>
        <w:tab/>
        <w:tab/>
        <w:t xml:space="preserve">(jennifer.maye@airliquide.com)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J&amp;#233;r&amp;#233;mie Born&amp;#232;res</w:t>
        <w:tab/>
        <w:tab/>
        <w:t xml:space="preserve">(jeremie.borneres@airliquide.com)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Juliette Ben Arous</w:t>
        <w:tab/>
        <w:tab/>
        <w:t xml:space="preserve">(juliette.benarous@airliquide.com)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Versill&amp;#233;</w:t>
        <w:tab/>
        <w:tab/>
        <w:t xml:space="preserve">(nicolas.versille@airliquide.com)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Bernard Klonjkowski</w:t>
        <w:tab/>
        <w:tab/>
        <w:t xml:space="preserve">(bernard.klonjkowski@vet-alfort.fr)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Times New Roman" w:hAnsi="Times New Roman" w:cs="Times New Roman" w:eastAsia="Times New Roman"/>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Bernard Klonjkowski</w:t>
        <w:tab/>
        <w:tab/>
        <w:t xml:space="preserve">(bernard.klonjkowski@vet-alfort.fr)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simple method for the formulation and control of vaccines with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 water-in-oil-in-water adjuvant at the laboratory scale, compatible with the safety requirements of live recombinant vaccines.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Adjuvants play an important role to enhance the efficacy of vaccines and are often required to direct immune responses toward specific long-term protection. Several vaccination trials have described promising results with the combination of recombinant adenoviruses and water-in-oil-in-water (W/O/W) adjuvants. Specifically, the antibody response elicited by vaccines based on canine adenovirus type 2 (CAV2) vectors steadily increases after being formulated in a W/O/W emulsion. Thus, the production process directly impacts its physical properties, which are crucial to obtain stable, safe, and efficient vaccine emulsions. This article describes a lab-scale process for the formulation of O-206, a W/O/W adjuvant, in a total volume of 1 mL and 10 mL that is compatible with safety requirements of live vaccines based on recombinant adenovirus. Moreover, this article provides reliable and simple quality control analyses of the W/O/W vaccine emulsion formulated with recombinant adenoviruses.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context of growing populations, secure access to uncontaminated food while improving animal and human health will become increasingly important. The expression “One World, One Health” describes a multidisciplinary international cooperation associating animal and human health to notably better prevent and control zoonotic agents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Indeed, 60% of emerging infectious diseases in humans are transmitted by animals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Nowadays, vaccination is still the most effective way to prevent and control infectious diseases in humans and animals. In comparison, only drinking water allows such a reduction in mortality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Today, the global effort to contain the COVID-19 pandemic underlies the overriding need for a vaccine. The expected benefits of a vaccine on our public health and society stimulate the development of new vaccines at unprecedented breadth and speed. Among the numerous vaccines in development, traditional approaches (inactivated or live-attenuated virus vaccines) have to cohabit with new vaccine technologies (recombinant protein, DNA or RNA fragment, viral vector, etc.), which are widely used and show promising results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Thus, vaccines carrying the genetic information encoding a foreign antigen, including viral vectors as well as nucleic acids (DNA plasmid or mRNA), are strategies that are increasingly being developed.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Adjuvants are also expected to play an important role in the efficacy of advanced vaccines by triggering stronger immune responses. The panel of available adjuvants constitutes a wide range of precious tools to enhance and/or shape immune responses toward specific long-term protection. However, there is no universal adjuvant, and their mode of action is still partially understood, as it often relies on several mechanisms. The selection and formulation of adjuvants must consider a wide range of criteria such as the target population (species, age, etc.), the type of antigen, the route of inoculation, and the expected immune mediators of protection. Expected benefits of an adjuvantation include vaccine dose sparing, faster immune response, broadening of immune response profiles, greater magnitude and functionality of antibody responses, or specific targeting of effective T cell responses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tomorrow’s vaccines are likely to be more sophisticated, combining new vaccine and adjuvant technologies to achieve the best balance between efficacy and safety. The development of new technologies will improve both human and animal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a protocol to prepare a vaccine formulation containing an adenovirus-vectored vaccine with the oily O-206 adjuvant is proposed. The resulting W/O/W emulsion consists of a continuous aqueous phase within which oil droplets contain a secondary aqueous phase. Stable, fluid, and safe, W/O/W emulsion showed promising results in several vaccination trials, associating human adenovirus type 5 (Ad5) and O-206. Different oily adjuvants and formulations (water-in-oil; oil-in-water; water-in-oil-in-water) were evaluated in mice with a non-replicative recombinant adenovirus vaccine expressing pseudorabies virus gp50 (Ad5-pg50). O-206 based formulation induced higher IgG titers (IgG2a) and stimulated IL6 production, even at low viral vector concentrations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Formulation of O-206 with an Ad5-expressing foot-and-mouth disease virus antigens (Ad5-FMDV) enhanced the antibody response in sheep to a protective level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Formulation of O-206 with an Ad5 vector encoding the green fluorescent protein improved GFP expression during the first hours after transduction in bovine migrating DCs. Thus, the adjuvant potentially stimulated the recruitment of DCs at the site of injection, reinforcing antigen uptake and migration to draining lymph nodes. Beyond that, the frequency of CD4+ T cells increased following calves immunization with Ad5-FMDV and O-206</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W/O/W adjuvant was developed for cattle, swine, and small ruminants in association with non-immunoreactive antigens such as inactivated vaccines, purified proteins, or synthetic peptides. Fluid and easy to use, W/O/W emulsions enhance short- and long-term immune responses against various antigens. Because of the double emulsion structure, the antigens in the outer aqueous phase are immediately available to the immune system, while the antigens in the inner aqueous phase are protected against enzymatic degradation and have a sustained release. Multiphasic emulsions are also known to act through a variety of mechanisms, including a depot effect at the injection site, local inflammation stimulating the recruitment of antigen-presenting cells, and a contribution to the transport of antigens throughout the lymphatic system accompanied by an accumulation of lymphocytes in the draining lymph nodes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vaccine formulation process with W/O/W adjuvant directly impacts on its physical properties, which are crucial to obtain a stable, safe, and efficient vaccine emulsion. Emulsion stability is highly sensitive to changes and the formulation protocol needs to be optimized for any proposed modification in the production scale. The protocol here details two laboratory processes for the O-206 adjuvant that are suitable for testing small-scale immunization and compatible with the safety requirements of live vaccines based on recombinant adenoviruses. These optimized protocols allow a robust and reproducible formulation. They can be used for other compatible antigens, not interacting with O-206 surfactant. Moreover, they are adapted to the requirements of research laboratories: the first is particularly suitable for the vaccination of rodents, with a formulation volume of 1 mL; the second is well-adapted to the vaccination of large animals such as swine, small ruminants, and cattle, with a formulation volume of 10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non-replicative canine adenovirus vector expressing the green fluorescent protein (GFP) is used throughout this study. It is not properly designated as a vaccine vector, but the expression of the reporter gene provides a useful approach for assessing the biological activity of a CAV-derived gene transfer vector.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reliable and simple quality control analyses of the W/O/W vaccine emulsion formulated with recombinant adenoviruses is also provided. These quality control tests should be considered an integral part of the process.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Emulsification process of 1 mL formulation for rodents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Gently shake the vial of O-206 before opening and transfer 560 &amp;#181;L of O-206 into a 2 mL microtube using a positive displacement pipette.</w:t>
      </w:r>
    </w:p>
    <w:p>
      <w:pPr>
        <w:spacing w:before="0" w:after="0" w:line="240"/>
        <w:ind w:right="0" w:left="0" w:firstLine="0"/>
        <w:jc w:val="both"/>
        <w:rPr>
          <w:rFonts w:ascii="Calibri" w:hAnsi="Calibri" w:cs="Calibri" w:eastAsia="Calibri"/>
          <w:color w:val="auto"/>
          <w:spacing w:val="0"/>
          <w:position w:val="0"/>
          <w:sz w:val="24"/>
          <w:shd w:fill="FFFF00"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Add 440 &amp;#181;L of aqueous phase containing purified canine recombinant adenovirus (CAV2) at the desired concentration in a 2 mL microtube.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CAV2 recombinant vectors are genetically modified organisms (GMOs) derived from canine adenovirus type 2, classified as a Risk Group II pathogenic microorganism. The handling of CAV2 vectors and the treatment of its waste must meet local biohazard management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 replicative canine adenovirus type 2 derived vectors were produced and purified as previously described by Szelechowski, M.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Warm both the microtubes containing adjuvant and aqueous phase in a water bath or incubator at 37 &amp;#176;C for at least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Transfer 440 &amp;#181;L of the pre-warmed aqueous phase in the tube containing 560 &amp;#181;L of O-206. Immediately mix by vortexing at 2,500 rpm &amp;plusmn; 50 rpm for 1.5 min at room temperature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to get a final ratio adjuvant/aqueous phase of 50/50 weight/weight. Because the temperature of the oil and aqueous phases during mixing (32 &amp;#176;C &amp;plusmn; 1&amp;#176;C) is a critical step of the process, perform the assembly as fast as possible. Optimal and accurate agitation speed and mixing time are also critical parameters. Use the recommended containers and the process exactly as described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Cool the emulsion for at least 1 h at 20 &amp;#176;C (or 4 &amp;#176;C if 20 &amp;#176;C storage is not available) with minimal turbulence.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an integral and critical part of the process. Insufficient cooling will affect vaccine stability. The same protocol is suitable for larger formulations of 5 mL, using 15 mL conical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Emulsification process of 10 mL formulation for large animals</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Transfer 4.6 g of O-206 into a 20 mL gamma sterilized dispersing tube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4.6 mL of aqueous phase containing purified canine recombinant adenovirus at the desired concentration in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CAV2 recombinant vectors are genetically modified organisms (GMOs) derived from canine adenovirus type 2, classified as a Risk Group II pathogenic microorganism. The handling of CAV2 vectors and the treatment of its waste must meet local biohazard management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Non-replicative canine adenovirus type 2 derived vectors were produced and purified as previously described by Szelechowski, M.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Warm both tubes containing O-206 and aqueous phase in an incubator (or a water bath) at 37 &amp;#176;C for at least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4.6 mL of the pre-warmed aqueous phase in the 20 mL dispersing tube containing 4.6 g of O-206. Immediately place the 20 mL dispersing tube on the homogenizer and mix at 1,100 rpm (speed 3) for 3 min at room temperature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to get a final ratio adjuvant/aqueous phase of 50/50 weight/weight. Because the temperature of the oil and aqueous phases during mixing (32 &amp;#176;C &amp;plusmn; 1&amp;#176;C) is a critical step of the process, perform the assembly as fast as possible. Optimal and accurate agitation speed and mixing time are also critical parameters. Use the recommended containers and the process exactly as described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Cool the 20 mL dispersing tube containing the emulsion for at least 1 h at 20 &amp;#176;C (or 4 &amp;#176;C if 20 &amp;#176;C storage is not available) with minimal turbulence.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an integral and critical part of the process. Insufficient cooling will affect the stability of the vaccine. The same protocol is suitable for larger volumes.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mL, use a 20 mL dispersing tube;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mL, use a 50 mL dispersing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Storage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If storage is required, transfer the emulsion into a sterile glass vial after the cooling step. Use a pierceable sterile cap to seal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emulsion can be stored for up to 1 week at 4 &amp;#176;C without significant loss of the CAV2 vector-mediated gene delivery. To preserve the vaccine, ensure that the packaging materials do not interact physically or chemically with the finished product (e.g., do not use rubber). Elevated temperatures may alter the partition characteristics of the emulsifiers and result in instability.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Quality control tests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93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quality control tests after one-night storage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Appearance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On the day of the formulation, keep the emulsion in a transparent tube at 4 &amp;#176;C. Handle the tube with minimal turbulence. Do not shake the emulsion container for this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The next day, arrange a light directed throughout the emulsion in a transparent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Check for the absence of critical defaults in the appearance of the resulting emulsion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Drop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Gently shake the vaccine container with the emulsion to ensure that it is well mixed.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Add a drop of the emulsion in a 50 mL screw cap bottle containing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mL of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Gently shake and immediately observe the repartition of the droplet in water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Microscopic observation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Gently shake the tube containing the vaccine to ensure it is well mixed.</w:t>
      </w:r>
    </w:p>
    <w:p>
      <w:pPr>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Place a small drop of the vaccine in the middle of a Petri dish.</w:t>
      </w:r>
    </w:p>
    <w:p>
      <w:pPr>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Carefully place a coverslip on the drop, without introducing air bubbles or crushing it.</w:t>
      </w:r>
    </w:p>
    <w:p>
      <w:pPr>
        <w:spacing w:before="0" w:after="0" w:line="259"/>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Close the Petri dish and immediately observe the vaccine drop under a microscope using brightfield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Biological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A day before inoculation, seed MDCK cells on a 6-well plate. Grow cells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Dulbecco’s Modified Eagle Medium (DMEM) with high glucose, supplemented with 7% heat-inactivated fetal calf serum, 1 mM of sodium pyruvate and 100 U/mL of penicillin/100 &amp;#181;g/mL of streptomycin. Allow the cells to become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 the following day for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On the day of the biological activity assay, gently shake the tube containing the formulated vaccine. Then, add up to 10 &amp;#181;L of the W/O/W emulsion per well in a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test is scalable in 24-well plates by adding up to 2 &amp;#181;L of vaccine formulation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Gently shake the plates and incubate at 37 &amp;#176;C in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The expression of the adenovirus-encoded antigen is sought in transduced cells by immunocytochemistry or other appropriate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Vaccination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vaccine can be administered if the formulation passes at least the appearance, dilution, and microscopic observation tests. Evaluation of biological activity is not mandatory for every formulation. However, it is strongly recommended to ensure, at least once, the biological activity of the formulated viral-vectored vaccine.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Gently shake the vaccine container with the emulsion.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If the vaccine is packaged in a container with a pierceable cap, install a vial adapter and mount a syringe with a rubber-free piston. Pull-up the required volume of vaccine and then place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Otherwise, place a needle on a syringe with a rubber-free piston, pierce the vial or the cap of the 20 mL dispersing tube and then pull-up the required volume of the vaccine.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Administer the vaccine formulation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directly by the intramuscular or subcutaneous route.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results obtained from the appearance test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 emulsion is stable if there is no default or non-critical defaults. A default is considered non-critical when the difference of both color and phase is low. Non-critical defaults are hand reversible because the properties of the emulsion are conserved (e.g., whitish phase at the surface). A default is considered critical when the physical properties of the emulsion are permanently altered: when there is a change in droplet size; or when there is a fusion of dispersed droplets (e.g., a layer of oil at the surface or layer of water at the bottom).</w:t>
      </w: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drop test is primordial to detect any change in the type of emulsion from O/W to W/O or vice versa, also known as phase inversion. A drop diffusing immediately into the water reveals an oil-in-water emulsion. On the contrary, the drop remains on the surface as a white ring in oil-in-water emulsion. The drop of the water-in-oil-in-water emulsion floats on the surface while diffusing into the water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conductivity also allows the identification of the type of emulsion. The expected result for the conductivity of O-206 formulated with a saline solution (0.9% NaCl) is 5 mS·cm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microscopic aspect of the emulsion will provide information on its physical properties. An optimized formulation and a good process will lead to the formation of thin and homogeneous droplets, with a median droplet size of about 300 nm. On the contrary, a non-optimized formulation or an incorrect process will result in heterogeneous droplets with large drops. This critical default might cause the breakage of the emulsion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most cases, emulsions with a small droplet size and homogeneous distribution are more stable.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Droplet size in an emulsion of O-206 formulated with a saline solution (0.9% NaCl) follows a normal distribution: 50% of the volume of droplets are smaller than 0.12 &amp;#181;m and 90% are smaller than 0.39 &amp;#181;m (D (v; 0.5) = 0.12 &amp;#181;m and D (v; 0.9) = 0.39 &amp;#181;m)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viscosity of the emulsion is closely related to the surfactant and its hydrophilic-lipophilic balance, and can be affected by the adjuvant/aqueous phase ratio. Usually, the greater the proportion of the continuous phase compared to the dispersed phase, the lower the viscosity of the resulting emulsion. Then, the expected viscosity of O-206 formulated with a saline solution (0.9% NaCl) is 30 mPa·s at 20 &amp;#176;C.</w:t>
      </w: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physical stability of W/O/W vaccines is critical to assess the homogeneity and reproducibility of the formulation. The formulation of an emulsion with O-206 is expected to be stable for more than 2 years at 4 &amp;#176;C and more than 6 months at 20 &amp;#176;C.</w:t>
      </w: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Formulation with W/O/W adjuvant does not affect the biological properties of CAV2-based vaccines. As an example, 1 mL of W/O/W emulsion is prepared with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TCID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a non-replicative canine adenovirus type 2 vector encoding the green fluorescent protein. The non-replicative CAV-GFP vector is a model of such vaccines, and is appropriate for assessing its gene transfer activity. Indeed, expression of the GFP can be easily monitored in MDCK cells transduced with emulsion-formulated CAV-GFP, at a multiplicity of infection of about 1 TCID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per cell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CAV2 vectors are stable for years when stored in 10% glycerol (V/V) at -80 &amp;#176;C, but their stability at 4 &amp;#176;C is more limited. Thus, CAV2-based emulsions with O-206 can be stored for up to 1 week at 4 &amp;#176;C without significant loss of biological activity and physical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Appearance of the emulsion.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Stable O-206-based emulsion, without any gradient of color or phase separation.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Unstable O-206 based emulsion, with a sedimentation effect visible through a gradient of color: smaller drops constitute a white layer at the bottom.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Two examples of emulsion breakage, with a clear separation of water and oil phases. These defaults are critical.</w:t>
      </w:r>
    </w:p>
    <w:p>
      <w:pPr>
        <w:keepNext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Drop test to assess the type of emulsion.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drop oil-in-water emulsion immediately diffuses into the water.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drop of water-in-oil emulsion stays on the surface.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drop of water-in-oil-in-water emulsion both stays on the surface and diffuses into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Microscopic observation of the vaccine formulation. </w:t>
      </w:r>
      <w:r>
        <w:rPr>
          <w:rFonts w:ascii="Calibri" w:hAnsi="Calibri" w:cs="Calibri" w:eastAsia="Calibri"/>
          <w:color w:val="auto"/>
          <w:spacing w:val="0"/>
          <w:position w:val="0"/>
          <w:sz w:val="24"/>
          <w:shd w:fill="auto" w:val="clear"/>
        </w:rPr>
        <w:t xml:space="preserve">Observation of samples of O-206 water-in-oil-in-water emulsions using bright-field microscopy (200x).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stable emulsion was well formulated, and presents homogeneous and thin droplets, with a median size around 300 nm.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These examples of unstable emulsions present heterogeneous and large droplets of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Granulometric repartition in volume of O-206 formulated with a saline solution.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results of a well-formulated emulsion of O-206 with a saline solution (0.9% NaCl).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an unstable emulsion of O-206, formulated with a saline solution (0.9% NaCl) at room temperature instead of 32 &amp;#176;C &amp;plusmn; 1 &amp;#176;C. Data analyzed with a laser diffraction particle size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Biological activity of canine adenovirus vectors. </w:t>
      </w:r>
      <w:r>
        <w:rPr>
          <w:rFonts w:ascii="Calibri" w:hAnsi="Calibri" w:cs="Calibri" w:eastAsia="Calibri"/>
          <w:color w:val="auto"/>
          <w:spacing w:val="0"/>
          <w:position w:val="0"/>
          <w:sz w:val="24"/>
          <w:shd w:fill="auto" w:val="clear"/>
        </w:rPr>
        <w:t xml:space="preserve">MDCK cells were observed 24 h post inoculation of a non-replicative canine adenovirus type 2 vector encoding the green fluorescent protein freshly formulated in a W/O/W emulsion, using fluorescence microscopy (FITC, 100x). Up to 1 week after formulation, the vector is still able to effectively transduce MDCK cells without significant loss of its biological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in this study details two lab-scale processes adapted to the safety requirements of live vaccines based on recombinant adenoviruses formulated with W/O/W adjuvant.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optimized protocols allow a robust and reproducible formulation. However, it is crucial to scrupulously respect certain critical steps. Firstly, it is important to obtain a final adjuvant/aqueous phase ratio of 50/50 weight/weight. Secondly, warming of the oil and aqueous phases before their assembly must ensure a homogeneous temperature of 32 &amp;#176;C &amp;plusmn; 1 &amp;#176;C during mixing. The lower the final volume of the emulsion, the faster is the cooling of both phases during pipetting and mixing. Therefore, it is advised to preheat both phases and emulsification container to 37 &amp;#176;C. Thirdly, an optimal and accurate stirring speed and mixing time are also critical parameters. The last critical step is the cooling of the emulsion at 20 &amp;#176;C (or 4 &amp;#176;C) for at least 1 h, with minimal turbulence. It is important to wait until after cooling to transfer the emulsion to another container. Any deviation from the above steps could permanently affect the quality of the resulting vaccine emulsion. If storage is required, the vaccine formulation can be stored for up to 1 week at 4 &amp;#176;C, without significant reduction in the biological activity of the CAV2 vector. To preserve the vaccine, the packaging materials should not interact physically or chemically with the finished product (e.g., do not use rubber). High temperatures may alter the partition characteristics of the emulsifiers and result in instability.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herein are also suitable for larger formulation volumes. The 1 mL process is also adapted to 5 mL formulations, using 15 mL conical tubes instead of 2 mL microtubes. The 10 mL process is suitable for a wider range of formulation volumes.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mL, use the 20 mL dispersing tubes;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mL, use the 50 mL dispersing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above protocols are presented to formulate a purified canine adenovirus vector with O-206, they are also convenient for the formulation with O-201 adjuvant. For the 1 mL process, only adapt the volume of aqueous phase to 450 &amp;#181;L (instead of 440 &amp;#181;L with O-206) and of O-201 to 550 &amp;#181;L (instead of 560 &amp;#181;L for O-206). O-201 was developed as the improved version of O-206 to strengthen the cellular responses. Both adjuvants are safe, efficient, and commercially available. However, O-201 has shown superiority over O-206 across several vaccination protocols in pigs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cattle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and goats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was recently observed that the O-201 adjuvant also improved the efficacy of CAV-2 vaccines in mice and piglets (data available upon request).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formulation of purified vectors is well-adapted to vaccination trials, as it removes the most part of production leftovers while increasing infectious titers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 protocols were also tested with clarified lysates of infected cells, which contain cellular debris and culture medium. Then, the biological activity of the vector and the physical properties of the resulting emulsion were preserved.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protocol is based on CAV-2-vectored vaccines, other types of adenovirus could be successfully formulated. Moreover, it can be extended to other viral vectors if their biological activity is well conserved. Special attention is required for enveloped viruses, as the surfactant may alter their envelope and weaken their biological activity. Some components in the viral particles could also interact with the adjuvant and impair its physical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these protocols are convenient for the formulation of inactivated vaccines and non-reactive antigens such as purified proteins or synthetic peptides, with appropriate tests. Indeed, antigenic media may contain proteins with polar and non-polar groups, which have properties similar to surfactants. Some enzyme residues, such as esterases, could also weaken the stability of W/O/W emulsion. In this case, the composition of the antigenic medium must be adapted to improve its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this protocol covers only the formulation of O-201 and O-206 adjuvants and their laboratory applications. In addition, it is not intended to be scalable outside the volume range described here.</w:t>
      </w:r>
    </w:p>
    <w:p>
      <w:pPr>
        <w:tabs>
          <w:tab w:val="left" w:pos="82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formulation can only be stored for a limited time presumably due to a stability deficit in the CAV2 preparation. It is well known that the activity of adenoviral vectors is maintained at -80 &amp;#176;C for years in a medium containing glycerol (10%, v/v), which is not the case at 4 &amp;#176;C. Each vaccine requires extemporaneous preparation and should be used within 10 days, but once formulated the vaccine can be transported in a refrigerated packaging.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properly formulated at the laboratory scale with minimal verifications, the resulting vaccine formulations will be useful in evaluating the benefits of W/O/W adjuvantation across a wide range of vaccine models, antigens, and animal species. The first protocol is particularly suitable for rodent vaccination, whereas the second one is well-adapted for the vaccination of large animals such as pigs, small ruminants, and cattle.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Free of components of animal origin, O-201 and O-206 adjuvants are composed of a combination of a mineral oil with a well-balanced surfactant. The research on innovative formulations will guide further vaccine development in fruitful directions.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Manon Broutin, Matthieu Bricaud, Jennifer Maye, J&amp;#233;r&amp;#233;mie Born&amp;#232;res, Juliette Ben Arous and Nicolas Versill&amp;#233; were employed by SEPPIC, part of Air Liquid Healthcare, when the work was performed; Fleur Costa and Bernard Klonjkowski declare no other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Manon Broutin was funded by a CIFRE PhD fellowship (2017/1080) from the French Association Nationale de la Recherche et de la Technologie (ANRT) in the framework of a public-private partnership between Ecole Nationale V&amp;#233;t&amp;#233;rinaire d'Alfort and SEPPIC, part of Air Liquid Healthcare.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Gibbs, E. P. J. The evolution of One Health: a decade of progress and challenges for the future. </w:t>
      </w:r>
      <w:r>
        <w:rPr>
          <w:rFonts w:ascii="Calibri" w:hAnsi="Calibri" w:cs="Calibri" w:eastAsia="Calibri"/>
          <w:i/>
          <w:color w:val="auto"/>
          <w:spacing w:val="0"/>
          <w:position w:val="0"/>
          <w:sz w:val="24"/>
          <w:shd w:fill="auto" w:val="clear"/>
        </w:rPr>
        <w:t xml:space="preserve">Veterinary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(4),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(2014).</w:t>
      </w:r>
    </w:p>
    <w:p>
      <w:pPr>
        <w:tabs>
          <w:tab w:val="left" w:pos="26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Jones, K.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trends in emerging infectious diseases.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451</w:t>
      </w:r>
      <w:r>
        <w:rPr>
          <w:rFonts w:ascii="Calibri" w:hAnsi="Calibri" w:cs="Calibri" w:eastAsia="Calibri"/>
          <w:color w:val="auto"/>
          <w:spacing w:val="0"/>
          <w:position w:val="0"/>
          <w:sz w:val="24"/>
          <w:shd w:fill="auto" w:val="clear"/>
        </w:rPr>
        <w:t xml:space="preserve"> (7181), 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(2008).</w:t>
      </w:r>
    </w:p>
    <w:p>
      <w:pPr>
        <w:tabs>
          <w:tab w:val="left" w:pos="26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Plotkin, S. L., Plotkin, S. A.</w:t>
      </w:r>
      <w:r>
        <w:rPr>
          <w:rFonts w:ascii="Calibri" w:hAnsi="Calibri" w:cs="Calibri" w:eastAsia="Calibri"/>
          <w:i/>
          <w:color w:val="auto"/>
          <w:spacing w:val="0"/>
          <w:position w:val="0"/>
          <w:sz w:val="24"/>
          <w:shd w:fill="auto" w:val="clear"/>
        </w:rPr>
        <w:t xml:space="preserve"> A Short History of Vaccination. Plotkin’s Vaccines (Seventh Edition)</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15.e8, Elsevier (2018).</w:t>
      </w:r>
    </w:p>
    <w:p>
      <w:pPr>
        <w:tabs>
          <w:tab w:val="left" w:pos="26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Krammer, F. SARS-CoV-2 vaccines in development.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586</w:t>
      </w:r>
      <w:r>
        <w:rPr>
          <w:rFonts w:ascii="Calibri" w:hAnsi="Calibri" w:cs="Calibri" w:eastAsia="Calibri"/>
          <w:color w:val="auto"/>
          <w:spacing w:val="0"/>
          <w:position w:val="0"/>
          <w:sz w:val="24"/>
          <w:shd w:fill="auto" w:val="clear"/>
        </w:rPr>
        <w:t xml:space="preserve"> (7830), 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(2020).</w:t>
      </w:r>
    </w:p>
    <w:p>
      <w:pPr>
        <w:tabs>
          <w:tab w:val="left" w:pos="26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Reed, S. G., Orr, M. T., Fox, C. B. Key roles of adjuvants in modern vaccines.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1608 (2013).</w:t>
      </w:r>
    </w:p>
    <w:p>
      <w:pPr>
        <w:tabs>
          <w:tab w:val="left" w:pos="26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Ganne, V., Eloit, M., Laval, A., Adam, M., Trouve, G. Enhancement of the efficacy of a replication-defective adenovirus-vectored vaccine by the addition of oil adjuvants.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(13), 1190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1196 (1994).</w:t>
      </w:r>
    </w:p>
    <w:p>
      <w:pPr>
        <w:tabs>
          <w:tab w:val="left" w:pos="26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Jouneau,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antibody response induced FMDV vaccines in sheep correlates with early transcriptomic responses in blood. </w:t>
      </w:r>
      <w:r>
        <w:rPr>
          <w:rFonts w:ascii="Calibri" w:hAnsi="Calibri" w:cs="Calibri" w:eastAsia="Calibri"/>
          <w:i/>
          <w:color w:val="auto"/>
          <w:spacing w:val="0"/>
          <w:position w:val="0"/>
          <w:sz w:val="24"/>
          <w:shd w:fill="auto" w:val="clear"/>
        </w:rPr>
        <w:t xml:space="preserve">NPJ 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(2020).</w:t>
      </w:r>
    </w:p>
    <w:p>
      <w:pPr>
        <w:tabs>
          <w:tab w:val="left" w:pos="26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Cubillos-Zapata,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Differential effects of viral vectors on migratory afferent lymph dendritic cells in vitro predict enhanced immunogenicity in vivo.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(18), 9385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9394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Aucouturier, J., Dupuis, L., Ganne, V. Adjuvants designed for veterinary and human vaccines.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(17), 2666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2672 (2001).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Szelechowski, M., Bergeron, C., Gonzalez-Dunia, D., Klonjkowski, B. Production and purification of non replicative canine adenovirus type 2 derived vectors.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50833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comparison of the efficacy of swine FMD vaccine emulsified with oil adjuvant of ISA 201 VG or ISA 206 VG. </w:t>
      </w:r>
      <w:r>
        <w:rPr>
          <w:rFonts w:ascii="Calibri" w:hAnsi="Calibri" w:cs="Calibri" w:eastAsia="Calibri"/>
          <w:i/>
          <w:color w:val="auto"/>
          <w:spacing w:val="0"/>
          <w:position w:val="0"/>
          <w:sz w:val="24"/>
          <w:shd w:fill="auto" w:val="clear"/>
        </w:rPr>
        <w:t xml:space="preserve">Journal of Biosciences and 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Park, M.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Enhanced immune responses of foot-and-mouth disease vaccine using new oil/gel adjuvant mixtures in pigs and goats.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(40), 5221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5227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Dar,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Montanide ISA 201 adjuvanted FMD vaccine induces improved immune responses and protection in cattle.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(33), 3327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3332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Ibrahim, E. E. -S. et al. Comparative study on the immunopotentiator effect of ISA 201, ISA 61, ISA 50, ISA 206 used in trivalent foot and mouth disease vaccine. </w:t>
      </w:r>
      <w:r>
        <w:rPr>
          <w:rFonts w:ascii="Calibri" w:hAnsi="Calibri" w:cs="Calibri" w:eastAsia="Calibri"/>
          <w:i/>
          <w:color w:val="auto"/>
          <w:spacing w:val="0"/>
          <w:position w:val="0"/>
          <w:sz w:val="24"/>
          <w:shd w:fill="auto" w:val="clear"/>
        </w:rPr>
        <w:t xml:space="preserve">Veterinary World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1189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1198 (2015).</w:t>
      </w:r>
    </w:p>
    <w:p>
      <w:pPr>
        <w:tabs>
          <w:tab w:val="left" w:pos="26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