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Adult Human Astrocyte Populations from Fresh-frozen Cortex Using Fluorescence-activated Nuclei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Zarmeen Mussa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Jessica Tome-Garcia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Yan Jiang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Schahram Akbarian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Nadejda M. Tsankova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Icahn School of Medicine at Mount Sinai, New York, NY 10029,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Neuroscience and Friedman Brain Institute, Icahn School of Medicine at Mount Sinai, New York, NY 10029,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Institutes of Brian Science, Fudan University, 131 Dongan Road, Shanghai, China, 200032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Psychiatry, Icahn School of Medicine at Mount Sinai, New York, NY 10029,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Zarmeen Mussa</w:t>
        <w:tab/>
        <w:tab/>
        <w:t xml:space="preserve">(</w:t>
      </w:r>
      <w:r>
        <w:rPr>
          <w:rFonts w:ascii="Calibri" w:hAnsi="Calibri" w:cs="Calibri" w:eastAsia="Calibri"/>
          <w:color w:val="000000"/>
          <w:spacing w:val="0"/>
          <w:position w:val="0"/>
          <w:sz w:val="24"/>
          <w:shd w:fill="auto" w:val="clear"/>
        </w:rPr>
        <w:t xml:space="preserve">zarmeen.mussa@mountsinai.org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Tome-Garcia</w:t>
        <w:tab/>
        <w:tab/>
        <w:t xml:space="preserve">(</w:t>
      </w:r>
      <w:r>
        <w:rPr>
          <w:rFonts w:ascii="Calibri" w:hAnsi="Calibri" w:cs="Calibri" w:eastAsia="Calibri"/>
          <w:color w:val="000000"/>
          <w:spacing w:val="0"/>
          <w:position w:val="0"/>
          <w:sz w:val="24"/>
          <w:shd w:fill="auto" w:val="clear"/>
        </w:rPr>
        <w:t xml:space="preserve">tomejessica@gmail.com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Jiang</w:t>
        <w:tab/>
        <w:tab/>
        <w:tab/>
        <w:t xml:space="preserve">(</w:t>
      </w:r>
      <w:r>
        <w:rPr>
          <w:rFonts w:ascii="Calibri" w:hAnsi="Calibri" w:cs="Calibri" w:eastAsia="Calibri"/>
          <w:color w:val="000000"/>
          <w:spacing w:val="0"/>
          <w:position w:val="0"/>
          <w:sz w:val="24"/>
          <w:shd w:fill="auto" w:val="clear"/>
        </w:rPr>
        <w:t xml:space="preserve">yan_jiang@fudan.edu.cn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Schahram Akbarian</w:t>
        <w:tab/>
        <w:tab/>
        <w:t xml:space="preserve">(</w:t>
      </w:r>
      <w:r>
        <w:rPr>
          <w:rFonts w:ascii="Calibri" w:hAnsi="Calibri" w:cs="Calibri" w:eastAsia="Calibri"/>
          <w:color w:val="000000"/>
          <w:spacing w:val="0"/>
          <w:position w:val="0"/>
          <w:sz w:val="24"/>
          <w:shd w:fill="auto" w:val="clear"/>
        </w:rPr>
        <w:t xml:space="preserve">schahram.akbarian@mssm.edu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Nadejda M. Tsankova</w:t>
        <w:tab/>
        <w:tab/>
        <w:t xml:space="preserve">(</w:t>
      </w:r>
      <w:r>
        <w:rPr>
          <w:rFonts w:ascii="Calibri" w:hAnsi="Calibri" w:cs="Calibri" w:eastAsia="Calibri"/>
          <w:color w:val="000000"/>
          <w:spacing w:val="0"/>
          <w:position w:val="0"/>
          <w:sz w:val="24"/>
          <w:shd w:fill="auto" w:val="clear"/>
        </w:rPr>
        <w:t xml:space="preserve">nadejda.tsankova@mssm.edu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Astrocytes; FANS; Nuclei Isolation; Glia; Cortex; Human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method that enriches for and isolates human astrocyte populations from fresh-frozen tissue for use in downstream molecular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complexity of human astrocytes remains poorly defined in primary human tissue, requiring better tools for their isolation and molecular characterization. Fluorescence-activated nuclei sorting (FANS) can be used to successfully isolate and study human neuronal nuclei (NeuN+) populations from fresh-frozen archival tissue, thereby avoiding problems associated with fresh tissue. However, efforts to similarly isolate astroglia from the non-neuronal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element are lacking. A recently developed and validated immunotagging strategy uses three transcription factor antibodies to simultaneously isolate enriched neuronal (NeuN+), astrocyte (paired box protein 6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oligodendrocyte progenitor (OLIG2+NeuN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nuclei populations from non-diseased, fresh-frozen, postmortem human temporal neocortex.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was shown to be useful for the characterization of cell type-specific transcriptome alterations in primary pathological epilepsy neocortex. Transcriptomic analyses confirmed that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sorted populations are robustly enriched for pan-astrocyte markers and capture astrocytes in both resting and reactive conditions. This paper describes the FANS methodology for the isolation of astrocyte-enriched nuclei populations from fresh-frozen human cortex, including tissue dissociation into single-nucleus (sn) suspension; immunotagging of nuclei with anti-NeuN and anti-PAX6 fluorescently conjugated antibodies; FANS gating strategies and quality control metrics for optimizing sensitivity and specificity during sorting and for confirming astrocyte enrichment; and recommended procurement for downstream transcriptome and chromatin accessibility sequencing at bulk or sn resolution. This protocol is applicable for non-necrotic, fresh-frozen, human cortical specimens with various pathologies and recommended postmortem tissue collection within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complexity of human astrocytes remains poorly defined in primary tissue, requiring better tools for their isolation and characterization at high resolution, both in health and disease. Separation of intact human neurons and glia from their niche has proven difficult due to limited access of fresh brain tissue samples, the heavily interconnected nature of glial and neuronal processes, and inevitable cellular activation during processing, all of which limit the molecular characterization of these cell types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Fluorescence-activated nuclei sorting (FANS) has emerged as an alternative to live-cell sorting, enabling the dissociation and immunotagging of nuclei populations from fresh-frozen tissue. In the past decade, FANS has become widely used for isolating and molecularly characterizing human neuronal (NeuN+) nuclei populations in a variety of brain specimens and anatomical regions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similar methods for isolating specific glial nuclei subpopulations from human cortex have been limited, leading to a relative lack of sophistication in the understanding of astrocyte complexity in both normal and diseased tissues. To this end, a previously published protocol was adapted for isolating human neuronal populations using FANS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a method was validated to enrich for astrocytes (and for oligodendroglial progenitors) using a triple-antibody combination, capturing astrocytes in both resting and reactive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specifically enrich for astrocytes in the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fraction, antibodies were used against one of two transcription factors known to be differentially expressed across astrocyte populations, PAX6 or SRY-box transcription factor 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(SOX9)</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PAX6 is highly expressed during early fetal development within radial glia-like progenitors in germinal zones and contributes toward both neurogenesis and gliogenesis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as well as to retinal neuronal specification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adult, PAX6 is differentially overexpressed in resting human astrocytes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shows protein co-expression with glial fibrillary acidic protein (GFAP) in human epilepsy tissue astrocytes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protocol describes the simultaneous isolation of neocortical neuronal and astrocyte-enriched nuclei populations by FANS. Fresh-frozen, postmortem tissue collected from adult cortex is first mechanically and chemically dissociated. After lysis and ultracentrifugation in a sucrose gradient, the cytoplasmic and extracellular components are discarded while the nuclei are retained. Nuclei are then labeled with fluorescently conjugated nuclear antibodies corresponding to the desired target lineages and sorted using FANS. Following this approach, enrichment of astrocytes is demonstrated in the collected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populations, validated both by a targeted qPCR panel as well as by downstream nuclear RNA sequencing.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for the Protection of Human Subjects at the Icahn School of Medicine at Mount Sinai (ISMMS) and its Institutional Review Board (IRB) assures the ethical conduct of research and compliance with federal, state, and institutional regulations. In this study, all postmortem specimens used were de-identified, obtained under appropriate consent through the biorepository, and were exempt from “human research” designation by ISMMS’s IRB (HS#14-01007). If performing downstream RNA sequencing, thoroughly treat all workspaces and tools with RNase Decontamination Solution to prevent mRNA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Buffer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lysis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the following in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up to 50 mL: 5.47 g of sucrose, 250 &amp;#181;L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150 &amp;#181;L of 1 M (CH</w:t>
      </w:r>
      <w:r>
        <w:rPr>
          <w:rFonts w:ascii="Calibri" w:hAnsi="Calibri" w:cs="Calibri" w:eastAsia="Calibri"/>
          <w:color w:val="auto"/>
          <w:spacing w:val="0"/>
          <w:position w:val="0"/>
          <w:sz w:val="24"/>
          <w:shd w:fill="auto" w:val="clear"/>
        </w:rPr>
        <w:t xml:space="preserve">₃</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Mg, 10 &amp;#181;L of 500 mM ethylenediaminetetraacetic acid (EDTA), 500 &amp;#181;L of 1 M Tris-HCl (pH 8), 50 &amp;#181;L of non-ionic surfactant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17 &amp;#181;L of 3 M dithiothreitol (DTT) (add fresh).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sucrose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Dissolve the following in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up to 50 mL: 30.78 g of sucrose, 150 &amp;#181;L of 1 M (CH</w:t>
      </w:r>
      <w:r>
        <w:rPr>
          <w:rFonts w:ascii="Calibri" w:hAnsi="Calibri" w:cs="Calibri" w:eastAsia="Calibri"/>
          <w:color w:val="auto"/>
          <w:spacing w:val="0"/>
          <w:position w:val="0"/>
          <w:sz w:val="24"/>
          <w:shd w:fill="auto" w:val="clear"/>
        </w:rPr>
        <w:t xml:space="preserve">₃</w:t>
      </w:r>
      <w:r>
        <w:rPr>
          <w:rFonts w:ascii="Calibri" w:hAnsi="Calibri" w:cs="Calibri" w:eastAsia="Calibri"/>
          <w:color w:val="auto"/>
          <w:spacing w:val="0"/>
          <w:position w:val="0"/>
          <w:sz w:val="24"/>
          <w:shd w:fill="auto" w:val="clear"/>
        </w:rPr>
        <w:t xml:space="preserve">COO)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Mg, 500 &amp;#181;L of 1 M Tris-HCl (pH 8), 17 &amp;#181;L of 3 M DTT (add fresh).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Frozen tissue dissociation into single-nucleus suspension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Add 4 mL of ice-cold lysis buffer to a 7 mL glass tissue douncer (grinder), and keep on ice. Dissect approximately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mg of fresh-frozen human adult cortex, dounce approximately 50x, and transfer the tissue homogenate to a 12 mL ultracentrifuge polypropylene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Using a 5 mL pipette, add 6.5 mL of ice-cold sucrose buffer to the bottom of the ultracentrifuge tube, taking care not to disturb the layer between sucrose and the tissue homogenate.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processing additional samples, carefully balance the tubes by weight by adding additional lysis buffer to the lighter sample. Precise balancing of the ultracentrifuge tubes is essential to prevent damage to the rotor and ensure rotation at the proper speed.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Ultracentrifugation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Ultracentrifuge the lysate at 101,814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at 4 &amp;#176;C. Carefully aspirate the supernatant and debris without disturbing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pellet may not be visible if starting with less than 200 mg of tissue.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0.1% w/v bovine serum albumin (BSA) in phosphate-buffered saline (PBS) to the ultracentrifuge tubes, and incubate on ice for 10 min before resuspending the nuclei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a hemocytometer to visualize the intact nuclei under a microscope and to ensure the concentration of the resuspension is above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nuclei/mL before proceeding to the next step (combine 10 &amp;#181;L of the resuspended nuclei with 10 &amp;#181;L of trypan blue).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Antibody incubation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To the resuspended sample, add mouse anti-NeuN conjugated to AF555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mouse anti-PAX6 conjugated to allophycocyanin (APC).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antibodies conjugated to APC or additional antibodies conjugated to other fluorophores may be added (see disxsion). Here, mouse anti-OLIG2 conjugated to AF488 was used with favorable results.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Perform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FFFF00" w:val="clear"/>
        </w:rPr>
        <w:t xml:space="preserve"> (DAPI)-only and single-color controls to set up gating parameters, using a small amount of the sample as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Add approximately 20 &amp;#181;L of the resuspended sample to an antibody solution containing only mouse anti-NeuN conjugated to AF555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Add 20 &amp;#181;L of the resuspended sample to an antibody solution containing only mouse anti-PAX6 conjugated to APC.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Add 20 &amp;#181;L of the resuspended sample to a solution with no antibody (for DAPI-only control).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than two antibodies are used, performing fluorescence-minus-one (FMO) control is recommended in addition to the single-color controls.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Incubate the samples and the controls with rotation in the dark for 1 h at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Add DAPI at 1:1000 to all the samples and controls, and proceed with sorting.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Fluorescence-activated nuclei sorting (FANS)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an institutional flow cytometry facility with assistance from trained personnel unless already proficient in flow cytometry/sorting techniques.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Gate as shown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First, and for each sample, gate by forward scatter (FSC-A)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side scatter (SSC-A) to include particles in the appropriate size range for nuclei, thus excluding red blood cells and debris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very clean nuclei preparation can distinguish between a smaller debris cluster and a nuclei cluster.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Next, and for each sample, gate by FSC-A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FSC-W (or FSC-A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FSC-H) and SSC-A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SSC-W (or SSC-A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SSC-H) to include only singlet nuclei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Next, and for each sample, gate by DAPI to include intact nuclei singlets (DAPI-high gated population), excluding debris (DAPI-low, on left of gated population) and doublets (on right of gated population)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Set further gating based on fluorescence controls, determined visually as distinct clusters on FACS plots.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5.1.4.1.</w:t>
        <w:tab/>
        <w:t xml:space="preserve">Run DAPI-only control to determine background staining of populations, in the absence of antibody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5.1.4.2.</w:t>
        <w:tab/>
        <w:t xml:space="preserve">Run NeuN-AF555-only control to determine the cutoff for NeuN+ staining in the channel for AF555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5.1.4.3.</w:t>
        <w:tab/>
        <w:t xml:space="preserve">Run PAX6-APC-only control to determine the cutoff for PAX6+ staining in the APC channel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5.1.4.4.</w:t>
        <w:tab/>
        <w:t xml:space="preserve">Run additional single-color controls if using more antibodies (</w:t>
      </w:r>
      <w:r>
        <w:rPr>
          <w:rFonts w:ascii="Calibri" w:hAnsi="Calibri" w:cs="Calibri" w:eastAsia="Calibri"/>
          <w:b/>
          <w:color w:val="auto"/>
          <w:spacing w:val="0"/>
          <w:position w:val="0"/>
          <w:sz w:val="24"/>
          <w:shd w:fill="FFFF00" w:val="clear"/>
        </w:rPr>
        <w:t xml:space="preserve">Figure 2D,E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more than two antibodies, an FMO control is recommended to visualize any shifts in populations.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Once all controls have been run, draw the gates for NeuN+ and PAX6+ collections above the established thresholds.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5.1.5.1.</w:t>
        <w:tab/>
        <w:t xml:space="preserve">Gate the NeuN+ population to collect neurons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5.1.5.2.</w:t>
        <w:tab/>
        <w:t xml:space="preserve">Gate the PAX6+ population from the NeuN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population to collect astrocytes (</w:t>
      </w:r>
      <w:r>
        <w:rPr>
          <w:rFonts w:ascii="Calibri" w:hAnsi="Calibri" w:cs="Calibri" w:eastAsia="Calibri"/>
          <w:b/>
          <w:color w:val="auto"/>
          <w:spacing w:val="0"/>
          <w:position w:val="0"/>
          <w:sz w:val="24"/>
          <w:shd w:fill="FFFF00" w:val="clear"/>
        </w:rPr>
        <w:t xml:space="preserve">Figure 1E,F</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5.1.5.3.</w:t>
        <w:tab/>
        <w:t xml:space="preserve">Gate and collect additional glial populations (such as oligodendrocyte progenitor cells, as shown here by OLIG2+) from the NeuN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PAX6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population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determining appropriate gating cutoffs is difficult with the flow cytometry software due to indistinct populations, it may be helpful to modify the number of events being visualized (either increasing or reducing the number of events on the FANS plot).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Collect samples appropriately based on the intended downstream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Collection of FANS populations for downstream molecular analyses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For bulk RNA sequencing, collect 50,000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500,000 nuclei in PBS (see also section 7.1).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Add 2 mL of sucrose solution, 50 &amp;#181;L of 1 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30 &amp;#181;L of 1 M (CH</w:t>
      </w:r>
      <w:r>
        <w:rPr>
          <w:rFonts w:ascii="Calibri" w:hAnsi="Calibri" w:cs="Calibri" w:eastAsia="Calibri"/>
          <w:color w:val="auto"/>
          <w:spacing w:val="0"/>
          <w:position w:val="0"/>
          <w:sz w:val="24"/>
          <w:shd w:fill="FFFF00" w:val="clear"/>
        </w:rPr>
        <w:t xml:space="preserve">₃</w:t>
      </w:r>
      <w:r>
        <w:rPr>
          <w:rFonts w:ascii="Calibri" w:hAnsi="Calibri" w:cs="Calibri" w:eastAsia="Calibri"/>
          <w:color w:val="auto"/>
          <w:spacing w:val="0"/>
          <w:position w:val="0"/>
          <w:sz w:val="24"/>
          <w:shd w:fill="FFFF00" w:val="clear"/>
        </w:rPr>
        <w:t xml:space="preserve">COO)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Mg, and fill with PBS up to 10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Invert and incubate on ice for 15 min, then centrifuge at 900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Aspirate the supernatant, resuspend in 1 mL of RNA-extracting reagent, vortex, freeze on dry ice, and store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Alternatively, collect the samples directly into 200 &amp;#181;L of the RNA-extracting reagent. Add the RNA-extracting reagent up to 1 mL after sorting, maintaining a 1:1 ratio of the reagent to sorted sample. Vortex, freeze on dry ice, and store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For bulk assay for transposase-accessible chromatin using sequencing (ATAC-seq), collect 50,000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75,000 nuclei in PBS in a microcentrifuge tube coated with 5% bovine serum albumin (BSA). Freeze nuclei on dry ice/-80 &amp;#176;C or immediately use them for ATAC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For sn RNA-seq or ATAC-seq, collect nuclei in 0.04% BSA in PBS (see also section 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Pre-library preparation tips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Bulk nuclear RNA sequencing library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After collecting in RNA extraction reagent, perform standard phenol/chloroform RNA extraction by adding phenol/chloroform and precipitating RNA from the upper aqueous layer with ethanol, followed by DNase digestion on tube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Perform RNA cleanup and concentrate in a final volume of 15 &amp;#181;L of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this method, representative recovery from 300 mg of adult cortex sample is ~300,000 NeuN+ nuclei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ng/&amp;#181;L total RNA after cleanup and concentration) and ~250,000 PAX6+ nuclei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ng/&amp;#181;L total RNA after cleanup and concentration). This representative yield can vary greatly based on sample quality, gating stringency, and RNA recovery.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Perform quantitative polymerase chain reaction (qPCR) prior to sequencing to confirm enrichment of astrocytes based on high differential expression of canonical astrocyte markers (</w:t>
      </w:r>
      <w:r>
        <w:rPr>
          <w:rFonts w:ascii="Calibri" w:hAnsi="Calibri" w:cs="Calibri" w:eastAsia="Calibri"/>
          <w:i/>
          <w:color w:val="auto"/>
          <w:spacing w:val="0"/>
          <w:position w:val="0"/>
          <w:sz w:val="24"/>
          <w:shd w:fill="auto" w:val="clear"/>
        </w:rPr>
        <w:t xml:space="preserve">GFAP, SOX9), 10-formyltetrahydrofolate dehydrogenase (ALDH1L1)</w:t>
      </w:r>
      <w:r>
        <w:rPr>
          <w:rFonts w:ascii="Calibri" w:hAnsi="Calibri" w:cs="Calibri" w:eastAsia="Calibri"/>
          <w:color w:val="auto"/>
          <w:spacing w:val="0"/>
          <w:position w:val="0"/>
          <w:sz w:val="24"/>
          <w:shd w:fill="auto" w:val="clear"/>
        </w:rPr>
        <w:t xml:space="preserve">) and depletion of neuronal and other cell lineage markers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Collection of the double-negative population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PAX6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allows for a more accurate, multitiered qPCR quality control analysis for the relative enrichment of astrocytes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Generate RNA-seq libraries using a kit recommended for low RNA integrity number values, as expected from postmortem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Single-nucleus sequencing library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Perform sn sequencing through an institutional sequencing core.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For nanofluidics-based processing and sequencing, use the recommended concentration of 1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in at least 60 &amp;#181;L of 1x PBS + 0.04% BSA for single-nucleus RNA-sequencing (snRNA-seq) and 3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in at least 20 &amp;#181;L of 1x PBS + 0.04% BSA for single-nucleus Assay for Transposase-Accessible Chromatin using sequencing (snATAC-seq).</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Nuclei were collected, frozen, and thaw-dissociated from temporal neocortex tissue with a postmortem collection time of 12 h.</w:t>
      </w:r>
      <w:r>
        <w:rPr>
          <w:rFonts w:ascii="Calibri" w:hAnsi="Calibri" w:cs="Calibri" w:eastAsia="Calibri"/>
          <w:color w:val="auto"/>
          <w:spacing w:val="0"/>
          <w:position w:val="0"/>
          <w:sz w:val="24"/>
          <w:shd w:fill="auto" w:val="clear"/>
        </w:rPr>
        <w:t xml:space="preserve"> After the dissociation of nuclei, samples were incubated with antibodies against NeuN, PAX6, and OLIG2, and sorted according to the gating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Nuclei were collected from NeuN+,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OLIG2+NeuN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sorted populations (</w:t>
      </w:r>
      <w:r>
        <w:rPr>
          <w:rFonts w:ascii="Calibri" w:hAnsi="Calibri" w:cs="Calibri" w:eastAsia="Calibri"/>
          <w:b/>
          <w:color w:val="auto"/>
          <w:spacing w:val="0"/>
          <w:position w:val="0"/>
          <w:sz w:val="24"/>
          <w:shd w:fill="auto" w:val="clear"/>
        </w:rPr>
        <w:t xml:space="preserve">Figure 1E,F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A targeted qPCR panel revealed enrichment for the pan-astrocyte markers,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ALDH1L1,</w:t>
      </w:r>
      <w:r>
        <w:rPr>
          <w:rFonts w:ascii="Calibri" w:hAnsi="Calibri" w:cs="Calibri" w:eastAsia="Calibri"/>
          <w:color w:val="auto"/>
          <w:spacing w:val="0"/>
          <w:position w:val="0"/>
          <w:sz w:val="24"/>
          <w:shd w:fill="auto" w:val="clear"/>
        </w:rPr>
        <w:t xml:space="preserve"> in the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Additionally, the OLIG2+ population was enriched for the oligodendrocyte progenitor cell (OPC) marker </w:t>
      </w:r>
      <w:r>
        <w:rPr>
          <w:rFonts w:ascii="Calibri" w:hAnsi="Calibri" w:cs="Calibri" w:eastAsia="Calibri"/>
          <w:i/>
          <w:color w:val="auto"/>
          <w:spacing w:val="0"/>
          <w:position w:val="0"/>
          <w:sz w:val="24"/>
          <w:shd w:fill="auto" w:val="clear"/>
        </w:rPr>
        <w:t xml:space="preserve">PDGFRA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Bulk RNA sequencing of the collected populations showed comparative enrichment of astrocyte markers and depletion of neuronal markers in the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Immunofluorescence confirmed the colocalization of PAX6 with GFAP in adult human cortical astrocytes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Examining single-color controls reveals distinct positive and negative populations for each marker, which enabled the setting of accurate cutoffs for collection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Furthermore, astrocyte-enriched FANS isolation was compared with two different antibodies against astrocyte nuclear markers, SOX9 and PAX6. A higher percentage of nuclei events was captured by FANS using PAX6 (~13.8%) than by FANS using SOX9 (~6%) within the astrocyte-enriched gate (</w:t>
      </w:r>
      <w:r>
        <w:rPr>
          <w:rFonts w:ascii="Calibri" w:hAnsi="Calibri" w:cs="Calibri" w:eastAsia="Calibri"/>
          <w:b/>
          <w:color w:val="auto"/>
          <w:spacing w:val="0"/>
          <w:position w:val="0"/>
          <w:sz w:val="24"/>
          <w:shd w:fill="auto" w:val="clear"/>
        </w:rPr>
        <w:t xml:space="preserve">Figure 2F,G</w:t>
      </w:r>
      <w:r>
        <w:rPr>
          <w:rFonts w:ascii="Calibri" w:hAnsi="Calibri" w:cs="Calibri" w:eastAsia="Calibri"/>
          <w:color w:val="auto"/>
          <w:spacing w:val="0"/>
          <w:position w:val="0"/>
          <w:sz w:val="24"/>
          <w:shd w:fill="auto" w:val="clear"/>
        </w:rPr>
        <w:t xml:space="preserve">). A targeted qPCR panel revealed enrichment for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PAX6,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SOX9</w:t>
      </w:r>
      <w:r>
        <w:rPr>
          <w:rFonts w:ascii="Calibri" w:hAnsi="Calibri" w:cs="Calibri" w:eastAsia="Calibri"/>
          <w:color w:val="auto"/>
          <w:spacing w:val="0"/>
          <w:position w:val="0"/>
          <w:sz w:val="24"/>
          <w:shd w:fill="auto" w:val="clear"/>
        </w:rPr>
        <w:t xml:space="preserve"> in both SOX9+(NeuN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Retroactively comparing the dissociation and staining of several samples with varying postmortem interval (PMI) of tissue collection revealed that a shorter PMI was associated with greater intact nuclei recovery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Frozen tissue with a PMI of up to 24 h yielded a high rate of intact nuclei, up to 90%; at 30 h PMI, however, very few intact nuclei could be recovered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Including an antibody-wash step in the standard protocol (which typically omits this step to optimize recovery) did not reveal significant shifts in the separation of distinct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PAX6+/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poor separation of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populations could be seen, even in samples with a high percentage of viable nuclei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necessitating the repetition of the dissociation of the nuclei and the FANS protocol. Single-nucleus RNA-seq studies further prioritized </w:t>
      </w:r>
      <w:r>
        <w:rPr>
          <w:rFonts w:ascii="Calibri" w:hAnsi="Calibri" w:cs="Calibri" w:eastAsia="Calibri"/>
          <w:i/>
          <w:color w:val="auto"/>
          <w:spacing w:val="0"/>
          <w:position w:val="0"/>
          <w:sz w:val="24"/>
          <w:shd w:fill="auto" w:val="clear"/>
        </w:rPr>
        <w:t xml:space="preserve">PAX6</w:t>
      </w:r>
      <w:r>
        <w:rPr>
          <w:rFonts w:ascii="Calibri" w:hAnsi="Calibri" w:cs="Calibri" w:eastAsia="Calibri"/>
          <w:color w:val="auto"/>
          <w:spacing w:val="0"/>
          <w:position w:val="0"/>
          <w:sz w:val="24"/>
          <w:shd w:fill="auto" w:val="clear"/>
        </w:rPr>
        <w:t xml:space="preserve"> as a top differentially expressed nuclear transcription factor across both protoplasmic and fibrous adult astrocyte subpopulations, not only in the neocortex, but also in the subventricular zone (SVZ) and adjacent striatum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Comparison of NEUN/PAX6/OLIG2 triple FANS between the neocortex and striatum derived from the same brain sample showed region-specific differences in the separation of PAX6+ nuclei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This protocol is currently validated for the neocortex only.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Validation of neuron- and astrocyte-enriched isolation by FANS.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examples of sequential FANS gating to exclude debris and doublets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define background staining using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DAPI-only control for the collection of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enriched neuronal (NeuN+), astrocyte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OPC (OLIG2++NeuN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nuclei populations.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Minimal qPCR panel using pan-astrocyte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ALDH1L1</w:t>
      </w:r>
      <w:r>
        <w:rPr>
          <w:rFonts w:ascii="Calibri" w:hAnsi="Calibri" w:cs="Calibri" w:eastAsia="Calibri"/>
          <w:color w:val="auto"/>
          <w:spacing w:val="0"/>
          <w:position w:val="0"/>
          <w:sz w:val="24"/>
          <w:shd w:fill="auto" w:val="clear"/>
        </w:rPr>
        <w:t xml:space="preserve">), neuronal (</w:t>
      </w:r>
      <w:r>
        <w:rPr>
          <w:rFonts w:ascii="Calibri" w:hAnsi="Calibri" w:cs="Calibri" w:eastAsia="Calibri"/>
          <w:i/>
          <w:color w:val="auto"/>
          <w:spacing w:val="0"/>
          <w:position w:val="0"/>
          <w:sz w:val="24"/>
          <w:shd w:fill="auto" w:val="clear"/>
        </w:rPr>
        <w:t xml:space="preserve">RBFOX3</w:t>
      </w:r>
      <w:r>
        <w:rPr>
          <w:rFonts w:ascii="Calibri" w:hAnsi="Calibri" w:cs="Calibri" w:eastAsia="Calibri"/>
          <w:color w:val="auto"/>
          <w:spacing w:val="0"/>
          <w:position w:val="0"/>
          <w:sz w:val="24"/>
          <w:shd w:fill="auto" w:val="clear"/>
        </w:rPr>
        <w:t xml:space="preserve">), and OPC (</w:t>
      </w:r>
      <w:r>
        <w:rPr>
          <w:rFonts w:ascii="Calibri" w:hAnsi="Calibri" w:cs="Calibri" w:eastAsia="Calibri"/>
          <w:i/>
          <w:color w:val="auto"/>
          <w:spacing w:val="0"/>
          <w:position w:val="0"/>
          <w:sz w:val="24"/>
          <w:shd w:fill="auto" w:val="clear"/>
        </w:rPr>
        <w:t xml:space="preserve">PDGFRA</w:t>
      </w:r>
      <w:r>
        <w:rPr>
          <w:rFonts w:ascii="Calibri" w:hAnsi="Calibri" w:cs="Calibri" w:eastAsia="Calibri"/>
          <w:color w:val="auto"/>
          <w:spacing w:val="0"/>
          <w:position w:val="0"/>
          <w:sz w:val="24"/>
          <w:shd w:fill="auto" w:val="clear"/>
        </w:rPr>
        <w:t xml:space="preserve">) markers for quality control of the collected populations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temporal neocortex autopsy specimen without pathology, 12 h PMI, 100,000 events shown; dotted lines represent positively gated sequential populations; solid lines represent final collection of cell-type enriched populations).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Heatmap generated from row-normalized bulk RNA sequencing data showing expression of canonical astrocyte and neuronal markers in PAX6+ and NeuN+ sorted populations (n=3 autopsy cases, temporal neocortex without pathology, PMI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h).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Representative immunofluorescence image of PAX6, GFAP, and NeuN in human neocortex. Arrows indicate astrocytes co-expressing PAX6 and GFAP. Abbreviations: FANS = fluorescence-activate nuclei sorting;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NeuN = neuronal nuclei; PAX6 = paired box protein 6; OLIG2 = oligodendrocyte transcription factor 2; OPC = oligodendrocyte progenitor cell; qPCR = quantitative polymerase chain reaction; GFAP = glial fibrillary acidic protein ; ALDH1L1 = 10-formyltetrahydrofolate dehydrogenase; RBFOX3 = RNA-binding protein FOX-1 homolog 3; PDGFRA = platelet-derived growth factor alpha; PMI = postmortem interval; SSC-A = side scatter-area; FSC-A = forward scatter area; SSC-W = side scatter width; FSC-W = forward scatter width; NeuN-555 = mouse anti-NeuN conjugated to AF555; PAX6-APC = mouse anti-PAX6 conjugated to allophycocyanin; OLIG2-488 = mouse anti-OLIG2 conjugated to green fluorescent dye for the 488 nm laser line.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Comparative isolation of astrocyte-enriched populations using PAX6 or SOX9 antibodies.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Single-color controls for DAPI, NeuN, PAX6, SOX9, and OLIG2 define positive/negative cutoffs in the respective fluorescence channels.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Comparative FANS method for astrocyte-enriched isolation using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NeuN/PAX6 or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NeuN/SOX9 antibodies. A greater percentage of events are captured by PAX6 than by SOX9 within the astrocyte-enriched gate.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identical postmortem non-pathological temporal neocortex specimen used for all experiments; 12 h PMI; 10,000 events shown).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Quality control qPCR analysis confirms enrichment of astrocyte markers and depletion of non-astrocyte markers in PAX6+(NeuN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and SOX9+(NeuN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sorted populations from </w:t>
      </w:r>
      <w:r>
        <w:rPr>
          <w:rFonts w:ascii="Calibri" w:hAnsi="Calibri" w:cs="Calibri" w:eastAsia="Calibri"/>
          <w:b/>
          <w:color w:val="auto"/>
          <w:spacing w:val="0"/>
          <w:position w:val="0"/>
          <w:sz w:val="24"/>
          <w:shd w:fill="FFFFFF" w:val="clear"/>
        </w:rPr>
        <w:t xml:space="preserve">F</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(data normalized to </w:t>
      </w:r>
      <w:r>
        <w:rPr>
          <w:rFonts w:ascii="Calibri" w:hAnsi="Calibri" w:cs="Calibri" w:eastAsia="Calibri"/>
          <w:i/>
          <w:color w:val="auto"/>
          <w:spacing w:val="0"/>
          <w:position w:val="0"/>
          <w:sz w:val="24"/>
          <w:shd w:fill="FFFFFF" w:val="clear"/>
        </w:rPr>
        <w:t xml:space="preserve">ACTB</w:t>
      </w:r>
      <w:r>
        <w:rPr>
          <w:rFonts w:ascii="Calibri" w:hAnsi="Calibri" w:cs="Calibri" w:eastAsia="Calibri"/>
          <w:color w:val="auto"/>
          <w:spacing w:val="0"/>
          <w:position w:val="0"/>
          <w:sz w:val="24"/>
          <w:shd w:fill="FFFFFF" w:val="clear"/>
        </w:rPr>
        <w:t xml:space="preserve"> and quantified as fold change of the NeuN+ population). </w:t>
      </w:r>
      <w:r>
        <w:rPr>
          <w:rFonts w:ascii="Calibri" w:hAnsi="Calibri" w:cs="Calibri" w:eastAsia="Calibri"/>
          <w:color w:val="auto"/>
          <w:spacing w:val="0"/>
          <w:position w:val="0"/>
          <w:sz w:val="24"/>
          <w:shd w:fill="auto" w:val="clear"/>
        </w:rPr>
        <w:t xml:space="preserve">Abbreviations: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NeuN = neuronal nuclei; PAX6 = paired box protein 6; OLIG2 = oligodendrocyte transcription factor 2; SOX9 = SRY-box transcription factor 9; qPCR = quantitative polymerase chain reaction; GFAP = glial fibrillary acidic protein ; RBFOX3 = RNA-binding protein FOX-1 homolog 3; PDGFRA = platelet-derived growth factor alpha; PMI = postmortem interval; NeuN-555 = mouse anti-NeuN conjugated to AF555; PAX6-APC = mouse anti-PAX6 conjugated to allophycocyanin; OLIG2-488 = mouse anti-OLIG2 conjugated to green fluorescent dye for the 488 nm laser line.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Dependent and independent metrics for successful FANS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Effect of sample collection PMI on the quality of nuclei: lower PMI enables the recovery of a greater number of intact nuclei with adequate results up to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inclusion of a wash step after antibody incubation does not visually appear to shift FANS populations.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a failed FANS experiment with lack of distinct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 (on right) despite the presence of intact nuclei and low background (on left) (postmortem temporal neocortex, non-pathological, 7 h PMI).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Heatmap representation of adult human sn RNA-seq data showing differential expression of </w:t>
      </w:r>
      <w:r>
        <w:rPr>
          <w:rFonts w:ascii="Calibri" w:hAnsi="Calibri" w:cs="Calibri" w:eastAsia="Calibri"/>
          <w:i/>
          <w:color w:val="auto"/>
          <w:spacing w:val="0"/>
          <w:position w:val="0"/>
          <w:sz w:val="24"/>
          <w:shd w:fill="auto" w:val="clear"/>
        </w:rPr>
        <w:t xml:space="preserve">PAX6 </w:t>
      </w:r>
      <w:r>
        <w:rPr>
          <w:rFonts w:ascii="Calibri" w:hAnsi="Calibri" w:cs="Calibri" w:eastAsia="Calibri"/>
          <w:color w:val="auto"/>
          <w:spacing w:val="0"/>
          <w:position w:val="0"/>
          <w:sz w:val="24"/>
          <w:shd w:fill="auto" w:val="clear"/>
        </w:rPr>
        <w:t xml:space="preserve">and two other astrocyte nuclear factors,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LHX2</w:t>
      </w:r>
      <w:r>
        <w:rPr>
          <w:rFonts w:ascii="Calibri" w:hAnsi="Calibri" w:cs="Calibri" w:eastAsia="Calibri"/>
          <w:color w:val="auto"/>
          <w:spacing w:val="0"/>
          <w:position w:val="0"/>
          <w:sz w:val="24"/>
          <w:shd w:fill="auto" w:val="clear"/>
        </w:rPr>
        <w:t xml:space="preserve">, across protoplasmic and fibrous astrocyte subpopulations in both cortex and SVZ, compared to other cell types (red color gradient represents spectrum of log-normalized average gene expression values; n=3 distinct autopsy cases, 43,619 total nuclei.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Distinct brain regions (temporal neocortex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SVZ and subjacent striatum) show different patterns of NeuN/PAX6/OLIG2 separation. Abbreviations: FANS = fluorescence-activate nuclei sorting;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NeuN = neuronal nuclei; PAX6 = paired box protein 6; OLIG2 = oligodendrocyte transcription factor 2; GFAP = glial fibrillary acidic protein ; ALDH1L1 = 10-formyltetrahydrofolate dehydrogenase; LXH2 = LIM homeobox 2; PMI = postmortem interval; SSC-A = side scatter-area; FSC-A = forward scatter area; NeuN-555 = mouse anti-NeuN conjugated to AF555; PAX6-APC = mouse anti-PAX6 conjugated to allophycocyanin; OLIG2-488 = mouse anti-OLIG2 conjugated to green fluorescent dye for the 488 nm laser line; SVZ = subventricular zone; A(p) = protoplasmic (gray matter) astrocytes; A(f) = fibrous (white matter) astrocytes; OL = oligodendrocytes; OPC = oligodendrocyte progenitor cells; EN = excitatory neurons; MSN = medium spiny neurons; MG = microglia; BVC = blood vessel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design following the outlined protocol should be finalized after considering several biological and technical factors. Starting tissue samples are fresh-frozen, without having been fixed, and preferably have a short postmortem collection interval to maximize nuclei recovery. Based on experience, a PMI of up to 24 h allows for adequate nuclei recovery; however, a PMI of 12 h or less is preferable to optimize intact nuclei recovery. Additional factors apart from PMI, including temperature of body storage and pH levels of the tissue, may also affect nuclei yield, but were not accounted for in these studies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From anecdotal experience, FANS recovery has been found to be comparable with the same tissue being stored up to five years at -80 &amp;#176;C, although controlled experiments were not performed to assess the variability of storage on cell-type specific expression. Washing the sample after antibody incubation is another variable that may need consideration. In general, a wash step decreases the overall yield, but may improve the separation of distinct immunolabeled populations.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studies, no difference was observed in the separation of NEUN/PAX6 populations when including or excluding a post-antibody wash step, but this step may be beneficial when using other primary and secondary antibodies, especially if they are not preconjugated. Due to the variability in the sensitivity of the sorting equipment, it is necessary to perform appropriate controls at each sorting event. If excessive extracellular debris is seen in the resuspended sample when visualizing on a hemocytometer, the sample can be passed through a 40 &amp;#181;m filter to retain only the nuclei. If sample is limited, beads tagged with the appropriate fluorophore may also be used for single-color and FMO controls. If the samples appear to not be enriched for the desired astrocyte populations, as determined either by qPCR or sequencing results, it may be helpful to gate all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well as PAX6+(NeuN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populations more strictly, leaving more room between the gate cutoffs for positive and negative populations.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validation studies described here were performed using OLIG2 in addition to NeuN and PAX6, to simultaneously enrich for neuronal, astrocyte, and oligodendrocyte progenitor (OPCs) nuclei populations. It is recommended to include OLIG2 as a third lineage marker to enrich for cortical astrocytes more effectively within the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fraction. The presence or absence of FITC-conjugated OLIG2 does not appear to shift the PAX6+ population; therefore, the assumption is that experiments excluding OLIG2 will result in similar astrocyte enrichment. Of note, it is essential that the PAX6+ population be gated from the NeuN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 as some neuronal populations express both NeuN and PAX6</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Astrocytes can also be sorted according to SOX9 expression; however, staining and sorting with SOX9 leads to less robust enrichment of astrocytes compared to PAX6. Although clear separation was observed between neuronal, astrocytic, and OPC lineages in the adult cortex, a similar separation was not observed between PAX6+ and OLIG2+ populations in the adult SVZ and adjacent striatum.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it is possible that some astrocytes from the SVZ express low levels of OLIG2, the collected populations were only validated by qPCR (data not shown); hence, downstream RNA sequencing may be helpful in further defining the purity of these populations. Additionally, this protocol can be adapted to isolate nuclei from frozen fetal brain tissue and brain tumor tissue using population-specific nuclear markers. Because these tissues are considerably more cellular, it may be helpful to start with less tissue to minimize the aggregation of nuclei. When sorting aneuploid nuclei from neoplastic tissue, DAPI gating is adjusted to account for potentially higher fluorescence. It is strongly recommended that users perform a careful validation prior to performing FANS on neoplastic tissue, as the current protocol is validated for non-neoplastic samples only. Overall, the above-described protocol puts forward a validated strategy for isolating enriched astrocyte populations, adapted from previously established protocols to enrich for neurons. This methodology can be used to effectively isolate astrocyte nuclei populations from both normal and diseased cortical brain tissues for use in further molecular analyses.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like to thank members in Pathology and Neurosurgery at the Icahn School of Medicine at Mount Sinai for help with the procurement of de-identified brain tissue and ISMMS’s Flow Cytometry CORE for expert advice. The study was partially funded by NIH RF1DA048810, R01NS106229 and R03NS101581 (all to N.M.T.).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1.</w:t>
        <w:tab/>
      </w:r>
      <w:r>
        <w:rPr>
          <w:rFonts w:ascii="Calibri" w:hAnsi="Calibri" w:cs="Calibri" w:eastAsia="Calibri"/>
          <w:color w:val="auto"/>
          <w:spacing w:val="0"/>
          <w:position w:val="0"/>
          <w:sz w:val="24"/>
          <w:shd w:fill="auto" w:val="clear"/>
        </w:rPr>
        <w:t xml:space="preserve">Mitchell, A., Roussos, P., Peter, C., Tsankova, N., Akbarian, S. The future of neuroepigenetics in the human brain. </w:t>
      </w:r>
      <w:r>
        <w:rPr>
          <w:rFonts w:ascii="Calibri" w:hAnsi="Calibri" w:cs="Calibri" w:eastAsia="Calibri"/>
          <w:i/>
          <w:color w:val="auto"/>
          <w:spacing w:val="0"/>
          <w:position w:val="0"/>
          <w:sz w:val="24"/>
          <w:shd w:fill="auto" w:val="clear"/>
        </w:rPr>
        <w:t xml:space="preserve">Progress in Molecular Biology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2.</w:t>
        <w:tab/>
      </w:r>
      <w:r>
        <w:rPr>
          <w:rFonts w:ascii="Calibri" w:hAnsi="Calibri" w:cs="Calibri" w:eastAsia="Calibri"/>
          <w:color w:val="auto"/>
          <w:spacing w:val="0"/>
          <w:position w:val="0"/>
          <w:sz w:val="24"/>
          <w:shd w:fill="auto" w:val="clear"/>
        </w:rPr>
        <w:t xml:space="preserve">Jiang, Y., Matevossian, A., Huang, H. S., Straubhaar, J., Akbarian, S. Isolation of neuronal chromatin from brain tissue.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3.</w:t>
        <w:tab/>
      </w:r>
      <w:r>
        <w:rPr>
          <w:rFonts w:ascii="Calibri" w:hAnsi="Calibri" w:cs="Calibri" w:eastAsia="Calibri"/>
          <w:color w:val="auto"/>
          <w:spacing w:val="0"/>
          <w:position w:val="0"/>
          <w:sz w:val="24"/>
          <w:shd w:fill="auto" w:val="clear"/>
        </w:rPr>
        <w:t xml:space="preserve">Akbarian, S. et al. The PsychENCODE project. </w:t>
      </w:r>
      <w:r>
        <w:rPr>
          <w:rFonts w:ascii="Calibri" w:hAnsi="Calibri" w:cs="Calibri" w:eastAsia="Calibri"/>
          <w:i/>
          <w:color w:val="auto"/>
          <w:spacing w:val="0"/>
          <w:position w:val="0"/>
          <w:sz w:val="24"/>
          <w:shd w:fill="auto" w:val="clear"/>
        </w:rPr>
        <w:t xml:space="preserve">Nature Neuroscience. </w:t>
      </w:r>
      <w:r>
        <w:rPr>
          <w:rFonts w:ascii="Calibri" w:hAnsi="Calibri" w:cs="Calibri" w:eastAsia="Calibri"/>
          <w:color w:val="auto"/>
          <w:spacing w:val="0"/>
          <w:position w:val="0"/>
          <w:sz w:val="24"/>
          <w:shd w:fill="auto" w:val="clear"/>
        </w:rPr>
        <w:t xml:space="preserve">18 (12), 1707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4.</w:t>
        <w:tab/>
      </w:r>
      <w:r>
        <w:rPr>
          <w:rFonts w:ascii="Calibri" w:hAnsi="Calibri" w:cs="Calibri" w:eastAsia="Calibri"/>
          <w:color w:val="auto"/>
          <w:spacing w:val="0"/>
          <w:position w:val="0"/>
          <w:sz w:val="24"/>
          <w:shd w:fill="auto" w:val="clear"/>
        </w:rPr>
        <w:t xml:space="preserve">Matevossian, A., Akbarian, S. Neuronal nuclei isolation from human postmortem brain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(20), 914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5.</w:t>
        <w:tab/>
      </w:r>
      <w:r>
        <w:rPr>
          <w:rFonts w:ascii="Calibri" w:hAnsi="Calibri" w:cs="Calibri" w:eastAsia="Calibri"/>
          <w:color w:val="auto"/>
          <w:spacing w:val="0"/>
          <w:position w:val="0"/>
          <w:sz w:val="24"/>
          <w:shd w:fill="auto" w:val="clear"/>
        </w:rPr>
        <w:t xml:space="preserve">Tome-Garcia, J. et al. Cell type-specific isolation and transcriptomic profiling informs glial pathology in human temporal lobe epilepsy. </w:t>
      </w:r>
      <w:r>
        <w:rPr>
          <w:rFonts w:ascii="Calibri" w:hAnsi="Calibri" w:cs="Calibri" w:eastAsia="Calibri"/>
          <w:i/>
          <w:color w:val="auto"/>
          <w:spacing w:val="0"/>
          <w:position w:val="0"/>
          <w:sz w:val="24"/>
          <w:shd w:fill="auto" w:val="clear"/>
        </w:rPr>
        <w:t xml:space="preserve">BioRxiv. </w:t>
      </w:r>
      <w:r>
        <w:rPr>
          <w:rFonts w:ascii="Calibri" w:hAnsi="Calibri" w:cs="Calibri" w:eastAsia="Calibri"/>
          <w:color w:val="auto"/>
          <w:spacing w:val="0"/>
          <w:position w:val="0"/>
          <w:sz w:val="24"/>
          <w:shd w:fill="FFFFFF" w:val="clear"/>
        </w:rPr>
        <w:t xml:space="preserve">doi: 10.1101/2020.12.11.421370</w:t>
      </w:r>
      <w:r>
        <w:rPr>
          <w:rFonts w:ascii="Calibri" w:hAnsi="Calibri" w:cs="Calibri" w:eastAsia="Calibri"/>
          <w:color w:val="auto"/>
          <w:spacing w:val="0"/>
          <w:position w:val="0"/>
          <w:sz w:val="24"/>
          <w:shd w:fill="auto" w:val="clear"/>
        </w:rPr>
        <w:t xml:space="preserve">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6.</w:t>
        <w:tab/>
      </w:r>
      <w:r>
        <w:rPr>
          <w:rFonts w:ascii="Calibri" w:hAnsi="Calibri" w:cs="Calibri" w:eastAsia="Calibri"/>
          <w:color w:val="auto"/>
          <w:spacing w:val="0"/>
          <w:position w:val="0"/>
          <w:sz w:val="24"/>
          <w:shd w:fill="auto" w:val="clear"/>
        </w:rPr>
        <w:t xml:space="preserve">Zhang, Y. et al. Purification and characterization of progenitor and mature human astrocytes reveals transcriptional and functional differences with mouse. </w:t>
      </w:r>
      <w:r>
        <w:rPr>
          <w:rFonts w:ascii="Calibri" w:hAnsi="Calibri" w:cs="Calibri" w:eastAsia="Calibri"/>
          <w:i/>
          <w:color w:val="auto"/>
          <w:spacing w:val="0"/>
          <w:position w:val="0"/>
          <w:sz w:val="24"/>
          <w:shd w:fill="auto" w:val="clear"/>
        </w:rPr>
        <w:t xml:space="preserve">Neuron.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(2016).</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7.</w:t>
        <w:tab/>
      </w:r>
      <w:r>
        <w:rPr>
          <w:rFonts w:ascii="Calibri" w:hAnsi="Calibri" w:cs="Calibri" w:eastAsia="Calibri"/>
          <w:color w:val="auto"/>
          <w:spacing w:val="0"/>
          <w:position w:val="0"/>
          <w:sz w:val="24"/>
          <w:shd w:fill="auto" w:val="clear"/>
        </w:rPr>
        <w:t xml:space="preserve">Sun, W. et al. SOX9 Is an astrocyte-specific nuclear marker in the adult brain outside the neurogenic regions.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37 (17), 4493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4507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8.</w:t>
        <w:tab/>
      </w:r>
      <w:r>
        <w:rPr>
          <w:rFonts w:ascii="Calibri" w:hAnsi="Calibri" w:cs="Calibri" w:eastAsia="Calibri"/>
          <w:color w:val="auto"/>
          <w:spacing w:val="0"/>
          <w:position w:val="0"/>
          <w:sz w:val="24"/>
          <w:shd w:fill="auto" w:val="clear"/>
        </w:rPr>
        <w:t xml:space="preserve">Manuel, M. N., Mi, D., Mason, J. O., Price, D. J. Regulation of cerebral cortical neurogenesis by the Pax6 transcription factor.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9, 70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9.</w:t>
        <w:tab/>
      </w:r>
      <w:r>
        <w:rPr>
          <w:rFonts w:ascii="Calibri" w:hAnsi="Calibri" w:cs="Calibri" w:eastAsia="Calibri"/>
          <w:color w:val="auto"/>
          <w:spacing w:val="0"/>
          <w:position w:val="0"/>
          <w:sz w:val="24"/>
          <w:shd w:fill="auto" w:val="clear"/>
        </w:rPr>
        <w:t xml:space="preserve">Sakurai, K., Osumi, N. The neurogenesis-controlling factor, Pax6, inhibits proliferation and promotes maturation in murine astrocytes.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(18), 4604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10.</w:t>
        <w:tab/>
      </w:r>
      <w:r>
        <w:rPr>
          <w:rFonts w:ascii="Calibri" w:hAnsi="Calibri" w:cs="Calibri" w:eastAsia="Calibri"/>
          <w:color w:val="auto"/>
          <w:spacing w:val="0"/>
          <w:position w:val="0"/>
          <w:sz w:val="24"/>
          <w:shd w:fill="auto" w:val="clear"/>
        </w:rPr>
        <w:t xml:space="preserve">Zhong, S., et al. Decoding the development of the human hippocampus.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577</w:t>
      </w:r>
      <w:r>
        <w:rPr>
          <w:rFonts w:ascii="Calibri" w:hAnsi="Calibri" w:cs="Calibri" w:eastAsia="Calibri"/>
          <w:color w:val="auto"/>
          <w:spacing w:val="0"/>
          <w:position w:val="0"/>
          <w:sz w:val="24"/>
          <w:shd w:fill="auto" w:val="clear"/>
        </w:rPr>
        <w:t xml:space="preserve"> (7791),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11.</w:t>
        <w:tab/>
      </w:r>
      <w:r>
        <w:rPr>
          <w:rFonts w:ascii="Calibri" w:hAnsi="Calibri" w:cs="Calibri" w:eastAsia="Calibri"/>
          <w:color w:val="auto"/>
          <w:spacing w:val="0"/>
          <w:position w:val="0"/>
          <w:sz w:val="24"/>
          <w:shd w:fill="auto" w:val="clear"/>
        </w:rPr>
        <w:t xml:space="preserve">Pollen, A. et al. Molecular identity of human outer radial glia during cortical development.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2"/>
          <w:shd w:fill="FFFFFF" w:val="clear"/>
        </w:rPr>
        <w:t xml:space="preserve">12.</w:t>
        <w:tab/>
      </w:r>
      <w:r>
        <w:rPr>
          <w:rFonts w:ascii="Calibri" w:hAnsi="Calibri" w:cs="Calibri" w:eastAsia="Calibri"/>
          <w:color w:val="auto"/>
          <w:spacing w:val="0"/>
          <w:position w:val="0"/>
          <w:sz w:val="24"/>
          <w:shd w:fill="FFFFFF" w:val="clear"/>
        </w:rPr>
        <w:t xml:space="preserve">Cvekl, A., Callaerts, P. PAX6: 25th anniversary and more to learn. </w:t>
      </w:r>
      <w:r>
        <w:rPr>
          <w:rFonts w:ascii="Calibri" w:hAnsi="Calibri" w:cs="Calibri" w:eastAsia="Calibri"/>
          <w:i/>
          <w:color w:val="auto"/>
          <w:spacing w:val="0"/>
          <w:position w:val="0"/>
          <w:sz w:val="24"/>
          <w:shd w:fill="FFFFFF" w:val="clear"/>
        </w:rPr>
        <w:t xml:space="preserve">Experimental Eye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156</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 (2017).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2"/>
          <w:shd w:fill="FFFFFF" w:val="clear"/>
        </w:rPr>
        <w:t xml:space="preserve">13.</w:t>
        <w:tab/>
      </w:r>
      <w:r>
        <w:rPr>
          <w:rFonts w:ascii="Calibri" w:hAnsi="Calibri" w:cs="Calibri" w:eastAsia="Calibri"/>
          <w:color w:val="auto"/>
          <w:spacing w:val="0"/>
          <w:position w:val="0"/>
          <w:sz w:val="24"/>
          <w:shd w:fill="FFFFFF" w:val="clear"/>
        </w:rPr>
        <w:t xml:space="preserve">Goc, J., Liu, J. Y., Sisodiya, S. M., Thom, M. A spatiotemporal study of gliosis in relation to depth electrode tracks in drug-resistant epilepsy. </w:t>
      </w:r>
      <w:r>
        <w:rPr>
          <w:rFonts w:ascii="Calibri" w:hAnsi="Calibri" w:cs="Calibri" w:eastAsia="Calibri"/>
          <w:i/>
          <w:color w:val="auto"/>
          <w:spacing w:val="0"/>
          <w:position w:val="0"/>
          <w:sz w:val="24"/>
          <w:shd w:fill="FFFFFF" w:val="clear"/>
        </w:rPr>
        <w:t xml:space="preserve">European Journal of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w:t>
      </w:r>
      <w:r>
        <w:rPr>
          <w:rFonts w:ascii="Calibri" w:hAnsi="Calibri" w:cs="Calibri" w:eastAsia="Calibri"/>
          <w:color w:val="auto"/>
          <w:spacing w:val="0"/>
          <w:position w:val="0"/>
          <w:sz w:val="24"/>
          <w:shd w:fill="FFFFFF" w:val="clear"/>
        </w:rPr>
        <w:t xml:space="preserve"> (12), 2151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2162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2"/>
          <w:shd w:fill="FFFFFF" w:val="clear"/>
        </w:rPr>
        <w:t xml:space="preserve">14.</w:t>
        <w:tab/>
      </w:r>
      <w:r>
        <w:rPr>
          <w:rFonts w:ascii="Calibri" w:hAnsi="Calibri" w:cs="Calibri" w:eastAsia="Calibri"/>
          <w:color w:val="auto"/>
          <w:spacing w:val="0"/>
          <w:position w:val="0"/>
          <w:sz w:val="24"/>
          <w:shd w:fill="FFFFFF" w:val="clear"/>
        </w:rPr>
        <w:t xml:space="preserve">Monoranu, C. M. et al. pH measurement as quality control on human post mortem brain tissue: a study of the BrainNet Europe consortium. </w:t>
      </w:r>
      <w:r>
        <w:rPr>
          <w:rFonts w:ascii="Calibri" w:hAnsi="Calibri" w:cs="Calibri" w:eastAsia="Calibri"/>
          <w:i/>
          <w:color w:val="auto"/>
          <w:spacing w:val="0"/>
          <w:position w:val="0"/>
          <w:sz w:val="24"/>
          <w:shd w:fill="FFFFFF" w:val="clear"/>
        </w:rPr>
        <w:t xml:space="preserve">Neuropathology and Applied Neurobiology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(3), 329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337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15.</w:t>
        <w:tab/>
      </w:r>
      <w:r>
        <w:rPr>
          <w:rFonts w:ascii="Calibri" w:hAnsi="Calibri" w:cs="Calibri" w:eastAsia="Calibri"/>
          <w:color w:val="auto"/>
          <w:spacing w:val="0"/>
          <w:position w:val="0"/>
          <w:sz w:val="24"/>
          <w:shd w:fill="auto" w:val="clear"/>
        </w:rPr>
        <w:t xml:space="preserve">Ninkovic, J. et al. The transcription factor Pax6 regulates survival of dopaminergic olfactory bulb neurons via crystallin &amp;#945;A.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682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(2010).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