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Modified Surgical Model of Hind Limb Ischemia in ApoE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Using a Miniature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Kaixuan Yan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Jiaxing Zheng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Frank G. Z&amp;#246;llner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 Kay Schwenke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Prama Pallavi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Michael Keese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Medical Faculty Manheim, Mannheim University Medical Centre, University of Heidelberg, Mannheim,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European Center of Angioscience ECAS, Medical Faculty Mannheim of the University of Heidelberg, Mannheim,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Computer-Assisted Clinical Medicine, Mannheim Institute for Intelligent Systems in Medicine, Medical Faculty Mannheim, Heidelberg University, Mannheim,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Cooperative Core Facility Animal Scanner ZI, Medical Faculty Mannheim, Heidelberg University, Mannheim,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Kaixuan Yan</w:t>
        <w:tab/>
        <w:tab/>
        <w:t xml:space="preserve">(Kaixuan.Yan@medma.uni-heidelberg.de)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Jiaxing Zheng</w:t>
        <w:tab/>
        <w:tab/>
        <w:t xml:space="preserve">(Jiaxing.Zheng@medma.uni-heidelberg.de)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G. Z&amp;#246;llner</w:t>
        <w:tab/>
        <w:t xml:space="preserve">(Frank.Zoellner@medma.uni-heidelberg.de)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Kay Schwenke</w:t>
        <w:tab/>
        <w:tab/>
        <w:t xml:space="preserve">(kay.schwenke@umm.de)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Prama Pallavi</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(Prama.pallavi@medma.uni-heidelberg.de)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Keese</w:t>
        <w:tab/>
        <w:tab/>
        <w:t xml:space="preserve">(Michael.keese@umm.de)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hind limb ischemia model; mice; surgical approach; femoral artery,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an efficient surgical approach to establish acute ischemia in mice with a small incision. This approach can be applied by most research groups without any laboratory upgrades.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is to introduce and evaluate a modified surgical approach to induce acute ischemia in mice that can be implemented in most animal laboratories.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Contrary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conventional approach for double ligation of the femoral artery (DLFA), a smaller incision on the right inguinal region was made to expose the proximal femoral artery (FA) to perform DLFA. Then, using a 7-0 suture, the incision was dragged to the knee region to expose the distal FA. Magnetic resonance imaging (MRI) on bilateral hind limbs was used to detect FA blockage after the surgery. At 0, 1, 3, 5, and 7 days after the surgery, functional recovery of the hind limbs was visually assessed and graded using the Tarlov scale. Histologic evaluation was performed after euthanizing the animals 7 days after DLFA. The procedures were successfully performed on the right leg in ten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and no mice died during subsequent observation. The incision sizes in all 10 mice were all less than 5 mm (4.2 &amp;plusmn; 0.63 mm). MRI results showed that FA blood flow in the ischemic side was clearly blocked. The Tarlov scale results demonstrated that hind limb function significantly decreased after the procedure and slowly recovered over the following 7 days. Histologic evaluation showed a significant inflammatory response on the ischemic side and reduced microvascular density in the ischemic hind limb. In conclusion, this study introduces a modified technique using a miniature incision to perform hind limb ischemia (HLI) using DLFA.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unmet need for preclinical animal models for research in vascular diseases such as peripheral artery disease (PAD). Despite the advanced developments in diagnosis and treatment, there were more than 200 million patients with PAD in 2018</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their number is constantly increasing. Although several novel therapeutic approaches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have been described, successful translation of these therapeutic modalities into clinical application remains a daunting task. Therefore, reliable and relevant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experimental models simulating the human disease condition are required to investigate the potential mechanism and efficiency of these new therapeutic approaches to treat PAD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Hyperlipidemia and atherosclerosis (AS) are the main risk factors for the development of PAD.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(on a high-fat diet) display abnormal fat metabolism and hyperlipidemia and subsequently develop atherosclerotic plaques rendering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as the best choice to simulate the clinically relevant PAD. Preclinical HLI animal models are generated through double ligation of the femoral artery (DLFA), which is the most widely used approach in laboratories all over the world</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rPr>
        <w:t xml:space="preserve"> to simulate acute-on-chronic ischemia. However, this approach usually requires a relatively large and invasive incision. Furthermore, it inevitably leads to the animals (especially mice) suffering from increased pain injury and inflammation, which also influences the subsequent experimental results</w:t>
      </w:r>
      <w:r>
        <w:rPr>
          <w:rFonts w:ascii="Calibri" w:hAnsi="Calibri" w:cs="Calibri" w:eastAsia="Calibri"/>
          <w:color w:val="auto"/>
          <w:spacing w:val="0"/>
          <w:position w:val="0"/>
          <w:sz w:val="24"/>
          <w:shd w:fill="auto" w:val="clear"/>
          <w:vertAlign w:val="superscript"/>
        </w:rPr>
        <w:t xml:space="preserve">5,6,16,17</w:t>
      </w:r>
      <w:r>
        <w:rPr>
          <w:rFonts w:ascii="Calibri" w:hAnsi="Calibri" w:cs="Calibri" w:eastAsia="Calibri"/>
          <w:color w:val="auto"/>
          <w:spacing w:val="0"/>
          <w:position w:val="0"/>
          <w:sz w:val="24"/>
          <w:shd w:fill="auto" w:val="clear"/>
        </w:rPr>
        <w:t xml:space="preserve">. This paper describes an acute-on-chronic HLI model in APOE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by using a very small incision.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experimental procedures were approved by the University Committee on animal care of Heidelberg University (G-239/18) and were performed according to the NIH guideline for the care and use of laboratory animals. Ten male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with the C57BL/6J background, weighing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g, were housed on a 12 h light/dark cycle and fed a western diet (1.25% cholesterol and 21% fat)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for 12 weeks from the age of 8 weeks. HLI was performed on 20-week-old mice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Induction of HLI in ApoE</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mice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the required equipment and tools for surgery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auto" w:val="clear"/>
        </w:rPr>
        <w:t xml:space="preserve">Anesthetize the mouse with a subcutaneous injection (S.C.) of a mixture of midazolam (5 mg/kg), medetomidine (0.05 mg/ml/kg), and fentanyl (0.5 mg/kg) before all surgical procedures.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r>
      <w:r>
        <w:rPr>
          <w:rFonts w:ascii="Calibri" w:hAnsi="Calibri" w:cs="Calibri" w:eastAsia="Calibri"/>
          <w:color w:val="auto"/>
          <w:spacing w:val="0"/>
          <w:position w:val="0"/>
          <w:sz w:val="24"/>
          <w:shd w:fill="auto" w:val="clear"/>
        </w:rPr>
        <w:t xml:space="preserve">After onset of anesthesia, </w:t>
      </w:r>
      <w:r>
        <w:rPr>
          <w:rFonts w:ascii="Calibri" w:hAnsi="Calibri" w:cs="Calibri" w:eastAsia="Calibri"/>
          <w:color w:val="auto"/>
          <w:spacing w:val="0"/>
          <w:position w:val="0"/>
          <w:sz w:val="24"/>
          <w:shd w:fill="FFFF00" w:val="clear"/>
        </w:rPr>
        <w:t xml:space="preserve">use the vet ointment</w:t>
      </w:r>
      <w:r>
        <w:rPr>
          <w:rFonts w:ascii="Calibri" w:hAnsi="Calibri" w:cs="Calibri" w:eastAsia="Calibri"/>
          <w:color w:val="auto"/>
          <w:spacing w:val="0"/>
          <w:position w:val="0"/>
          <w:sz w:val="24"/>
          <w:shd w:fill="auto" w:val="clear"/>
        </w:rPr>
        <w:t xml:space="preserve"> on the eyes to prevent dryness, and confirm the absence of </w:t>
      </w:r>
      <w:r>
        <w:rPr>
          <w:rFonts w:ascii="Calibri" w:hAnsi="Calibri" w:cs="Calibri" w:eastAsia="Calibri"/>
          <w:color w:val="auto"/>
          <w:spacing w:val="0"/>
          <w:position w:val="0"/>
          <w:sz w:val="24"/>
          <w:shd w:fill="FFFFFF" w:val="clear"/>
        </w:rPr>
        <w:t xml:space="preserve">the pedal withdrawal reflex in the forelimb and hind limb. </w:t>
      </w:r>
    </w:p>
    <w:p>
      <w:pPr>
        <w:spacing w:before="0" w:after="0" w:line="240"/>
        <w:ind w:right="0" w:left="0" w:firstLine="48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auto"/>
          <w:spacing w:val="0"/>
          <w:position w:val="0"/>
          <w:sz w:val="24"/>
          <w:shd w:fill="FFFFFF" w:val="clear"/>
        </w:rPr>
        <w:t xml:space="preserve">Afterwards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mouse on a heating pad to keep the core body temperature at approximately 37 &amp;#176;C. Using cotton swab and hair removal cream, carefully remove hair from the hind limb skin on the right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Lay the mouse in the supine position on the heating pad under a dissecting microscope. Use alcohol wipes to clean the skin of the mouse. Afterwards, use pointed forceps and surgical scissors to make an approximately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incision in the middle of the inguinal region.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 schematic of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Remove the subcutaneous fat tissue carefully with help of fine pointed forceps to expose the proximal femoral neurovascular bundle. Carefully use the fine pointed forceps to pierce the membrane of the femoral sheath. Use a cotton swab moistened with saline to move the femoral artery (FA) carefully away from the femoral nerve (FN) and femoral vein (FV).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Pass two 7-0 absorbable sutures through the proximal FA, and make double knots using spring scissors to transect the FA between the two ties.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To expose the distal FA, pass a 7-0 absorbable suture through the lower edge of the incision and gently drag the incision to the region of the right side of the knee of the hind limb.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Move the subcutaneous tissue aside carefully to expose the neurovascular bundle. Use fine pointed forceps to pierce the membrane of the femoral sheath, and dissect the FA from the FV and FN.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Pass two 7-0 absorbable sutures through the distal FA, and make double knots. Use spring scissors to transect the FA between the two ties.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ligation was performed on the left limb, which served as a control in each mouse.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Afterwards, use 6-0 absorbable sutures to stitch the incision. Place the mouse on a heating pad in a clean cage, and continue to monitor its breathing and heartbeat until it fully recovers.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Magnetic resonance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day after DLFA, the mice must undergo MRI scans to assess FA blockage.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mouse in a transparent induction chamber, and </w:t>
      </w:r>
      <w:r>
        <w:rPr>
          <w:rFonts w:ascii="Calibri" w:hAnsi="Calibri" w:cs="Calibri" w:eastAsia="Calibri"/>
          <w:color w:val="auto"/>
          <w:spacing w:val="0"/>
          <w:position w:val="0"/>
          <w:sz w:val="24"/>
          <w:shd w:fill="auto" w:val="clear"/>
        </w:rPr>
        <w:t xml:space="preserve">anesthetize the mouse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isoflurane in ambient air until loss of righting reflex.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the mouse on a heated animal bed equipped with a bite holder and positioned toward the magnet with a laser-controlled system. Maintain the body temperature at 37 &amp;plusmn; 1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auto" w:val="clear"/>
        </w:rPr>
        <w:t xml:space="preserve">During image acquisition, maintain anesthesia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isoflurane in ambient air, </w:t>
      </w:r>
      <w:r>
        <w:rPr>
          <w:rFonts w:ascii="Calibri" w:hAnsi="Calibri" w:cs="Calibri" w:eastAsia="Calibri"/>
          <w:color w:val="auto"/>
          <w:spacing w:val="0"/>
          <w:position w:val="0"/>
          <w:sz w:val="24"/>
          <w:shd w:fill="FFFF00" w:val="clear"/>
        </w:rPr>
        <w:t xml:space="preserve">and monitor the respiration using a pressure probe.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Acquire images in the transverse slice orientation using a three-dimensional (3D) time of flight (TOF) angiography sequence with parameter echo time (TE)/repetition time (TR)/flip angle (FA) = 2 ms/12 ms/13&amp;#176;, four averages, an acquisition matrix of 178 x 144 reconstructed to 256 x 192 and 121 slices, resulting in an isotropic resolution of 0.15 mm³. To suppress the signal from the veins, place a saturation slice distally to the hind limbs.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Clinical evaluation and follow-up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Estimate the functional recovery in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days after the surgery by using the functional scoring Tarlov scale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Histologic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Seven days after the surgery, apply pentobarbital injection (115 mg/kg) to euthanize the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Perfuse phosphate-buffered saline (PBS) containing 1% paraformaldehyde (PFA) through the left cardiac ventricle (100 mL per mouse). Fix the bilateral gastrocnemius (Gm) of the mice in 4% PFA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Embed the sample in paraffin according to the previously described protocol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Cut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5-&amp;#181;m-thick sections of the paraffin-embedded tissue block on a microtome. With the help of a round paint brush, place the cut tissue sections in the water bath maintained at 42&amp;#176;C.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Insert the microscope slide into the water at a 45&amp;#176; angle, and carefully position it underneath the group of sections to be collected.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Carefully lift the slide from the water, and allow the sections to attach to the slide and dry overnight on the benchtop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Perform hematoxylin/eosin (HE) staining of the paraffin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Place the slides containing the sections in slide holders. Prepare 3 containers of fresh xylene, and place the slides in each container for 5 min to deparaffinize the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Rehydrate the sections by dipping the slices successively in 96%, 80%, 70%, 50%, 30% ethanol, and deionized water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Stain in hematoxylin solution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Transfer the slices to a container of deionized water and rinse by placing under running tap water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Using a microscope, check the intensity of hematoxylin staining. If the staining enables identification of the cell nuclei clearly, continue to the next step. If the staining intensity does not facilitate identification of cell nuclei or if the intensity of staining is faint, place the slide in the hematoxylin solution for 1 min, repeat the washing with water (step 4.4.4), and then check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Counterstain in eosin-Y solution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Dehydrate the sections by dipping the slices successively into containers containing deionized water and 30%, 50%, 70%, 80%, and 96% ethanol successively for a duration 10 s each. Next, place the sections sequentially in three containers of fresh xylene for 10 s each.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Place the slides horizontally on microscopic slide storage maps with the sections facing upwards. Add enough mounting medium on the slide, and mount the slides with coverslips.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Perform the immunohistochemical (IHC) staining of the paraffin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Repeat deparaffinization and rehydration steps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Then, immerse the sections in a container with 10 mM sodium citrate buffer, pH 6, and bring the sample to a boil in a microwave.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over- or under-heating of samples can cause inconsistent staining, maintain the temperature at just below the boiling point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Next, cool the sections on a benchtop for 30 min. Thereafter, wash the sections in PBS three times for 5 min. Carefully dry the area around the sample, and draw a large circle around the sample using a hydrophobic pen.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Never touch the sample. Marking with a hydrophobic pen creates a hydrophobic boundary, which facilitates the use of a smaller volume of antibody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Quench endogenous peroxidase activity by placing the section in 0.3%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PBS for 10 min. Block sections with 400 &amp;#181;L of block buffer (PBS contain 3% bovine serum albumin and 0.3% of non-ionic detergent) for 1 h at room temperature in a humidified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Wash the sections in PBS for 5 min. Next, add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&amp;#181;L of diluted anti-CD31 antibody (1:250) enough to cover the section.  Following this, incubate sections overnight at 4 &amp;#176;C in a humidified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section is completely covered with the antibody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w:t>
        <w:tab/>
        <w:t xml:space="preserve">Remove the primary antibody, and wash the sections thrice in PBS for a duration of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4.5.6.</w:t>
        <w:tab/>
        <w:t xml:space="preserve">Prepare the 3, 3'-diaminobenzidine (DAB) mixture by adding 1 drop of the DAB concentrate to 1 mL of the DAB diluent, and mix well. Afterwards, add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&amp;#181;L of DAB mixture to the sections, and monitor closely by eye for 2 min until an acceptable staining intensity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section is completely covered with the DAB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4.5.7.</w:t>
        <w:tab/>
        <w:t xml:space="preserve">Afterwards, rinse under running tap water for 5 min. Perform hematoxylin staining as described in steps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4.5.8.</w:t>
        <w:tab/>
        <w:t xml:space="preserve">Perform eosin-Y staining described in step 4.4.6. Perform dehydration steps described in step 4.4.7.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4.5.9.</w:t>
        <w:tab/>
        <w:t xml:space="preserve">Mounted the sections with coverslips by using mounting medium. Use ImageJ to estimate the percent of CD31 positive area (%) in 5 randomly selected fields (40x) that can be regarded as microvascular density as previously described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statistical analysis software to express the results as mean &amp;plusmn; standard deviation and to perform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on the comparisons. Consider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to be statistically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Characteristics of ApoE</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DLFA surgeries were successfully performed on 10 mice to establish the HLI model, and none of the mice died after the procedure. To follow changes in body weight, mice were weighed before the DLFA procedure (Pre-DLFA) and 7 days after the DLFA surgery (Post-DLFA). Pre-DLFA weights ranged from 29.6 to 38.0 g (mean 34.74 &amp;plusmn; 2.47 g), and post-DLFA weights ranged from 26.5 to 34.1 g (mean 30.77 &amp;plusmn; 2.15 g), which were significantly lower than the pre-DLFA weights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time for the surgery ranged from 15 to 47 min (mean 34.2 &amp;plusmn; 8.82 min, not including the anesthesia time). The incision size in 10 mice ranged from 3 to 5 mm (mean 4.2 &amp;plusmn; 0.63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MRI scan and functional recovery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MRI scans very clearly indicated that the proximal and distal regions of the right FA showed no perfusion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indicating the success of this method. One day after the surgery, the Tarlov Scale results were significantly decreased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 Although the results slowly increased over the following days, they were still lower than baseline until day 7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trends are consistent with previous reports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No necrosis or gangrenous tissue development were observed in the bilateral sides of the hind limbs of any mice. However, the paws of the ischemic hind limbs in 7 mice were unable to stretch naturally compared to the contralateral side. In addition, paws of the ischemic hind limbs in 4 mice exhibited slight discoloration compared to the contralateral side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Histological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HE staining of the right Gm muscle, myofibers exhibited irregular ischemic necrosis. Proliferating satellite cells had replaced the necrotic myofibers and were distributed in a mass and/or with irregular dispersion. Myofibers exhibited inflammatory infiltration by multinucleated macrophages. Myofibers in the inflammatory regions had lost their normal morphological characteristics, and there were few regenerated myofibers. Transverse sections of these regenerated myofibers were round, the cytoplasm was stained red, and one small nucleus or multiple nuclei were located at the center. In contrast, this kind of inflammatory pattern was not observed in the left Gm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CD31 antibody staining was performed to identify endothelial cells of the vessel in the Gm samples, and ImageJ was used to evaluate the CD31-positive area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surrogate for microvascular density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each of five fields of view (40x) for each sample. Ischemic hind limbs exhibited significantly more microvascular density than the non-ischemic side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Equipment and tools required for the experiment.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Dissecting microscope and heating pad required for the surgery.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Surgical tools: 1. 7-0 and 6-0 absorbable sutures, 2. needle holder, 3. toothless forceps, 4. spring scissors, 5. fine pointed forceps, 6. pointed forceps, and 7. surgical scissors.</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illustration of the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small incision is made on the inguinal region to expose the proximal femoral A, which is ligated.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6-0 suture is used to drag the incision to the knee region to expose the distal Femoral A, which is ligated.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Stitching of the incision. Abbreviations: Femoral A = femoral artery; Femoral N = femoral nerve; Femoral V = femoral vein.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Characteristics of the PAD mouse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the body weight before and 7 days after DLFA.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Functional recovery evaluated by the Tarlov Scale.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Magnetic resonance angiography indicates the proximal and distal FA in the left hind limb (white arrow), and on the right side, the proximal and distal FA disappear.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Changes in the appearance of the bilateral hind limb of mice No. 2 and No. 4, 1 and 7 days after DLFA. Values shown are mean &amp;plusmn; standard deviation.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0.00001;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PAD = peripheral artery disease; DLFA = double ligation of the femoral artery; FA = femoral artery; L = left; R =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HE staining of the gastrocnemius muscle.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Low-magnification image showing HE staining of the right Gm 7 days after the DLFA procedure. Inflammation was observed in the right Gm.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right Gm, necrotic myofibers exhibited inflammatory infiltration by macrophages (white arrow). The muscle fibers lose their normal morphological characteristics. There were very few regenerated myofibers (black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 staining of normal myofibers of the right Gm.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contralateral/left Gm (nonischemic) muscle shows a normal histologic pattern. Scale bars: A = 200 &amp;#181;m,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 50 &amp;#181;m. Abbreviations: HE = hematoxylin-eosin; DLFA = double ligation of the femoral artery; Gm = gastrocnemius; L = left; R=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the microvascular density of bilateral gastrocnemius muscle.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CD31-IHC staining of right Gm section (black arrows).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CD31-IHC staining of left Gm section (black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the microvascular density of the right side, which was much less than that on the left side. Values shown are mean &amp;plusmn; standard deviation.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0.00001;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Scale bars: A, B = 20 &amp;#181;m. Abbreviations: CD31 = cluster of differentiation 31; IHC = immunohistochemical; Gm = gastrocnemius.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Functional Scoring.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Summary of 25 papers from the current literature on the establishment of the PAD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reports a modified, simplified, and surgically efficient approach to establish an HLI model in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using double ligation in the proximal and distal regions of the FA through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incision without any required laboratory upgrades. The main characteristic of this method is the smaller size of the incision compared to previously reported studies describing mouse HLI models</w:t>
      </w:r>
      <w:r>
        <w:rPr>
          <w:rFonts w:ascii="Calibri" w:hAnsi="Calibri" w:cs="Calibri" w:eastAsia="Calibri"/>
          <w:color w:val="auto"/>
          <w:spacing w:val="0"/>
          <w:position w:val="0"/>
          <w:sz w:val="24"/>
          <w:shd w:fill="auto" w:val="clear"/>
          <w:vertAlign w:val="superscript"/>
        </w:rPr>
        <w:t xml:space="preserve">8-12,15,20,22-24</w:t>
      </w:r>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an incision has been made from the knee to the media tight, inguinal, or even the abdomen for better exposure, ranging from 0.5 to 2 cm or more</w:t>
      </w:r>
      <w:r>
        <w:rPr>
          <w:rFonts w:ascii="Calibri" w:hAnsi="Calibri" w:cs="Calibri" w:eastAsia="Calibri"/>
          <w:color w:val="auto"/>
          <w:spacing w:val="0"/>
          <w:position w:val="0"/>
          <w:sz w:val="24"/>
          <w:shd w:fill="auto" w:val="clear"/>
          <w:vertAlign w:val="superscript"/>
        </w:rPr>
        <w:t xml:space="preserve">9,11,15,19,22,25,26</w:t>
      </w:r>
      <w:r>
        <w:rPr>
          <w:rFonts w:ascii="Calibri" w:hAnsi="Calibri" w:cs="Calibri" w:eastAsia="Calibri"/>
          <w:color w:val="auto"/>
          <w:spacing w:val="0"/>
          <w:position w:val="0"/>
          <w:sz w:val="24"/>
          <w:shd w:fill="auto" w:val="clear"/>
        </w:rPr>
        <w:t xml:space="preserve"> (summarized in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This paper describes a surgical technique to achieve DLFA and as a result, HLI, in mice with an incision &amp;lt; 5 mm (4.2 &amp;plusmn; 0.63 mm). The FA was ligated before it branches into the popliteal artery and saphenous artery, causing ischemia in several muscle groups in the hind limb and resulting in moderate stress in mice. Although mice recovered functionally by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post-operation (Tarlov score day before operation 6 &amp;plusmn; 0,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day after the operation 3.9 &amp;plusmn; 0.99 vs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after the operation 5.2 &amp;plusmn; 0.92), ischemic damage was observed in Gm at the histological level. First, Gm in the ischemic leg myofibers exhibited irregular ischemic necrosis and were infiltrated by multinucleated macrophages, similar to what has been reported in PAD patients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Despite myofiber atrophy, a few regenerated myofibers were also observed, which is in line to a previous report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microvascular density in the ischemic Gm on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after ligation was higher than in the non-ischemic leg, which has also been reported by Ministro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recent focus in PAD therapy is not just limited to increase microvascular density compared to the non-ischemic side, but also on the restoration of ischemia-induced loss of viable muscle tissue, which supports new vessel formation by providing a matrix of growth factors and biomechanical support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Thus, this model also gives a wide window to test the effectiveness of new therapies with these foci. Furthermore, achieving HLI with smaller incision fits with the 3R concept of animal experimentation as a refinement of the surgical procedure, i.e., the small skin incisional size decreases the trauma and postoperative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ideal animal model also provides a relatively long therapeutic window. Various surgical procedures for establishing ischemia in mice have been reported and applied, and they exert different effects on blood flow restoration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induction of HLI, surgical methods normally focus on the iliac artery</w:t>
      </w:r>
      <w:r>
        <w:rPr>
          <w:rFonts w:ascii="Calibri" w:hAnsi="Calibri" w:cs="Calibri" w:eastAsia="Calibri"/>
          <w:color w:val="auto"/>
          <w:spacing w:val="0"/>
          <w:position w:val="0"/>
          <w:sz w:val="24"/>
          <w:shd w:fill="auto" w:val="clear"/>
          <w:vertAlign w:val="superscript"/>
        </w:rPr>
        <w:t xml:space="preserve">12,19,23,32</w:t>
      </w:r>
      <w:r>
        <w:rPr>
          <w:rFonts w:ascii="Calibri" w:hAnsi="Calibri" w:cs="Calibri" w:eastAsia="Calibri"/>
          <w:color w:val="auto"/>
          <w:spacing w:val="0"/>
          <w:position w:val="0"/>
          <w:sz w:val="24"/>
          <w:shd w:fill="auto" w:val="clear"/>
        </w:rPr>
        <w:t xml:space="preserve">, femoral artery</w:t>
      </w:r>
      <w:r>
        <w:rPr>
          <w:rFonts w:ascii="Calibri" w:hAnsi="Calibri" w:cs="Calibri" w:eastAsia="Calibri"/>
          <w:color w:val="auto"/>
          <w:spacing w:val="0"/>
          <w:position w:val="0"/>
          <w:sz w:val="24"/>
          <w:shd w:fill="auto" w:val="clear"/>
          <w:vertAlign w:val="superscript"/>
        </w:rPr>
        <w:t xml:space="preserve">24,33,34</w:t>
      </w:r>
      <w:r>
        <w:rPr>
          <w:rFonts w:ascii="Calibri" w:hAnsi="Calibri" w:cs="Calibri" w:eastAsia="Calibri"/>
          <w:color w:val="auto"/>
          <w:spacing w:val="0"/>
          <w:position w:val="0"/>
          <w:sz w:val="24"/>
          <w:shd w:fill="auto" w:val="clear"/>
        </w:rPr>
        <w:t xml:space="preserve">, and their branches</w:t>
      </w:r>
      <w:r>
        <w:rPr>
          <w:rFonts w:ascii="Calibri" w:hAnsi="Calibri" w:cs="Calibri" w:eastAsia="Calibri"/>
          <w:color w:val="auto"/>
          <w:spacing w:val="0"/>
          <w:position w:val="0"/>
          <w:sz w:val="24"/>
          <w:shd w:fill="auto" w:val="clear"/>
          <w:vertAlign w:val="superscript"/>
        </w:rPr>
        <w:t xml:space="preserve">11,35</w:t>
      </w:r>
      <w:r>
        <w:rPr>
          <w:rFonts w:ascii="Calibri" w:hAnsi="Calibri" w:cs="Calibri" w:eastAsia="Calibri"/>
          <w:color w:val="auto"/>
          <w:spacing w:val="0"/>
          <w:position w:val="0"/>
          <w:sz w:val="24"/>
          <w:shd w:fill="auto" w:val="clear"/>
        </w:rPr>
        <w:t xml:space="preserve">, some including the femoral vein as well</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As the level of vascular ligation has no effect on blood flow restoration, the deciding factor is the extent of injury in the vascular tree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a single ligation of the femoral or iliac artery, a small incision is made in the inguinal or abdominal region, while the other branch interactions are still maintained, and the perfusion restoration in the mouse hind limb recovers completely within 7 days</w:t>
      </w:r>
      <w:r>
        <w:rPr>
          <w:rFonts w:ascii="Calibri" w:hAnsi="Calibri" w:cs="Calibri" w:eastAsia="Calibri"/>
          <w:color w:val="auto"/>
          <w:spacing w:val="0"/>
          <w:position w:val="0"/>
          <w:sz w:val="24"/>
          <w:shd w:fill="auto" w:val="clear"/>
          <w:vertAlign w:val="superscript"/>
        </w:rPr>
        <w:t xml:space="preserve">21,38</w:t>
      </w:r>
      <w:r>
        <w:rPr>
          <w:rFonts w:ascii="Calibri" w:hAnsi="Calibri" w:cs="Calibri" w:eastAsia="Calibri"/>
          <w:color w:val="auto"/>
          <w:spacing w:val="0"/>
          <w:position w:val="0"/>
          <w:sz w:val="24"/>
          <w:shd w:fill="auto" w:val="clear"/>
        </w:rPr>
        <w:t xml:space="preserve">. Thus, a single ligation is not sufficient in terms of providing a suitable therapeutic window to test the effects of different treatments. If branches from the FA also need to be ligated, the skin incision must be made even larger, which lengthens the surgical time. Therefore, HLI by DLFA in mouse offers a suitable therapeutic window in which the improvements induced by therapy can be efficiently monitored</w:t>
      </w:r>
      <w:r>
        <w:rPr>
          <w:rFonts w:ascii="Calibri" w:hAnsi="Calibri" w:cs="Calibri" w:eastAsia="Calibri"/>
          <w:color w:val="auto"/>
          <w:spacing w:val="0"/>
          <w:position w:val="0"/>
          <w:sz w:val="24"/>
          <w:shd w:fill="auto" w:val="clear"/>
          <w:vertAlign w:val="superscript"/>
        </w:rPr>
        <w:t xml:space="preserve">9,21,22,25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 clinically relevant HLI animal model is important to test the efficiency of novel therapeutic approaches, i.e., cell, stem cell, or gene therapy for PAD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Several PAD models have been developed in mice</w:t>
      </w:r>
      <w:r>
        <w:rPr>
          <w:rFonts w:ascii="Calibri" w:hAnsi="Calibri" w:cs="Calibri" w:eastAsia="Calibri"/>
          <w:color w:val="auto"/>
          <w:spacing w:val="0"/>
          <w:position w:val="0"/>
          <w:sz w:val="24"/>
          <w:shd w:fill="auto" w:val="clear"/>
          <w:vertAlign w:val="superscript"/>
        </w:rPr>
        <w:t xml:space="preserve">15,21</w:t>
      </w:r>
      <w:r>
        <w:rPr>
          <w:rFonts w:ascii="Calibri" w:hAnsi="Calibri" w:cs="Calibri" w:eastAsia="Calibri"/>
          <w:color w:val="auto"/>
          <w:spacing w:val="0"/>
          <w:position w:val="0"/>
          <w:sz w:val="24"/>
          <w:shd w:fill="auto" w:val="clear"/>
        </w:rPr>
        <w:t xml:space="preserve">, rats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rabbits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Del Giudice and colleagues established a rabbit hindlimb ischemia model created by percutaneous, transauricular, distal femoral artery embolization with calibrated particles that may overcome some of the limitations of existing animal models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Liddell et al.</w:t>
      </w:r>
      <w:r>
        <w:rPr>
          <w:rFonts w:ascii="Calibri" w:hAnsi="Calibri" w:cs="Calibri" w:eastAsia="Calibri"/>
          <w:color w:val="auto"/>
          <w:spacing w:val="0"/>
          <w:position w:val="0"/>
          <w:sz w:val="24"/>
          <w:shd w:fill="auto" w:val="clear"/>
          <w:vertAlign w:val="superscript"/>
        </w:rPr>
        <w:t xml:space="preserve">41 </w:t>
      </w:r>
      <w:r>
        <w:rPr>
          <w:rFonts w:ascii="Calibri" w:hAnsi="Calibri" w:cs="Calibri" w:eastAsia="Calibri"/>
          <w:color w:val="auto"/>
          <w:spacing w:val="0"/>
          <w:position w:val="0"/>
          <w:sz w:val="24"/>
          <w:shd w:fill="auto" w:val="clear"/>
        </w:rPr>
        <w:t xml:space="preserve">also created a rabbit PAD model by coiling the superficial FA through an endovascular approach, resulting in reduced hind limb reperfusion. Although larger animals, such as rabbits, may yield more convincing results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thus taking the therapies a step closer to clinical application, they require increased cost and time to obtain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heterogeneous risk profile of most patients with PAD, including hereditary and behavioral factors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exhibit abnormal fat metabolism and hyperlipidemia symptoms, such as total cholesterol, triglycerides, very-low-density lipoprotein, and intermediate-density lipoprotein, replicating some of the main characteristics observed in patients with PAD. Furthermore, with the high-fat diet, these indicators significantly increase. Lo Sasso et al. reported that in these mice, arterial fat accumulation occurs at 3 months of age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,and that an increase in AS lesions occurs with advancing age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Thus,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particularly well-suited for the acute-on-chronic ischemia-PAD model because they recapitulate the hypercholesterolemia commonly present in patients with PAD and provide a suitable platform to evaluate various therapies targeted at promoting neovascularization of ischemic limbs. Furthermore, the price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performance ratio of testing novel therapies with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is unbeatable.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advantages mentioned in the above paragraphs, there are two limitations to this model. First, mastering this method requires the experimenter to have sufficient microsurgical experience and familiarity with the anatomy of the mouse hind limb. Second, the limited surgical exposure and the amount of subcutaneous fat tissue in the hind limb of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increase the surgical difficulty. Therefore, some related practice is required for successful implementation of this technique. In conclusion, this study reports a modified and easy-to-implement, surgically efficient approach for establishing an HLI model in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using a small incision. The small incision significantly reduces trauma to the animal and can be applied by most research groups without any laboratory upgrades.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article content was composed in the absence of any commercial or financial relationships that could be construed as a potential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thank Viktoria Skude, Alexander Schlund, and Felix H&amp;#246;rner for the excellent technical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Shu, J., Santulli, G. Update on peripheral artery disease: Epidemiology and evidence-based facts.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Tateishi-Yuyama,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Therapeutic angiogenesis for patients with limb ischaemia by autologous transplantation of bone-marrow cells: a pilot study and a randomised controlled trial.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(9331),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Wang, Z.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Efficacy of autologous bone marrow mononuclear cell therapy in patients with peripheral arterial disease. </w:t>
      </w:r>
      <w:r>
        <w:rPr>
          <w:rFonts w:ascii="Calibri" w:hAnsi="Calibri" w:cs="Calibri" w:eastAsia="Calibri"/>
          <w:i/>
          <w:color w:val="auto"/>
          <w:spacing w:val="0"/>
          <w:position w:val="0"/>
          <w:sz w:val="24"/>
          <w:shd w:fill="auto" w:val="clear"/>
        </w:rPr>
        <w:t xml:space="preserve">Journal of Atherosclerosis and Thrombosis.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Botham, C. M., Bennett, W. L., Cooke, J. P. Clinical trials of adult stem cell therapy for peripheral artery disease. </w:t>
      </w:r>
      <w:r>
        <w:rPr>
          <w:rFonts w:ascii="Calibri" w:hAnsi="Calibri" w:cs="Calibri" w:eastAsia="Calibri"/>
          <w:i/>
          <w:color w:val="auto"/>
          <w:spacing w:val="0"/>
          <w:position w:val="0"/>
          <w:sz w:val="24"/>
          <w:shd w:fill="auto" w:val="clear"/>
        </w:rPr>
        <w:t xml:space="preserve">Methodist Debakey Cardiovascular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Weel,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Vascular endothelial growth factor overexpression in ischemic skeletal muscle enhances myoglobin expression in vivo.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Olea, F.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Vascular endothelial growth factor overexpression does not enhance adipose stromal cell-induced protection on muscle damage in critical limb ischemia.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Peeters Weem, S. M. O., Teraa, M., de Borst, G. J., Verhaar, M. C., Moll, F. L. Bone marrow derived cell therapy in critical limb ischemia: a meta-analysis of randomized placebo controlled trials.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Crawford, R. S. et al. Divergent systemic and local inflammatory response to hind limb demand ischemia in wild-type and ApoE-/- mice.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(2), 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Niiyama, H., Huang, N. F., Rollins, M. D., Cooke, J. P. Murine model of hindlimb ischemia.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(23), 1035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Brenes, R. A. et al. Toward a mouse model of hind limb ischemia to test therapeutic angiogenesis.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1669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1679; discussion 1679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Peck,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functional murine model of hindlimb demand ischemia. </w:t>
      </w:r>
      <w:r>
        <w:rPr>
          <w:rFonts w:ascii="Calibri" w:hAnsi="Calibri" w:cs="Calibri" w:eastAsia="Calibri"/>
          <w:i/>
          <w:color w:val="auto"/>
          <w:spacing w:val="0"/>
          <w:position w:val="0"/>
          <w:sz w:val="24"/>
          <w:shd w:fill="auto" w:val="clear"/>
        </w:rPr>
        <w:t xml:space="preserve">Annals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Lejay,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murine model of sustainable and durable chronic critical limb ischemia fairly mimicking human pathology.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Nagase, H., Yao, S., Ikeda, S. Acute and chronic effects of exercise on mRNA expression in the skeletal muscle of two mouse models of peripheral artery disease.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e0182456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Hydrogen molecules (H2) improve perfusion recovery via antioxidant effects in experimental peripheral arterial disease.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5009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Yu, J., Dardik, A. A murine model of hind limb ischemia to study angiogenesis and arteriogenesis.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1717</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Pu, L. Q. et al. Enhanced revascularization of the ischemic limb by angiogenic therapy.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208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Takeshita, S. et al. Therapeutic angiogenesis. A single intraarterial bolus of vascular endothelial growth factor augments revascularization in a rabbit ischemic hind limb model.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Tarlov, I. M. Spinal cord compression studies. III. Time limits for recovery after gradual compression in dogs. </w:t>
      </w:r>
      <w:r>
        <w:rPr>
          <w:rFonts w:ascii="Calibri" w:hAnsi="Calibri" w:cs="Calibri" w:eastAsia="Calibri"/>
          <w:i/>
          <w:color w:val="auto"/>
          <w:spacing w:val="0"/>
          <w:position w:val="0"/>
          <w:sz w:val="24"/>
          <w:shd w:fill="auto" w:val="clear"/>
        </w:rPr>
        <w:t xml:space="preserve">AMA Archives of Neurology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Westvik, 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Limb ischemia after iliac ligation in aged mice stimulates angiogenesis without arteriogenesis.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Hellingman,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Variations in surgical procedures for hind limb ischaemia mouse models result in differences in collateral formation.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CRISPR/Cas9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hypoxia inducible factor</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1&amp;#945; knockout enhances the antitumor effect of transarterial embolization in hepatocellular carcinoma.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2547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Padgett, M. E., McCord, T. J., McClung, J. M., Kontos, C. D. Methods for acute and subacute murine hindlimb ischemia.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(112), 54166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Pellegrin,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Experimental peripheral arterial disease: new insights into muscle glucose uptake, macrophage, and T-cell polarization during early and late stages.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e00234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VEGF-loaded graphene oxide as theranostics for multi-modality imaging-monitored targeting therapeutic angiogenesis of ischemic muscle.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 6857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Craige, S. M. et al. NADPH oxidase 4 promotes endothelial angiogenesis through endothelial nitric oxide synthase activation.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(6),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Kant,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Neural JNK3 regulates blood flow recovery after hindlimb ischemia in mice via an Egr1/Creb1 axis.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4223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Chevalier, J. et al. Obstruction of small arterioles in patients with critical limb ischemia due to partial endothelial-to-mesenchymal transition.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101251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Kosmac, K. et al. Correlations of calf muscle macrophage content with muscle properties and walking performance in peripheral artery disease.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e015929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Mohiuddin,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Critical limb ischemia induces remodeling of skeletal muscle motor unit, myonuclear-, and mitochondrial-domains.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9551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Ministro,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Assessing therapeutic angiogenesis in a murine model of hindlimb ischemia.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(148), e59582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Kilarski, W. W., Samolov, B., Petersson, L., Kvanta, A., Gerwins, P. Biomechanical regulation of blood vessel growth during tissue vascularization.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Portou,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Hyperglycaemia and ischaemia impair wound healing via Toll-like receptor 4 pathway activation in vitro and in an experimental murine model.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Dokun, A.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quantitative trait locus (LSq-1) on mouse chromosome 7 is linked to the absence of tissue loss after surgical hindlimb ischemia.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(9),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Hazarika,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MicroRNA-93 controls perfusion recovery after hindlimb ischemia by modulating expression of multiple genes in the cell cycle pathway.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(17), 1818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Fan,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mTORC1 and mTORC2 play different roles in the functional survival of transplanted adipose-derived stromal cells in hind limb ischemic mice via regulating inflammation in vivo.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Terry,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CD34(+)/M-cadherin(+) bone marrow progenitor cells promote arteriogenesis in ischemic hindlimbs of ApoE(-)/(-)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e20673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Kwee,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Treating ischemia via recruitment of antigen-specific T cells.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eaav6313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Nakada,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Clot lysis in a primate model of peripheral arterial occlusive disease with use of systemic or intraarterial reteplase: addition of abciximab results in improved vessel reperfusion. </w:t>
      </w:r>
      <w:r>
        <w:rPr>
          <w:rFonts w:ascii="Calibri" w:hAnsi="Calibri" w:cs="Calibri" w:eastAsia="Calibri"/>
          <w:i/>
          <w:color w:val="auto"/>
          <w:spacing w:val="0"/>
          <w:position w:val="0"/>
          <w:sz w:val="24"/>
          <w:shd w:fill="auto" w:val="clear"/>
        </w:rPr>
        <w:t xml:space="preserve">Journal of Vascular and Interventional Radiology: JVIR.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Pt 1),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Carr,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Efficacy of systemic administration of SDF-1 in a model of vascular insufficiency: support for an endothelium-dependent mechanism.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Del Giudice,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a new model of hind limb ischemia in rabbits.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Liddell,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Endovascular model of rabbit hindlimb ischemia: a platform to evaluate therapeutic angiogenesis. </w:t>
      </w:r>
      <w:r>
        <w:rPr>
          <w:rFonts w:ascii="Calibri" w:hAnsi="Calibri" w:cs="Calibri" w:eastAsia="Calibri"/>
          <w:i/>
          <w:color w:val="auto"/>
          <w:spacing w:val="0"/>
          <w:position w:val="0"/>
          <w:sz w:val="24"/>
          <w:shd w:fill="auto" w:val="clear"/>
        </w:rPr>
        <w:t xml:space="preserve">Journal of Vascular and Interventional Radiology: JVIR.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Aboyans,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2017 ESC guidelines on the diagnosis and treatment of peripheral arterial diseases, in collaboration with the European Society for Vascular Surgery (ESVS): Document covering atherosclerotic disease of extracranial carotid and vertebral, mesenteric, renal, upper and lower extremity arteriesEndorsed by: the European Stroke Organization (ESO)The Task Force for the Diagnosis and Treatment of Peripheral Arterial Diseases of the European Society of Cardiology (ESC) and of the European Society for Vascular Surgery (ESVS).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(9),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Lo Sasso,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Apoe(-/-) mouse model: a suitable model to study cardiovascular and respiratory diseases in the context of cigarette smoke exposure and harm reduction.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146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