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6E0C" w14:textId="77777777" w:rsidR="00A21BD0" w:rsidRPr="00A21BD0" w:rsidRDefault="00A21BD0" w:rsidP="00A21BD0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</w:pPr>
    </w:p>
    <w:p w14:paraId="154AAAFF" w14:textId="77777777" w:rsidR="00A21BD0" w:rsidRPr="00A21BD0" w:rsidRDefault="00A21BD0" w:rsidP="00A21BD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</w:pPr>
    </w:p>
    <w:p w14:paraId="58A2F076" w14:textId="15B7B5BC" w:rsidR="00A21BD0" w:rsidRPr="00A21BD0" w:rsidRDefault="00A21BD0" w:rsidP="00A21BD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</w:pP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Molecular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Biology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of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the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Cell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val="en-US" w:eastAsia="hy-AM"/>
        </w:rPr>
        <w:t xml:space="preserve">,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Vol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. 25,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No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. 2</w:t>
      </w:r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val="en-US" w:eastAsia="hy-AM"/>
        </w:rPr>
        <w:t xml:space="preserve">. </w:t>
      </w:r>
    </w:p>
    <w:p w14:paraId="43C3A2F2" w14:textId="77777777" w:rsidR="00A21BD0" w:rsidRPr="00A21BD0" w:rsidRDefault="00A21BD0" w:rsidP="00A21BD0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</w:pPr>
    </w:p>
    <w:p w14:paraId="47D3F52A" w14:textId="5C4AE4A4" w:rsidR="00A21BD0" w:rsidRPr="00A21BD0" w:rsidRDefault="00A21BD0" w:rsidP="00A21BD0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</w:pP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Nel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positively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regulates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the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genesis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of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retinal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ganglion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cells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by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promoting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their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differentiation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and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survival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during</w:t>
      </w:r>
      <w:proofErr w:type="spellEnd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development</w:t>
      </w:r>
      <w:proofErr w:type="spellEnd"/>
    </w:p>
    <w:p w14:paraId="3A1CD2CF" w14:textId="767762A4" w:rsidR="00A21BD0" w:rsidRPr="00A21BD0" w:rsidRDefault="00A21BD0" w:rsidP="00A21BD0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</w:pP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Chizu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Nakamoto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,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Soh-Leh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Kuan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,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Amy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 S.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Findlay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,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Elaine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Durward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,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Zhufeng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Ouyang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,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Ewa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 D.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Zakrzewska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,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Takuma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Endo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,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and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Masaru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shd w:val="clear" w:color="auto" w:fill="F5F5F5"/>
          <w:lang w:eastAsia="hy-AM"/>
        </w:rPr>
        <w:t>Nakamoto</w:t>
      </w:r>
      <w:proofErr w:type="spellEnd"/>
    </w:p>
    <w:p w14:paraId="698EEC08" w14:textId="77777777" w:rsidR="00A21BD0" w:rsidRPr="00A21BD0" w:rsidRDefault="00A21BD0" w:rsidP="00A21BD0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</w:pPr>
    </w:p>
    <w:p w14:paraId="511EF999" w14:textId="41C2CF13" w:rsidR="00A21BD0" w:rsidRPr="00A21BD0" w:rsidRDefault="00A21BD0" w:rsidP="00A21B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y-AM"/>
        </w:rPr>
      </w:pPr>
      <w:proofErr w:type="spellStart"/>
      <w:r w:rsidRPr="00A21BD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5F5F5"/>
          <w:lang w:eastAsia="hy-AM"/>
        </w:rPr>
        <w:t>Information</w:t>
      </w:r>
      <w:proofErr w:type="spellEnd"/>
    </w:p>
    <w:p w14:paraId="74B2A00B" w14:textId="308E0AF0" w:rsidR="00A21BD0" w:rsidRPr="00A21BD0" w:rsidRDefault="00A21BD0" w:rsidP="00A21BD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y-AM"/>
        </w:rPr>
      </w:pPr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© 2014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Nakamoto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et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 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al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.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This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article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is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distributed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by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The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American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Society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for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Cell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Biology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under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license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from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the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author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(s).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Two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months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after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publication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it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is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available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to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the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public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under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an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Attribution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–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Noncommercial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–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Share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Alike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3.0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Unported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Creative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Commons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</w:t>
      </w:r>
      <w:proofErr w:type="spellStart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License</w:t>
      </w:r>
      <w:proofErr w:type="spellEnd"/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 xml:space="preserve"> (</w:t>
      </w:r>
      <w:hyperlink r:id="rId6" w:history="1">
        <w:r w:rsidRPr="00A21BD0">
          <w:rPr>
            <w:rStyle w:val="Hyperlink"/>
            <w:rFonts w:ascii="Calibri" w:eastAsia="Times New Roman" w:hAnsi="Calibri" w:cs="Calibri"/>
            <w:sz w:val="24"/>
            <w:szCs w:val="24"/>
            <w:lang w:eastAsia="hy-AM"/>
          </w:rPr>
          <w:t>http://creativecommons.org/licenses/by-nc-sa/3.0</w:t>
        </w:r>
      </w:hyperlink>
      <w:r w:rsidRPr="00A21BD0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).</w:t>
      </w:r>
    </w:p>
    <w:p w14:paraId="418D5C97" w14:textId="77777777" w:rsidR="00A21BD0" w:rsidRPr="00A21BD0" w:rsidRDefault="00A21BD0" w:rsidP="00A21BD0">
      <w:pPr>
        <w:spacing w:before="100" w:beforeAutospacing="1" w:after="100" w:afterAutospacing="1" w:line="240" w:lineRule="auto"/>
        <w:jc w:val="both"/>
        <w:rPr>
          <w:b/>
          <w:bCs/>
        </w:rPr>
      </w:pPr>
      <w:proofErr w:type="spellStart"/>
      <w:r w:rsidRPr="00A21BD0">
        <w:rPr>
          <w:b/>
          <w:bCs/>
        </w:rPr>
        <w:t>License</w:t>
      </w:r>
      <w:proofErr w:type="spellEnd"/>
      <w:r w:rsidRPr="00A21BD0">
        <w:rPr>
          <w:b/>
          <w:bCs/>
        </w:rPr>
        <w:t xml:space="preserve"> </w:t>
      </w:r>
      <w:proofErr w:type="spellStart"/>
      <w:r w:rsidRPr="00A21BD0">
        <w:rPr>
          <w:b/>
          <w:bCs/>
        </w:rPr>
        <w:t>and</w:t>
      </w:r>
      <w:proofErr w:type="spellEnd"/>
      <w:r w:rsidRPr="00A21BD0">
        <w:rPr>
          <w:b/>
          <w:bCs/>
        </w:rPr>
        <w:t xml:space="preserve"> </w:t>
      </w:r>
      <w:proofErr w:type="spellStart"/>
      <w:r w:rsidRPr="00A21BD0">
        <w:rPr>
          <w:b/>
          <w:bCs/>
        </w:rPr>
        <w:t>Publishing</w:t>
      </w:r>
      <w:proofErr w:type="spellEnd"/>
      <w:r w:rsidRPr="00A21BD0">
        <w:rPr>
          <w:b/>
          <w:bCs/>
        </w:rPr>
        <w:t xml:space="preserve"> </w:t>
      </w:r>
      <w:proofErr w:type="spellStart"/>
      <w:r w:rsidRPr="00A21BD0">
        <w:rPr>
          <w:b/>
          <w:bCs/>
        </w:rPr>
        <w:t>Agreement</w:t>
      </w:r>
      <w:proofErr w:type="spellEnd"/>
      <w:r w:rsidRPr="00A21BD0">
        <w:rPr>
          <w:b/>
          <w:bCs/>
        </w:rPr>
        <w:t xml:space="preserve"> </w:t>
      </w:r>
    </w:p>
    <w:p w14:paraId="246BF2B6" w14:textId="77777777" w:rsidR="00E029DA" w:rsidRDefault="00A21BD0" w:rsidP="00A21BD0">
      <w:pPr>
        <w:spacing w:before="100" w:beforeAutospacing="1" w:after="100" w:afterAutospacing="1" w:line="240" w:lineRule="auto"/>
        <w:jc w:val="both"/>
      </w:pPr>
      <w:proofErr w:type="spellStart"/>
      <w:r>
        <w:t>Authors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a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Biology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(</w:t>
      </w:r>
      <w:proofErr w:type="spellStart"/>
      <w:r>
        <w:t>MBoC</w:t>
      </w:r>
      <w:proofErr w:type="spellEnd"/>
      <w:r>
        <w:t xml:space="preserve">) 27/12/2021, 18)21 https://www.molbiolcell.org/info-for-authors#license </w:t>
      </w:r>
      <w:proofErr w:type="spellStart"/>
      <w:r>
        <w:t>Page</w:t>
      </w:r>
      <w:proofErr w:type="spellEnd"/>
      <w:r>
        <w:t xml:space="preserve"> 21 </w:t>
      </w:r>
      <w:proofErr w:type="spellStart"/>
      <w:r>
        <w:t>of</w:t>
      </w:r>
      <w:proofErr w:type="spellEnd"/>
      <w:r>
        <w:t xml:space="preserve"> 22 </w:t>
      </w:r>
      <w:proofErr w:type="spellStart"/>
      <w:r>
        <w:t>before</w:t>
      </w:r>
      <w:proofErr w:type="spellEnd"/>
      <w:r>
        <w:t xml:space="preserve"> a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.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ASCB a </w:t>
      </w:r>
      <w:proofErr w:type="spellStart"/>
      <w:r>
        <w:t>perpetual</w:t>
      </w:r>
      <w:proofErr w:type="spellEnd"/>
      <w:r>
        <w:t xml:space="preserve">, </w:t>
      </w:r>
      <w:proofErr w:type="spellStart"/>
      <w:r>
        <w:t>irrevocable</w:t>
      </w:r>
      <w:proofErr w:type="spellEnd"/>
      <w:r>
        <w:t xml:space="preserve">, </w:t>
      </w:r>
      <w:proofErr w:type="spellStart"/>
      <w:r>
        <w:t>paid-up</w:t>
      </w:r>
      <w:proofErr w:type="spellEnd"/>
      <w:r>
        <w:t xml:space="preserve">, </w:t>
      </w:r>
      <w:proofErr w:type="spellStart"/>
      <w:r>
        <w:t>worldwide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publish</w:t>
      </w:r>
      <w:proofErr w:type="spellEnd"/>
      <w:r>
        <w:t xml:space="preserve">, </w:t>
      </w:r>
      <w:proofErr w:type="spellStart"/>
      <w:r>
        <w:t>distribute</w:t>
      </w:r>
      <w:proofErr w:type="spellEnd"/>
      <w:r>
        <w:t xml:space="preserve">, </w:t>
      </w:r>
      <w:proofErr w:type="spellStart"/>
      <w:r>
        <w:t>reproduce</w:t>
      </w:r>
      <w:proofErr w:type="spellEnd"/>
      <w:r>
        <w:t xml:space="preserve">, </w:t>
      </w:r>
      <w:proofErr w:type="spellStart"/>
      <w:r>
        <w:t>display</w:t>
      </w:r>
      <w:proofErr w:type="spellEnd"/>
      <w:r>
        <w:t xml:space="preserve">, </w:t>
      </w:r>
      <w:proofErr w:type="spellStart"/>
      <w:r>
        <w:t>translate</w:t>
      </w:r>
      <w:proofErr w:type="spellEnd"/>
      <w:r>
        <w:t xml:space="preserve">, </w:t>
      </w:r>
      <w:proofErr w:type="spellStart"/>
      <w:r>
        <w:t>sublicense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hereafter</w:t>
      </w:r>
      <w:proofErr w:type="spellEnd"/>
      <w:r>
        <w:t xml:space="preserve"> </w:t>
      </w:r>
      <w:proofErr w:type="spellStart"/>
      <w:r>
        <w:t>devised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authorize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.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(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posted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repository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>).</w:t>
      </w:r>
    </w:p>
    <w:p w14:paraId="51407324" w14:textId="4ABF3548" w:rsidR="00A21BD0" w:rsidRDefault="00A21BD0" w:rsidP="00A21BD0">
      <w:pPr>
        <w:spacing w:before="100" w:beforeAutospacing="1" w:after="100" w:afterAutospacing="1" w:line="240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retain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reprint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serve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editor</w:t>
      </w:r>
      <w:proofErr w:type="spellEnd"/>
      <w:r>
        <w:t xml:space="preserve">,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MBoC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feasible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MBoC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(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supplemental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)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websites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repository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MBoC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MBoC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posted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repository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</w:t>
      </w:r>
      <w:proofErr w:type="spellStart"/>
      <w:r>
        <w:t>Attribution</w:t>
      </w:r>
      <w:proofErr w:type="spellEnd"/>
      <w:r>
        <w:t xml:space="preserve"> 4.0 </w:t>
      </w:r>
      <w:proofErr w:type="spellStart"/>
      <w:r>
        <w:t>International</w:t>
      </w:r>
      <w:proofErr w:type="spellEnd"/>
      <w:r>
        <w:t xml:space="preserve"> (CC-BY 4.0) </w:t>
      </w:r>
      <w:proofErr w:type="spellStart"/>
      <w:r>
        <w:t>License</w:t>
      </w:r>
      <w:proofErr w:type="spellEnd"/>
      <w:r>
        <w:t xml:space="preserve"> (https://creativecommons.org/licenses/by/4.0), </w:t>
      </w:r>
      <w:proofErr w:type="spellStart"/>
      <w:r>
        <w:t>whereby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commercially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.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retain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revise</w:t>
      </w:r>
      <w:proofErr w:type="spellEnd"/>
      <w:r>
        <w:t xml:space="preserve">, </w:t>
      </w:r>
      <w:proofErr w:type="spellStart"/>
      <w:r>
        <w:t>adapt</w:t>
      </w:r>
      <w:proofErr w:type="spellEnd"/>
      <w:r>
        <w:t xml:space="preserve">,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derivative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distribute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noncommercial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MBoC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feasible</w:t>
      </w:r>
      <w:proofErr w:type="spellEnd"/>
      <w:r>
        <w:t xml:space="preserve"> a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MBoC</w:t>
      </w:r>
      <w:proofErr w:type="spellEnd"/>
      <w:r>
        <w:t xml:space="preserve">. </w:t>
      </w:r>
    </w:p>
    <w:p w14:paraId="3265FA0C" w14:textId="4B3BD3FD" w:rsidR="00A21BD0" w:rsidRPr="00A21BD0" w:rsidRDefault="00A21BD0" w:rsidP="00A21BD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y-AM"/>
        </w:rPr>
      </w:pP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,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(</w:t>
      </w:r>
      <w:proofErr w:type="spellStart"/>
      <w:r>
        <w:t>i.e</w:t>
      </w:r>
      <w:proofErr w:type="spellEnd"/>
      <w:r>
        <w:t xml:space="preserve">.,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edited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MBoC</w:t>
      </w:r>
      <w:proofErr w:type="spellEnd"/>
      <w:r>
        <w:t xml:space="preserve">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nonexclusive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, </w:t>
      </w:r>
      <w:proofErr w:type="spellStart"/>
      <w:r>
        <w:t>distribute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</w:t>
      </w:r>
      <w:proofErr w:type="spellStart"/>
      <w:r>
        <w:t>Attribution</w:t>
      </w:r>
      <w:proofErr w:type="spellEnd"/>
      <w:r>
        <w:t xml:space="preserve"> 4.0 </w:t>
      </w:r>
      <w:proofErr w:type="spellStart"/>
      <w:r>
        <w:t>International</w:t>
      </w:r>
      <w:proofErr w:type="spellEnd"/>
      <w:r>
        <w:t xml:space="preserve"> (CC-BY 4.0) </w:t>
      </w:r>
      <w:proofErr w:type="spellStart"/>
      <w:r>
        <w:t>License</w:t>
      </w:r>
      <w:proofErr w:type="spellEnd"/>
      <w:r>
        <w:t xml:space="preserve"> (https://creativecommons.org/licenses/by/4.0).</w:t>
      </w:r>
    </w:p>
    <w:sectPr w:rsidR="00A21BD0" w:rsidRPr="00A21BD0" w:rsidSect="00A21BD0">
      <w:pgSz w:w="12240" w:h="15840" w:code="1"/>
      <w:pgMar w:top="1440" w:right="1440" w:bottom="1440" w:left="1440" w:header="720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574E" w14:textId="77777777" w:rsidR="0029472B" w:rsidRDefault="0029472B" w:rsidP="00A21BD0">
      <w:pPr>
        <w:spacing w:after="0" w:line="240" w:lineRule="auto"/>
      </w:pPr>
      <w:r>
        <w:separator/>
      </w:r>
    </w:p>
  </w:endnote>
  <w:endnote w:type="continuationSeparator" w:id="0">
    <w:p w14:paraId="70754358" w14:textId="77777777" w:rsidR="0029472B" w:rsidRDefault="0029472B" w:rsidP="00A2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B831" w14:textId="77777777" w:rsidR="0029472B" w:rsidRDefault="0029472B" w:rsidP="00A21BD0">
      <w:pPr>
        <w:spacing w:after="0" w:line="240" w:lineRule="auto"/>
      </w:pPr>
      <w:r>
        <w:separator/>
      </w:r>
    </w:p>
  </w:footnote>
  <w:footnote w:type="continuationSeparator" w:id="0">
    <w:p w14:paraId="3C72CA44" w14:textId="77777777" w:rsidR="0029472B" w:rsidRDefault="0029472B" w:rsidP="00A21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0MzAyMDYxMTI0MDRW0lEKTi0uzszPAykwrAUAPsDmOywAAAA="/>
  </w:docVars>
  <w:rsids>
    <w:rsidRoot w:val="00A21BD0"/>
    <w:rsid w:val="000372C5"/>
    <w:rsid w:val="001B27FD"/>
    <w:rsid w:val="0029472B"/>
    <w:rsid w:val="00414D51"/>
    <w:rsid w:val="00496E0E"/>
    <w:rsid w:val="00A21BD0"/>
    <w:rsid w:val="00C400E1"/>
    <w:rsid w:val="00E029DA"/>
    <w:rsid w:val="00E9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C9BAB"/>
  <w15:chartTrackingRefBased/>
  <w15:docId w15:val="{0DFE2F37-7379-4970-B9F4-AE1EEB27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21BD0"/>
  </w:style>
  <w:style w:type="character" w:styleId="Strong">
    <w:name w:val="Strong"/>
    <w:basedOn w:val="DefaultParagraphFont"/>
    <w:uiPriority w:val="22"/>
    <w:qFormat/>
    <w:rsid w:val="00A21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paragraph" w:styleId="Header">
    <w:name w:val="header"/>
    <w:basedOn w:val="Normal"/>
    <w:link w:val="HeaderChar"/>
    <w:uiPriority w:val="99"/>
    <w:unhideWhenUsed/>
    <w:rsid w:val="00A2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BD0"/>
  </w:style>
  <w:style w:type="paragraph" w:styleId="Footer">
    <w:name w:val="footer"/>
    <w:basedOn w:val="Normal"/>
    <w:link w:val="FooterChar"/>
    <w:uiPriority w:val="99"/>
    <w:unhideWhenUsed/>
    <w:rsid w:val="00A2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BD0"/>
  </w:style>
  <w:style w:type="character" w:styleId="Hyperlink">
    <w:name w:val="Hyperlink"/>
    <w:basedOn w:val="DefaultParagraphFont"/>
    <w:uiPriority w:val="99"/>
    <w:unhideWhenUsed/>
    <w:rsid w:val="00A21B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-nc-sa/3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 Krishnan</dc:creator>
  <cp:keywords/>
  <dc:description/>
  <cp:lastModifiedBy>Amit  Krishnan</cp:lastModifiedBy>
  <cp:revision>1</cp:revision>
  <dcterms:created xsi:type="dcterms:W3CDTF">2021-12-28T10:16:00Z</dcterms:created>
  <dcterms:modified xsi:type="dcterms:W3CDTF">2021-12-28T10:23:00Z</dcterms:modified>
</cp:coreProperties>
</file>