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Analysis of HBV-specific CD4 T-cell Responses and Identification of HLA-DR-restricted CD4 T-cell Epitopes Based on a Peptide Matrix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Jianmei Xiao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Xing Wan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Haoliang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Guohong Deng</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Infectious Diseases, Southwest Hospital, Third Military Medical University (Army Medial University), Chongqing,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Chongqing Key Laboratory for Research of Infectious Diseases, Chongqing,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Haoliang Wang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haoliangw@outlook.com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Guohong Deng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gh_deng@hotmail.com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Jianmei Xiao (jianmeix@outlook.com), Xing Wan (wan_xing6825@outlook.com)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Hepatitis B virus, CD4, T-cell response, epitope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a hepatitis B virus (HBV)-derived peptide matrix, HBV-specific CD4 T-cell responses could be evaluated in parallel with identification of HBV-specific CD4 T-cell epitopes.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CD4 T cells play important roles in the pathogenesis of chronic hepatitis B. As a versatile cell population, CD4 T cells have been classified as distinct functional subsets based on the cytokines they secreted: for example, IFN-&amp;#947; for CD4 T helper 1 cells, IL-4 and IL-13 for CD4 T helper 2 cells, IL-21 for CD4 T follicular helper cells, and IL-17 for CD4 T helper 17 cells. Analysis of hepatitis B virus (HBV)-specific CD4 T cells based on cytokine secretion after HBV-derived peptides stimulation could provide information not only about the magnitude of HBV-specific CD4 T-cell response but also about the functional subsets of HBV-specific CD4 T cells. Novel approaches, such as transcriptomics and metabolomics analysis, could provide more detailed functional information about HBV-specific CD4 T cells. These approaches usually require isolation of viable HBV-specific CD4 T cells based on peptide-major histocompatibility complex-II multimers, while currently the information about HBV-specific CD4 T-cell epitopes is limited. Based on an HBV-derived peptide matrix, a method has been developed to evaluate HBV-specific CD4 T-cell responses and identify HBV-specific CD4 T-cell epitopes simultaneously using peripheral blood mononuclear cells samples from chronic HBV infection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are 3 main approaches to analyze antigen-specific T cells. The first approach is based on the interaction between the T-cell receptor and the peptide (epitope). Antigen-specific T cells could be directly stained with peptide-major histocompatibility complex (MHC) multimers. The advantage of this method is that it could obtain viable antigen-specific T cells, suitable for downstream transcriptomics/metabolomics analysis. A limitation of this method is that it could not provide information about the whole T-cell response to a specific antigen, as it requires validated epitope peptides while the number of identified epitopes for a specific antigen is limited for now. Compared to hepatitis B virus (HBV)-specific CD8 T-cell epitopes, fewer HBV-specific CD4 T-cell epitopes have been identified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made this method less applicable for analysis of HBV-specific CD4 T cells currently.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approach is based on the upregulation of a series of activation-induced markers after antigen peptide stimulation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commonly used markers include CD69, CD25, OX40, CD40L, PD-L1, 4-1BB</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method has now been used to analyze antigen-specific T-cell responses in vaccinated individuals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Human Immunodeficiency Virus infection patients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Severe Acute Respiratory Syndrome Coronavirus 2 infection patients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Unlike the peptide-MHC multimers based assay, this method is not restricted by validated epitopes and could obtain viable cells for downstream analysis. A limitation of this method is that it could not provide information about the cytokine profile of antigen-specific T cells. Also, the expression of these activation-induced markers by some activated antigen-non-specific cells might contribute to the background signals in analysis, which could be a problem especially when the target antigen-specific T cells are rare. Currently, there is limited application of this method on HBV-specific CD4 T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Whether this method could be utilized to analyze HBV-specific CD4 T cells in a reliable way needs further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third approach is based on the cytokine secretion after antigen peptide stimulation. Like activation-induced marker-based analysis, this method is not restricted by validated epitopes. This method could directly reveal the cytokine profile of antigen-specific T cells. The sensitivity of this method is lower than the activation-induced marker-based method as it relies on the cytokine secretion of antigen-specific T cells and the number of cytokines tested is usually limited. Currently, this method is widely used in analysis of HBV-specific T cells. As cytokine secreting HBV-specific T cells could hardly be detected by direct ex vivo peptide stimulation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 cytokine profile of HBV-specific T cells is usually analyzed after 10-day in vitro peptide stimulated expansion</w:t>
      </w:r>
      <w:r>
        <w:rPr>
          <w:rFonts w:ascii="Calibri" w:hAnsi="Calibri" w:cs="Calibri" w:eastAsia="Calibri"/>
          <w:color w:val="auto"/>
          <w:spacing w:val="0"/>
          <w:position w:val="0"/>
          <w:sz w:val="24"/>
          <w:shd w:fill="auto" w:val="clear"/>
          <w:vertAlign w:val="superscript"/>
        </w:rPr>
        <w:t xml:space="preserve">12-16</w:t>
      </w:r>
      <w:r>
        <w:rPr>
          <w:rFonts w:ascii="Calibri" w:hAnsi="Calibri" w:cs="Calibri" w:eastAsia="Calibri"/>
          <w:color w:val="auto"/>
          <w:spacing w:val="0"/>
          <w:position w:val="0"/>
          <w:sz w:val="24"/>
          <w:shd w:fill="auto" w:val="clear"/>
        </w:rPr>
        <w:t xml:space="preserve">. Arrangement of peptide pools in a matrix form has been utilized to facilitate identification of antigen-specific epitopes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With the combination of peptide matrix and cytokine secretion analysis, a method has been developed to evaluate HBV-specific CD4 T-cell responses and identify HBV-specific CD4 T-cell epitopes simultaneously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this protocol, the details of this method are described. HBV core antigen is chosen as an example of demonstration in this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Written informed consent was obtained from each patient included in the study. The study protocol conforms to the ethical guidelines of the 1975 Declaration of Helsinki as reflected in a priori approval by Southwest Hospital's human research committee.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Design of the HBV-derived peptide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Download amino acid sequences of the HBV core antigen from NCBI databases (GenBank: AFY98989.1).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Purchase HBV core antigen derived peptides (a panel of 35 15-mer peptides overlapping by 10 residues, purity &amp;gt; 90%, 4 mg/peptide) from a peptide synthesis service provider.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Set up a square 6&amp;#215;6 peptide matrix with each position in the matrix containing only one 1 peptide. There are 12 peptide pools: 6 row peptide pools and 6 column peptide pools, 5-6 peptides in each pool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row peptide pools and the column peptide pools in the matrix represent 2 separate formations of HBV core antigen.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For 3/4 of the purchased peptides, mix peptides in the same row/column of the matrix into 12 separate peptide pools by dissolving them together in dimethyl sulfoxide (DMSO) (2 &amp;#181;g/&amp;#181;L for each peptide). Store at -80 &amp;#176;C for analysis of HBV-specific CD4 T-cell responses.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Dissolve the rest of the peptides separately (10 &amp;#181;g/&amp;#181;L) and store at -80 &amp;#176;C for epitope identification.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Isolation of peripheral blood mononuclear cells (PBMCs)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Sample 5 mL of venous blood from chronic HBV infection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blood volume should be roughly estimated according to the number of peptide pools plus 1 background control and 1 positive control. Analysis of 1 peptide pool needs 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PBMCs. On average,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PBMCs could be obtained from 1 mL of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Isolate PBMCs from blood using Ficoll density gradient centrifugation (800 &amp;#215; g, 20 min) and cryopreserve isolated PBMCs in liquid nitrogen for later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Use a Pasteur pipette to collect granulocytes between the clear Ficoll layer and the red blood cell layer.</w:t>
      </w:r>
      <w:r>
        <w:rPr>
          <w:rFonts w:ascii="Calibri" w:hAnsi="Calibri" w:cs="Calibri" w:eastAsia="Calibri"/>
          <w:color w:val="auto"/>
          <w:spacing w:val="0"/>
          <w:position w:val="0"/>
          <w:sz w:val="24"/>
          <w:shd w:fill="auto" w:val="clear"/>
        </w:rPr>
        <w:t xml:space="preserve"> Extract genomic DNA from granulocytes using a genomic DNA purification kit according to the manufacturer’s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Send the DNA sample to genotyping service providers to determine the HLA-DRB1 genotype.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In Vitro Expansion of PBMCs Using a HBV Peptide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Thaw PBMCs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w:t>
      </w:r>
      <w:r>
        <w:rPr>
          <w:rFonts w:ascii="Calibri" w:hAnsi="Calibri" w:cs="Calibri" w:eastAsia="Calibri"/>
          <w:color w:val="auto"/>
          <w:spacing w:val="0"/>
          <w:position w:val="0"/>
          <w:sz w:val="24"/>
          <w:shd w:fill="FFFF00" w:val="clear"/>
        </w:rPr>
        <w:t xml:space="preserve">Warm RPMI 1640 supplemented with 1:10,000 benzonase (25 U/mL) to 37 </w:t>
      </w:r>
      <w:r>
        <w:rPr>
          <w:rFonts w:ascii="Calibri" w:hAnsi="Calibri" w:cs="Calibri" w:eastAsia="Calibri"/>
          <w:color w:val="auto"/>
          <w:spacing w:val="0"/>
          <w:position w:val="0"/>
          <w:sz w:val="24"/>
          <w:shd w:fill="auto" w:val="clear"/>
        </w:rPr>
        <w:t xml:space="preserve">&amp;#176;C i</w:t>
      </w:r>
      <w:r>
        <w:rPr>
          <w:rFonts w:ascii="Calibri" w:hAnsi="Calibri" w:cs="Calibri" w:eastAsia="Calibri"/>
          <w:color w:val="auto"/>
          <w:spacing w:val="0"/>
          <w:position w:val="0"/>
          <w:sz w:val="24"/>
          <w:shd w:fill="FFFF00" w:val="clear"/>
        </w:rPr>
        <w:t xml:space="preserve">n a water bath.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Benzonase helps to limit cell clumping during thawing. Each sample will require 20 mL of RPMI 1640 with benzonase. Calculate the amount needed to thaw all samples, and prepare a separate aliquot of media (37 &amp;#176;C) with 1:10,000 Benzonase (25 U/mL). Thaw no more than 5 samples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Remove samples from liquid nitrogen and quickly thaw frozen vials in a water bath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Transfer the thawed cell suspension to a 15 mL centrifuge tube. Add 1 mL of Benzonase RPMI 1640 (37 &amp;#176;C) dropwise to the tube. Slowly add 6 mL of Benzonase RPMI 1640 (37 &amp;#176;C) to the centrifuge tube, rinse cryovial with another 2 mL of Benzonase RPMI 1640 (37 &amp;#176;C) to retrieve all cells. Continue with the rest of the samples as quickly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Slow dilution of cryopreserved samples is the key to maintain the viability of thawed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w:t>
      </w:r>
      <w:r>
        <w:rPr>
          <w:rFonts w:ascii="Calibri" w:hAnsi="Calibri" w:cs="Calibri" w:eastAsia="Calibri"/>
          <w:color w:val="auto"/>
          <w:spacing w:val="0"/>
          <w:position w:val="0"/>
          <w:sz w:val="24"/>
          <w:shd w:fill="FFFF00" w:val="clear"/>
        </w:rPr>
        <w:t xml:space="preserve">Centrifuge (400 &amp;#215; g, 10 min), remove the supernatant, and loosen the pellet by tapping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3.1.5. </w:t>
      </w:r>
      <w:r>
        <w:rPr>
          <w:rFonts w:ascii="Calibri" w:hAnsi="Calibri" w:cs="Calibri" w:eastAsia="Calibri"/>
          <w:color w:val="auto"/>
          <w:spacing w:val="0"/>
          <w:position w:val="0"/>
          <w:sz w:val="24"/>
          <w:shd w:fill="FFFF00" w:val="clear"/>
        </w:rPr>
        <w:t xml:space="preserve">Gently resuspend the pellet in 1 mL of warm Benzonase RPMI 1640. Mix gently, and filter cells through a 70 &amp;#181;m cell strainer if needed (i.e., if any visible clump exists).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3.1.6. Aliquot a 10 &amp;#181;L suspension and dilute in Dulbecco's phosphate-buffered saline (DPBS), add Trypan blue (0.04%), load onto a hemocytometer, wait for 1 min, and count the number of viable cells (clear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w:t>
      </w:r>
      <w:r>
        <w:rPr>
          <w:rFonts w:ascii="Calibri" w:hAnsi="Calibri" w:cs="Calibri" w:eastAsia="Calibri"/>
          <w:color w:val="auto"/>
          <w:spacing w:val="0"/>
          <w:position w:val="0"/>
          <w:sz w:val="24"/>
          <w:shd w:fill="FFFF00" w:val="clear"/>
        </w:rPr>
        <w:t xml:space="preserve">Add 9 mL of Benzonase RPMI 1640 (37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auto"/>
          <w:spacing w:val="0"/>
          <w:position w:val="0"/>
          <w:sz w:val="24"/>
          <w:shd w:fill="FFFF00" w:val="clear"/>
        </w:rPr>
        <w:t xml:space="preserve"> to the tube, centrifuge (400 &amp;#215; g, 10 min), remove the supernatant, and loosen the pellet by tapping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Resuspend PBMCs in RPMI 1640 supplemented with 25 mM HEPES, 2 mM L-glutamine, 1 mM sodium pyruvate, 100 U/mL penicillin, 100 &amp;#181;g/mL streptomycin, and 10% human AB serum (complete culture medium). Adjust cell density to 1.5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Plate PBMCs in 96-well plates (flat bottom) at a density of 3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cells/well.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Add HBV derived peptide pools (2 &amp;#181;g/mL for each single peptide) to each well. For wells of background control and positive control, add the same amount of solvent (DMSO, 1 &amp;#181;L/mL). Add 10 U/mL IL-2 and 10 ng/mL IL-7. 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At day 3, supplement culture medium with 50 U/mL of IL-2 and 10 ng/mL of IL-7.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day 1 to day 3, no obvious T-cell proliferation will be observed. The total cell number will usually decrease by 1/3 to 1/2, due to the death of non-T cells such as B cells, NK cells, NKT cells, and monocytes.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At day 7, replace half of the culture medium with fresh medium containing peptides (4 &amp;#181;g/mL), IL-2 (100 U/mL), and IL-7 (20 ng/mL).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disturbing the cells at the bottom, pipette about 90 &amp;#181;L of culture medium carefully from the top of the medium. During day 3 to day 7, robust T-cell proliferation will be observed, and proliferating T-cells usually aggregate to form clusters.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FFFF00" w:val="clear"/>
        </w:rPr>
        <w:t xml:space="preserve">At day 10, gently pipette cell culture in each well 7-9 times to disaggregate cell clusters, count the number of viable cells, and transfer 2&amp;#215;10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in each well to a 96 well plate (round bottom) for HBV-specific CD4 T-cell response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Continue culturing the rest of cells for epitope identification at day 12, adjust the volume of culture medium to 100 &amp;#181;L (discarding excessive medium), and supplement culture with 100 &amp;#181;L of fresh complete culture medium containing peptides (4 &amp;#181;g/mL), IL-2 (100 U/mL), and IL-7 (20 ng/mL).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day 7 to day 10, T-cells continue proliferating vigorously. Replace the culture medium as in step 3.5 if the medium turns yellow. In general, the cell number will exceed 6&amp;#215;10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at day 10. Each well usually shows similar cell number, count cell number in 3 wells and use the average value as an estimate of cell number for all the wells.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Analysis of HBV-specific CD4 T-Cell responses by intracellular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Stimulating PBMCs with peptide pools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auto"/>
          <w:spacing w:val="0"/>
          <w:position w:val="0"/>
          <w:sz w:val="24"/>
          <w:shd w:fill="FFFF00" w:val="clear"/>
        </w:rPr>
        <w:t xml:space="preserve">For the cells transferred to the 96 well plate (round bottom), wash 3 times in a plate (550 &amp;#215; g, 3 min). Use 200 &amp;#181;L of medium for each wash (RPMI 1640 for the first 2 washes, complete culture medium for the last wash). Discard the supernatant</w:t>
      </w:r>
      <w:r>
        <w:rPr>
          <w:rFonts w:ascii="Calibri" w:hAnsi="Calibri" w:cs="Calibri" w:eastAsia="Calibri"/>
          <w:color w:val="auto"/>
          <w:spacing w:val="0"/>
          <w:position w:val="0"/>
          <w:sz w:val="24"/>
          <w:shd w:fill="auto" w:val="clear"/>
        </w:rPr>
        <w:t xml:space="prese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Removal of residual cytokines in the culture by repeated washing could effectively decrease the background in intracellular flow cytometry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w:t>
      </w:r>
      <w:r>
        <w:rPr>
          <w:rFonts w:ascii="Calibri" w:hAnsi="Calibri" w:cs="Calibri" w:eastAsia="Calibri"/>
          <w:color w:val="auto"/>
          <w:spacing w:val="0"/>
          <w:position w:val="0"/>
          <w:sz w:val="24"/>
          <w:shd w:fill="FFFF00" w:val="clear"/>
        </w:rPr>
        <w:t xml:space="preserve">For each well of cells stimulated with a specific peptide pool, add 200 &amp;#181;L of complete culture medium supplemented with the same peptide pools (2 &amp;#181;g/mL for each single peptide). For the well of background control, add complete culture medium supplemented with 1 &amp;#181;L/mL of DMSO. For the well of positive control, add complete culture medium supplemented with 1 &amp;#181;L/mL of DMSO, 150 ng/mL of phorbol 12-myristate 13-acetate (PMA), and 1 &amp;#181;mol/L of ionomycin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 dose of DMSO will block the cytokine secretion of T cells (most significant for TNF-&amp;#945;). Dose of DMSO higher than 5 &amp;#181;L/mL is not recommended. Generally, the dose of DMSO in our experiment does not exceed 1 &amp;#181;L/mL.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w:t>
      </w:r>
      <w:r>
        <w:rPr>
          <w:rFonts w:ascii="Calibri" w:hAnsi="Calibri" w:cs="Calibri" w:eastAsia="Calibri"/>
          <w:color w:val="auto"/>
          <w:spacing w:val="0"/>
          <w:position w:val="0"/>
          <w:sz w:val="24"/>
          <w:shd w:fill="FFFF00" w:val="clear"/>
        </w:rPr>
        <w:t xml:space="preserve">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w:t>
      </w:r>
      <w:r>
        <w:rPr>
          <w:rFonts w:ascii="Calibri" w:hAnsi="Calibri" w:cs="Calibri" w:eastAsia="Calibri"/>
          <w:color w:val="auto"/>
          <w:spacing w:val="0"/>
          <w:position w:val="0"/>
          <w:sz w:val="24"/>
          <w:shd w:fill="FFFF00" w:val="clear"/>
        </w:rPr>
        <w:t xml:space="preserve">After 1 h of incubation, add Monensin (1.37 &amp;#181;g/mL) to the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w:t>
      </w:r>
      <w:r>
        <w:rPr>
          <w:rFonts w:ascii="Calibri" w:hAnsi="Calibri" w:cs="Calibri" w:eastAsia="Calibri"/>
          <w:color w:val="auto"/>
          <w:spacing w:val="0"/>
          <w:position w:val="0"/>
          <w:sz w:val="24"/>
          <w:shd w:fill="FFFF00" w:val="clear"/>
        </w:rPr>
        <w:t xml:space="preserve">After 6 h of incubation. Remove supernatant after centrifugation (550 &amp;#215; g, 3 min), wash cells once with 200 &amp;#181;L of DPBS (550 &amp;#215; g, 3 min), stain surface markers (CD3, CD4, and CD8) and viability marker (using Fixable Viability Dye) in a 4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auto"/>
          <w:spacing w:val="0"/>
          <w:position w:val="0"/>
          <w:sz w:val="24"/>
          <w:shd w:fill="FFFF00" w:val="clear"/>
        </w:rPr>
        <w:t xml:space="preserve"> refrigerator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color w:val="auto"/>
          <w:spacing w:val="0"/>
          <w:position w:val="0"/>
          <w:sz w:val="24"/>
          <w:shd w:fill="FFFF00" w:val="clear"/>
        </w:rPr>
        <w:t xml:space="preserve">Wash once with 200 &amp;#181;L of DPBS (550 &amp;#215; g, 3 min). Fixate and permeabilize cells, and stain intracellular cytokines (TNF-&amp;#945; and IFN-&amp;#947;) in a 4 &amp;#176;C refrigerator for 45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w:t>
      </w:r>
      <w:r>
        <w:rPr>
          <w:rFonts w:ascii="Calibri" w:hAnsi="Calibri" w:cs="Calibri" w:eastAsia="Calibri"/>
          <w:color w:val="auto"/>
          <w:spacing w:val="0"/>
          <w:position w:val="0"/>
          <w:sz w:val="24"/>
          <w:shd w:fill="FFFF00" w:val="clear"/>
        </w:rPr>
        <w:t xml:space="preserve">After the final wash in intracellular staining, resuspend cells in 150 &amp;#181;L of flow cytometry buffer (DPBS + 0.5% BSA).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w:t>
      </w:r>
      <w:r>
        <w:rPr>
          <w:rFonts w:ascii="Calibri" w:hAnsi="Calibri" w:cs="Calibri" w:eastAsia="Calibri"/>
          <w:color w:val="auto"/>
          <w:spacing w:val="0"/>
          <w:position w:val="0"/>
          <w:sz w:val="24"/>
          <w:shd w:fill="FFFF00" w:val="clear"/>
        </w:rPr>
        <w:t xml:space="preserve">Acquire flow cytometry data on a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Analysis of flow cytometry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Definition of positive well: consider a well as positive if they have a frequency of cytokine secreting T cells at least two times of the background control well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According to the following formula, calculate the response rate for each cytokine analyzed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row peptide pool and the column peptide pools in the matrix represent 2 separate formations of HBV core antigen, so the final response rate should be divided by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Identification of HBV-specific HLA-DR Restricted CD4 T-cell Epitopes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FFFF00" w:val="clear"/>
        </w:rPr>
        <w:t xml:space="preserve">Thaw and maintain allogenic B lymphoblastoid cell lines (BLCLs) in T-75 flask (5-20 &amp;#215;10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20 mL of complete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guarantee the good state of BLCLs, this step should be initiated 2 weeks before thawing of patients’ PBMCs. BLCLs must be homozygous in HLA-DRB1 allele. According to the genotyping result, patients should share the same HLA-DRB1 allele as BLCLs.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Screening of candidate peptides for identification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According the T-cell response rate results at day 10, screen out 2 peptide pools with the highest response rate (1 row peptide pool and 1 column peptide pool).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Set the peptide in those 2 pools as a candidate peptide if the other peptide pool containing this peptide also shows a positive result in T-cell response analysis. Use the PBMCs expanded with the other peptide pool for epitope identification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Pulsing BLCLs with peptide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w:t>
      </w:r>
      <w:r>
        <w:rPr>
          <w:rFonts w:ascii="Calibri" w:hAnsi="Calibri" w:cs="Calibri" w:eastAsia="Calibri"/>
          <w:color w:val="auto"/>
          <w:spacing w:val="0"/>
          <w:position w:val="0"/>
          <w:sz w:val="24"/>
          <w:shd w:fill="FFFF00" w:val="clear"/>
        </w:rPr>
        <w:t xml:space="preserve">At day 12, count the number of viable BLCLs, transfer cells to 15 mL centrifuge tubes, centrifuge (350 &amp;#215; g, 10 min) and remove the supernatant. Resuspend the cell pellet in complete culture medium, and aliquot BLCLs to a 96-well plate (round bottom) at 4&amp;#215;10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cells/well in 80 &amp;#181;L complete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w:t>
      </w:r>
      <w:r>
        <w:rPr>
          <w:rFonts w:ascii="Calibri" w:hAnsi="Calibri" w:cs="Calibri" w:eastAsia="Calibri"/>
          <w:color w:val="auto"/>
          <w:spacing w:val="0"/>
          <w:position w:val="0"/>
          <w:sz w:val="24"/>
          <w:shd w:fill="FFFF00" w:val="clear"/>
        </w:rPr>
        <w:t xml:space="preserve">Add a single peptide (10 &amp;#181;g/mL), 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 h. Set 2 background control: peptide pulsing with HLA-DR blocking (pretreatment with anti-HLA-DR (10 &amp;#181;g/mL) for 1 h); DMSO (1 &amp;#181;L/mL) pulsing. The final volume of complete culture medium in each well is 100 &amp;#181;L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w:t>
      </w:r>
      <w:r>
        <w:rPr>
          <w:rFonts w:ascii="Calibri" w:hAnsi="Calibri" w:cs="Calibri" w:eastAsia="Calibri"/>
          <w:color w:val="auto"/>
          <w:spacing w:val="0"/>
          <w:position w:val="0"/>
          <w:sz w:val="24"/>
          <w:shd w:fill="FFFF00" w:val="clear"/>
        </w:rPr>
        <w:t xml:space="preserve">Add mitomycin C (100 &amp;#181;g/mL), 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w:t>
      </w:r>
      <w:r>
        <w:rPr>
          <w:rFonts w:ascii="Calibri" w:hAnsi="Calibri" w:cs="Calibri" w:eastAsia="Calibri"/>
          <w:color w:val="auto"/>
          <w:spacing w:val="0"/>
          <w:position w:val="0"/>
          <w:sz w:val="24"/>
          <w:shd w:fill="FFFF00" w:val="clear"/>
        </w:rPr>
        <w:t xml:space="preserve">Wash 3 times with 200 &amp;#181;L of RPMI 1640 (550 &amp;#215; g, 3 min) in a plate to remove un-pulsed peptide and mitomycin C. For the first wash, supplement the incubation culture with 100 &amp;#181;L of RPMI 1640.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 </w:t>
      </w:r>
      <w:r>
        <w:rPr>
          <w:rFonts w:ascii="Calibri" w:hAnsi="Calibri" w:cs="Calibri" w:eastAsia="Calibri"/>
          <w:color w:val="auto"/>
          <w:spacing w:val="0"/>
          <w:position w:val="0"/>
          <w:sz w:val="24"/>
          <w:shd w:fill="FFFF00" w:val="clear"/>
        </w:rPr>
        <w:t xml:space="preserve">Resuspend cells in 120 &amp;#181;L of complete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Stimulating PBMCs with peptide pulsed BLCLs.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w:t>
      </w:r>
      <w:r>
        <w:rPr>
          <w:rFonts w:ascii="Calibri" w:hAnsi="Calibri" w:cs="Calibri" w:eastAsia="Calibri"/>
          <w:color w:val="auto"/>
          <w:spacing w:val="0"/>
          <w:position w:val="0"/>
          <w:sz w:val="24"/>
          <w:shd w:fill="FFFF00" w:val="clear"/>
        </w:rPr>
        <w:t xml:space="preserve">At day 12, transfer PBMCs to a 96-well plate (round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 </w:t>
      </w:r>
      <w:r>
        <w:rPr>
          <w:rFonts w:ascii="Calibri" w:hAnsi="Calibri" w:cs="Calibri" w:eastAsia="Calibri"/>
          <w:color w:val="auto"/>
          <w:spacing w:val="0"/>
          <w:position w:val="0"/>
          <w:sz w:val="24"/>
          <w:shd w:fill="FFFF00" w:val="clear"/>
        </w:rPr>
        <w:t xml:space="preserve">Remove the supernatant after centrifugation (550 &amp;#215; g, 3 min) in a plate, an wash twice with 200 &amp;#181;L of RPMI 1640 (550 &amp;#215; g, 3 min) in a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Removal of residual cytokines and peptides in the culture by repeated washing is the key step to decrease the background in intracellular flow cytometry analysis. Especially for residual peptides, it will bind to BLCLs and significantly increase the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 </w:t>
      </w:r>
      <w:r>
        <w:rPr>
          <w:rFonts w:ascii="Calibri" w:hAnsi="Calibri" w:cs="Calibri" w:eastAsia="Calibri"/>
          <w:color w:val="auto"/>
          <w:spacing w:val="0"/>
          <w:position w:val="0"/>
          <w:sz w:val="24"/>
          <w:shd w:fill="FFFF00" w:val="clear"/>
        </w:rPr>
        <w:t xml:space="preserve">Resuspend PBMCs at each well with 210 &amp;#181;L of complete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 </w:t>
      </w:r>
      <w:r>
        <w:rPr>
          <w:rFonts w:ascii="Calibri" w:hAnsi="Calibri" w:cs="Calibri" w:eastAsia="Calibri"/>
          <w:color w:val="auto"/>
          <w:spacing w:val="0"/>
          <w:position w:val="0"/>
          <w:sz w:val="24"/>
          <w:shd w:fill="FFFF00" w:val="clear"/>
        </w:rPr>
        <w:t xml:space="preserve">For the well of PBMCs chosen for epitope identification, aliquot th cell suspension (70 &amp;#181;L each) and mix with peptide pulsed BLCLs (3 wells, including 2 background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day 12, the number of peptide pools expanded PBMCs will usually reach to above 5-7&amp;#215;10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per well, so the ratio of PBMCs/BLCLs is about 6/1 to 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 </w:t>
      </w:r>
      <w:r>
        <w:rPr>
          <w:rFonts w:ascii="Calibri" w:hAnsi="Calibri" w:cs="Calibri" w:eastAsia="Calibri"/>
          <w:color w:val="auto"/>
          <w:spacing w:val="0"/>
          <w:position w:val="0"/>
          <w:sz w:val="24"/>
          <w:shd w:fill="FFFF00" w:val="clear"/>
        </w:rPr>
        <w:t xml:space="preserve">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5.4.6. </w:t>
      </w:r>
      <w:r>
        <w:rPr>
          <w:rFonts w:ascii="Calibri" w:hAnsi="Calibri" w:cs="Calibri" w:eastAsia="Calibri"/>
          <w:color w:val="auto"/>
          <w:spacing w:val="0"/>
          <w:position w:val="0"/>
          <w:sz w:val="24"/>
          <w:shd w:fill="FFFF00" w:val="clear"/>
        </w:rPr>
        <w:t xml:space="preserve">After 1 h of incubation, add Monensin (1.37 &amp;#181;g/mL) to the culture. The final volume of complete culture medium in each well is 200 &amp;#181;L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 Repeat the same operations as in step 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Analysis of flow cytometry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 Verify a peptide as an HLA-DR restricted CD4 T-cells epitope if PBMCs incubated with this peptide pulsed BLCLs show a frequency of cytokine secreting CD4 T cells at least two times of the PBMCs incubated with background controls (peptide pulsing with HLA-DR pre-blocking; DMSO pulsing)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frequency of cytokine secreting CD4 T cells are calculated as the sum of both single producers and double producers. As demonstrated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frequency of TNF-&amp;#945; secreting CD4 T cells and the frequency of IFN-&amp;#947; secreting CD4 T cells in background control (DMSO) are 0.154% and 0.013% respectively. The frequency of TNF-&amp;#945; secreting CD4 T cells and the frequency of IFN-&amp;#947; secreting CD4 T cells specific for peptide pool Core11 are 0.206 and 0.017 respectively, so both TNF-&amp;#945; secreting CD4 T-cell response and IFN-&amp;#947; secreting CD4 T-cell response for this peptide pool are considered as negative. The frequency of TNF-&amp;#945; secreting CD4 T cells and the frequency of IFN-&amp;#947; secreting CD4 T cells specific for peptide pool Core09 are 2.715% and 0.973% respectively, so both TNF-&amp;#945; secreting CD4 T-cell response and IFN-&amp;#947; secreting CD4 T-cell response for this peptide pool are considered as positive.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demonstrated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positive wells are indicated with gray background. When calculating HBV core-specific TNF-&amp;#945; secreting CD4 T-cell response rate, data of peptide pools Core01, Core02, Core04, Core05, Core06, Core07, Core08, Core09, and Core10 should be included. When calculating HBV core-specific IFN-&amp;#947; secreting CD4 T-cell response rate, data of peptide pools Core01, Core02, Core03, Core04, Core05, Core06, Core07, Core08, Core09, and Core10 are included.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demonstrated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candidate peptides for epitope identification are indicated in red. Core01 has the highest response rate for both TNF-&amp;#945; secreting CD4 T cells and IFN-&amp;#947; secreting CD4 T cells in column peptide pools. Peptides C1-15, C31-45, C61-75, and C91-105 in this peptide pool are set as candidate peptides as the row peptide pools containing those peptides also shows positive results in T-cell response. The PBMCs expanded with the peptide pools Core07, Core08, Core09, and Core10 are used for epitope identification of peptides C1-15, C31-45, C61-75, and C91-105, respectively. Core09 has the highest response rate for both TNF-&amp;#945; secreting CD4 T cells and IFN-&amp;#947; secreting CD4 T cells in row peptide pools. Peptides C61-75, C66-80, C71-85, C76-90, C81-95, and C86-100 in this peptide pool are set as candidate peptides as the column peptide pools containing those peptides also shows positive result in T-cell response. The PBMCs expanded with the peptide pools Core01, Core02, Core03, Core04, Core05, and Core06 are used for epitope identification of peptides C61-75, C66-80, C71-85, C76-90, C81-95 and C86-100,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demonstrated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peptide pool Core08 expanded PBMCs, after stimulation with peptide C31-45 pulsed BLCLs, the frequency of TNF-&amp;#945; secreting CD4 T cells and the frequency of IFN-&amp;#947; secreting CD4 T cells are 0.995% and 0.131% respectively, which are more than 2 times higher than background controls (peptide C31-45 pulsed BLCLs with HLA-DR pre-blocking, DMSO pulsed BLCLs). Thus, peptide C31-45 is verified as a HLA-DR restricted CD4 T-cell epitope. For peptide pool Core10 expanded PBMCs, after stimulation with peptide C91-105 pulsed BLCLs, the frequency of TNF-&amp;#945; secreting CD4 T cells and the frequency of IFN-&amp;#947; secreting CD4 T cells are 0.221% and 0.000% respectively, which do not exceed the 2 times of background controls (peptide C91-45 pulsed BLCLs with HLA-DR pre-blocking, DMSO pulsed BLCLs), so peptide C91-105 is not verified as HLA-DR restricted CD4 T-cell epitope.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Flow cytometry demonstration of TNF-&amp;#945;/IFN-&amp;#947; secreting CD4 T cells in peptide pools expanded PBMCs after stimulated with their respective peptide pools.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Demonstration of the analysis HBV core-specific TNF-&amp;#945;/IFN-&amp;#947; secreting CD4 T cells.</w:t>
      </w:r>
      <w:r>
        <w:rPr>
          <w:rFonts w:ascii="Calibri" w:hAnsi="Calibri" w:cs="Calibri" w:eastAsia="Calibri"/>
          <w:color w:val="auto"/>
          <w:spacing w:val="0"/>
          <w:position w:val="0"/>
          <w:sz w:val="24"/>
          <w:shd w:fill="auto" w:val="clear"/>
        </w:rPr>
        <w:t xml:space="preserve"> The TNF/DMSO and IFN-</w:t>
      </w:r>
      <w:r>
        <w:rPr>
          <w:rFonts w:ascii="Calibri" w:hAnsi="Calibri" w:cs="Calibri" w:eastAsia="Calibri"/>
          <w:color w:val="auto"/>
          <w:spacing w:val="0"/>
          <w:position w:val="0"/>
          <w:sz w:val="24"/>
          <w:shd w:fill="auto" w:val="clear"/>
        </w:rPr>
        <w:t xml:space="preserve">Ƴ/DMSO indicate the ratios of the frequencies of TNF-&amp;#945;/IFN-&amp;#947; secreting CD4 T cells in each well of peptide pool stimulated PBMCs divided by the frequency of TNF-&amp;#945;/IFN-&amp;#947; secreting CD4 T cells in the well of DMSO control. Gray background indicates wells with positive CD4 T-cell response judged by comparison with background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Demonstration of the screening of candidate peptides for epitope identification.</w:t>
      </w:r>
      <w:r>
        <w:rPr>
          <w:rFonts w:ascii="Calibri" w:hAnsi="Calibri" w:cs="Calibri" w:eastAsia="Calibri"/>
          <w:color w:val="auto"/>
          <w:spacing w:val="0"/>
          <w:position w:val="0"/>
          <w:sz w:val="24"/>
          <w:shd w:fill="auto" w:val="clear"/>
        </w:rPr>
        <w:t xml:space="preserve"> The TNF/DMSO and IFN-</w:t>
      </w:r>
      <w:r>
        <w:rPr>
          <w:rFonts w:ascii="Calibri" w:hAnsi="Calibri" w:cs="Calibri" w:eastAsia="Calibri"/>
          <w:color w:val="auto"/>
          <w:spacing w:val="0"/>
          <w:position w:val="0"/>
          <w:sz w:val="24"/>
          <w:shd w:fill="auto" w:val="clear"/>
        </w:rPr>
        <w:t xml:space="preserve">Ƴ/DMSO indicate the ratios of the frequencies of TNF-&amp;#945;/IFN-&amp;#947; secreting CD4 T cells in each well of peptide pool stimulated PBMCs divided by the frequency of TNF-&amp;#945;/IFN-&amp;#947; secreting CD4 T cells in the well of DMSO control. Gray background indicates wells with positive CD4 T-cell response judged by comparison with background control. Peptides in red indicate candidate peptides according to the screening criteria.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Flow cytometry demonstration of epitope identification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steps in this protocol are listed as follows: 1) enough PBMCs of high viability to start PBMCs expansion; 2) appropriate environment for PBMCs expansion; and 3) complete removal of residual peptide pools in PBMCs culture before epitope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analysis in this protocol depends on the robust proliferation of CD4 T cells. In general, the number of PBMCs after 10-day expansion will be 2-3 times of the initial number. The cell number and the viability of PBMCs are 2 key factors in PBMCs expansion. If the purpose is only to analyze HBV-specific CD4 T cells without epitope identification, it is reasonable to reduce the initial PBMCs number, especially when the volume of blood sample is limited. While, in our experience, successful PBMCs expansion could barely be obtained if the start number of PBMCs is below 1.5&amp;#215;10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cells/well. When using fresh PBMCs for expansion, the cell viability will not be a problem. While when using cryopreserved PBMCs for expansion, the cryopreservation and thawing of PBMCs should be conducted very carefully to maintain the viability of PBMCs.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functional analysis of HBV-specific T cells, IL-12 is usually used in PBMCs expansion to enhance the function of CD8 T cells. As IL-12 could induce differentiation of CD4 T cells towards CD4 T follicular helper cells, this cytokine should be avoided in functional analysis of HBV-specific CD4 T cells. In our protocol, only IL-2 (for T-cell expansion) and IL-7 (for T-cell survival) are supplemented to maintain the functional profile of HBV-specific CD4 T cells during expansion as intact as possible. We have tested 5 cytokines for functional analysis of HBV-specific CD4 T cells: TNF-&amp;#945;, IFN-&amp;#947;, IL-4, IL-17, and IL-21. In our analyzed samples, TNF-&amp;#945; and IFN-&amp;#947; are 2 major cytokines secreted by HBV-specific CD4 T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analyzing the functional profile of HBV-specific CD4 T cells, it is recommended to test as many as possible cytokines to obtain the detailed functional profile information. While in epitope identification, it is recommended to analyze only TNF-&amp;#945; and IFN-&amp;#947;, for economic consideration.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Enough HBV-specific CD4 T cells are vital for successful epitope identification, so epitope identification should be considered in patients with high HBV-specific CD4 T-cell response, such as hepatitis B flare patients (strong HBV-specific TNF-&amp;#945; secreting CD4 T-cell response) and patients with viral clearance (strong HBV-specific IFN-&amp;#947; CD4 T-cell response)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is very important to remove residual peptides in the peptide pool expanded PBMCs by repeated washing before incubating these cells with BLCLs for epitope identification. The residual peptides will bind to DMSO pulsed BLCLs, activate peptide-specific CD4 T cells, hereby increase the background to a great extent.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HBV antigen has variable sequences in different HBV genotypes (e.g., HBV surface antigen). A solution is to pre-determine the specific HBV genotypes in patients and design HBV genotype-specific peptide pools for patients with different HBV genotypes. While the HBV genotype is un-measurable in patients with low HBV viral loads (e.g., HBeAg negative patients with regular anti-viral treatment), in this scenario, the solution is to mix peptides from different HBV genotypes together into the same peptide pools, as we did in a previous study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drawback of this mixture strategy is that epitope might be identified as a peptide pair but not a single peptide, as some positions in the peptides matrix contain a peptide pair in the same fragment of the antigen.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drawback in this method is the time-consuming 10-day PBMCs expansion. Currently, ex vivo analysis of cytokine secretion could not detect HBV-specific CD4 T cells in a reliable way. Using peptide pulsed allogeneic BLCLs as stimulators usually detected more peptide-specific CD4 T cells in peptide expanded PBMCs, compared to simply stimulating with peptides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is worth investigating whether using peptide pulsed autologous B cells as antigen presentation cells could help to reliably detect HBV-specific CD4 T cells ex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National Natural Science Foundation of China (81930061), Chongqing Natural Science Foundation (cstc2019jcyj-zdxmX0004), and Chongqing Natural Science Foundation (cstc2019jcyj-bshX0039).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Desmond, C. P., Bartholomeusz, A., Gaudieri, S., Revill, P. A., Lewin, S. R. A systematic review of T-cell epitopes in hepatitis B virus: identification, genotypic variation and relevance to antiviral therapeutics. </w:t>
      </w:r>
      <w:r>
        <w:rPr>
          <w:rFonts w:ascii="Calibri" w:hAnsi="Calibri" w:cs="Calibri" w:eastAsia="Calibri"/>
          <w:i/>
          <w:color w:val="auto"/>
          <w:spacing w:val="0"/>
          <w:position w:val="0"/>
          <w:sz w:val="24"/>
          <w:shd w:fill="auto" w:val="clear"/>
        </w:rPr>
        <w:t xml:space="preserve">Antiviral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161-175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Mizukoshi, E. et al. Cellular immune responses to the hepatitis B virus polymerase. </w:t>
      </w:r>
      <w:r>
        <w:rPr>
          <w:rFonts w:ascii="Calibri" w:hAnsi="Calibri" w:cs="Calibri" w:eastAsia="Calibri"/>
          <w:i/>
          <w:color w:val="auto"/>
          <w:spacing w:val="0"/>
          <w:position w:val="0"/>
          <w:sz w:val="24"/>
          <w:shd w:fill="auto" w:val="clear"/>
        </w:rPr>
        <w:t xml:space="preserve">Journal of Immunology (Baltimore, Md.: 1950)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5863-5871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W&amp;#246;lfl, M., Kuball, J., Eyrich, M., Schlegel, P. G., Greenberg, P. D. Use of CD137 to study the full repertoire of CD8+ T cells without the need to know epitope specificities.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73A</w:t>
      </w:r>
      <w:r>
        <w:rPr>
          <w:rFonts w:ascii="Calibri" w:hAnsi="Calibri" w:cs="Calibri" w:eastAsia="Calibri"/>
          <w:color w:val="auto"/>
          <w:spacing w:val="0"/>
          <w:position w:val="0"/>
          <w:sz w:val="24"/>
          <w:shd w:fill="auto" w:val="clear"/>
        </w:rPr>
        <w:t xml:space="preserve">, 1043-1049,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Reiss, S. et al. Comparative analysis of activation induced marker (AIM) assays for sensitive identification of antigen-specific CD4 T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e0186998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Herati, R. S. et al. Successive annual influenza vaccination induces a recurrent oligoclonotypic memory response in circulating T follicular helper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eaag2152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Bowyer, G. et al. Activation-induced Markers Detect Vaccine-Specific CD4+ T Cell Responses Not Measured by Assays Conventionally Used in Clinical Trials. </w:t>
      </w:r>
      <w:r>
        <w:rPr>
          <w:rFonts w:ascii="Calibri" w:hAnsi="Calibri" w:cs="Calibri" w:eastAsia="Calibri"/>
          <w:i/>
          <w:color w:val="auto"/>
          <w:spacing w:val="0"/>
          <w:position w:val="0"/>
          <w:sz w:val="24"/>
          <w:shd w:fill="auto" w:val="clear"/>
        </w:rPr>
        <w:t xml:space="preserve">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Morou, A. et al. Altered differentiation is central to HIV-specific CD4(+) T cell dysfunction in progressive disease.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1059-1070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Grifoni, A. et al. Targets of T Cell Responses to SARS-CoV-2 Coronavirus in Humans with COVID-19 Disease and Unexposed Individuals.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1489-1501.e1415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Meckiff, B. J. et al. Imbalance of Regulatory and Cytotoxic SARS-CoV-2-Reactive CD4+ T Cells in COVID-19.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Boni, C. et al. Characterization of hepatitis B virus (HBV)-specific T-cell dysfunction in chronic HBV infection.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4215-4225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Chang, J. J. et al. Reduced hepatitis B virus (HBV)-specific CD4+ T-cell responses in human immunodeficiency virus type 1-HBV-coinfected individuals receiving HBV-active antiretroviral therapy.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3038-3051,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Boni, C. et al. Restored Function of HBV-Specific T Cells After Long-term Effective Therapy With Nucleos(t)ide Analogues.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963-973.e969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Kennedy, P. T. et al. Preserved T-cell function in children and young adults with immune-tolerant chronic hepatitis B.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637-645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de Niet, A. et al. Restoration of T cell function in chronic hepatitis B patients upon treatment with interferon based combination therapy.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539-546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Rinker, F. et al. Hepatitis B virus-specific T cell responses after stopping nucleos(t)ide analogue therapy in HBeAg-negative chronic hepatitis B.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584-593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Wang, H. et al. TNF-&amp;#945;/IFN-&amp;#947; profile of HBV-specific CD4 T cells is associated with liver damage and viral clearance in chronic HBV infection.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45-56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Hoffmeister, B. et al. Mapping T cell epitopes by flow cytometry.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270-281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Anthony, D. D., Lehmann, P. V. T-cell epitope mapping using the ELISPOT approach.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260-269 (2003).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