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8949B" w14:textId="77777777" w:rsidR="00527A05" w:rsidRPr="00C4060F" w:rsidRDefault="00527A05" w:rsidP="0001526A">
      <w:pPr>
        <w:pStyle w:val="NormalWeb"/>
        <w:spacing w:before="0" w:beforeAutospacing="0" w:after="0" w:afterAutospacing="0"/>
        <w:rPr>
          <w:color w:val="auto"/>
          <w:lang w:eastAsia="zh-CN"/>
        </w:rPr>
      </w:pPr>
      <w:r w:rsidRPr="00C4060F">
        <w:rPr>
          <w:b/>
          <w:bCs/>
          <w:color w:val="auto"/>
        </w:rPr>
        <w:t>TITLE:</w:t>
      </w:r>
    </w:p>
    <w:p w14:paraId="6489D539" w14:textId="22FCF0B0" w:rsidR="00527A05" w:rsidRPr="00C4060F" w:rsidRDefault="0001526A" w:rsidP="0001526A">
      <w:pPr>
        <w:rPr>
          <w:b/>
          <w:bCs/>
          <w:color w:val="auto"/>
          <w:lang w:eastAsia="zh-CN"/>
        </w:rPr>
      </w:pPr>
      <w:r w:rsidRPr="00C4060F">
        <w:rPr>
          <w:b/>
          <w:bCs/>
          <w:color w:val="auto"/>
          <w:lang w:eastAsia="zh-CN"/>
        </w:rPr>
        <w:t>Analysis of</w:t>
      </w:r>
      <w:r w:rsidR="00527A05" w:rsidRPr="00C4060F">
        <w:rPr>
          <w:b/>
          <w:bCs/>
          <w:color w:val="auto"/>
          <w:lang w:eastAsia="zh-CN"/>
        </w:rPr>
        <w:t xml:space="preserve"> </w:t>
      </w:r>
      <w:r w:rsidR="00527A05" w:rsidRPr="00C4060F">
        <w:rPr>
          <w:b/>
          <w:bCs/>
          <w:color w:val="auto"/>
        </w:rPr>
        <w:t>H</w:t>
      </w:r>
      <w:r w:rsidR="00527A05" w:rsidRPr="00C4060F">
        <w:rPr>
          <w:b/>
          <w:bCs/>
          <w:color w:val="auto"/>
          <w:lang w:eastAsia="zh-CN"/>
        </w:rPr>
        <w:t>BV</w:t>
      </w:r>
      <w:r w:rsidR="00527A05" w:rsidRPr="00C4060F">
        <w:rPr>
          <w:b/>
          <w:bCs/>
          <w:color w:val="auto"/>
        </w:rPr>
        <w:t xml:space="preserve">-specific CD4 T-cell </w:t>
      </w:r>
      <w:r w:rsidR="005759D5" w:rsidRPr="00C4060F">
        <w:rPr>
          <w:b/>
          <w:bCs/>
          <w:color w:val="auto"/>
          <w:lang w:eastAsia="zh-CN"/>
        </w:rPr>
        <w:t xml:space="preserve">Responses </w:t>
      </w:r>
      <w:r w:rsidR="00527A05" w:rsidRPr="00C4060F">
        <w:rPr>
          <w:b/>
          <w:bCs/>
          <w:color w:val="auto"/>
        </w:rPr>
        <w:t xml:space="preserve">and </w:t>
      </w:r>
      <w:r w:rsidR="00527A05" w:rsidRPr="00C4060F">
        <w:rPr>
          <w:b/>
          <w:bCs/>
          <w:color w:val="auto"/>
          <w:lang w:eastAsia="zh-CN"/>
        </w:rPr>
        <w:t>Identif</w:t>
      </w:r>
      <w:r w:rsidRPr="00C4060F">
        <w:rPr>
          <w:b/>
          <w:bCs/>
          <w:color w:val="auto"/>
          <w:lang w:eastAsia="zh-CN"/>
        </w:rPr>
        <w:t>ication of</w:t>
      </w:r>
      <w:r w:rsidR="00527A05" w:rsidRPr="00C4060F">
        <w:rPr>
          <w:b/>
          <w:bCs/>
          <w:color w:val="auto"/>
          <w:lang w:eastAsia="zh-CN"/>
        </w:rPr>
        <w:t xml:space="preserve"> </w:t>
      </w:r>
      <w:r w:rsidR="00FC7154" w:rsidRPr="00C4060F">
        <w:rPr>
          <w:b/>
          <w:bCs/>
          <w:color w:val="auto"/>
          <w:lang w:eastAsia="zh-CN"/>
        </w:rPr>
        <w:t xml:space="preserve">HLA-DR-restricted </w:t>
      </w:r>
      <w:r w:rsidR="00527A05" w:rsidRPr="00C4060F">
        <w:rPr>
          <w:b/>
          <w:bCs/>
          <w:color w:val="auto"/>
          <w:lang w:eastAsia="zh-CN"/>
        </w:rPr>
        <w:t>CD4 T-cell E</w:t>
      </w:r>
      <w:r w:rsidR="00527A05" w:rsidRPr="00C4060F">
        <w:rPr>
          <w:b/>
          <w:bCs/>
          <w:color w:val="auto"/>
        </w:rPr>
        <w:t>pitopes</w:t>
      </w:r>
      <w:r w:rsidR="00527A05" w:rsidRPr="00C4060F">
        <w:rPr>
          <w:b/>
          <w:bCs/>
          <w:color w:val="auto"/>
          <w:lang w:eastAsia="zh-CN"/>
        </w:rPr>
        <w:t xml:space="preserve"> Based on </w:t>
      </w:r>
      <w:r w:rsidRPr="00C4060F">
        <w:rPr>
          <w:b/>
          <w:bCs/>
          <w:color w:val="auto"/>
          <w:lang w:eastAsia="zh-CN"/>
        </w:rPr>
        <w:t xml:space="preserve">a </w:t>
      </w:r>
      <w:r w:rsidR="00FC7154" w:rsidRPr="00C4060F">
        <w:rPr>
          <w:b/>
          <w:bCs/>
          <w:color w:val="auto"/>
          <w:lang w:eastAsia="zh-CN"/>
        </w:rPr>
        <w:t>Peptide</w:t>
      </w:r>
      <w:r w:rsidR="00527A05" w:rsidRPr="00C4060F">
        <w:rPr>
          <w:b/>
          <w:bCs/>
          <w:color w:val="auto"/>
          <w:lang w:eastAsia="zh-CN"/>
        </w:rPr>
        <w:t xml:space="preserve"> Matrix</w:t>
      </w:r>
    </w:p>
    <w:p w14:paraId="16C5E086" w14:textId="77777777" w:rsidR="00BC3EED" w:rsidRPr="00C4060F" w:rsidRDefault="00BC3EED" w:rsidP="0001526A">
      <w:pPr>
        <w:rPr>
          <w:b/>
          <w:bCs/>
          <w:color w:val="auto"/>
          <w:lang w:eastAsia="zh-CN"/>
        </w:rPr>
      </w:pPr>
    </w:p>
    <w:p w14:paraId="40432EF9" w14:textId="77777777" w:rsidR="00527A05" w:rsidRPr="00C4060F" w:rsidRDefault="00527A05" w:rsidP="0001526A">
      <w:pPr>
        <w:rPr>
          <w:color w:val="auto"/>
        </w:rPr>
      </w:pPr>
      <w:r w:rsidRPr="00C4060F">
        <w:rPr>
          <w:b/>
          <w:bCs/>
          <w:color w:val="auto"/>
        </w:rPr>
        <w:t>AUTHORS AND AFFILIATIONS:</w:t>
      </w:r>
    </w:p>
    <w:p w14:paraId="6C6DEC6F" w14:textId="144299FD" w:rsidR="00527A05" w:rsidRPr="00C4060F" w:rsidRDefault="00527A05" w:rsidP="0001526A">
      <w:pPr>
        <w:rPr>
          <w:bCs/>
          <w:color w:val="auto"/>
          <w:vertAlign w:val="superscript"/>
          <w:lang w:eastAsia="zh-CN"/>
        </w:rPr>
      </w:pPr>
      <w:proofErr w:type="spellStart"/>
      <w:r w:rsidRPr="00C4060F">
        <w:rPr>
          <w:bCs/>
          <w:color w:val="auto"/>
          <w:lang w:eastAsia="zh-CN"/>
        </w:rPr>
        <w:t>Jianmei</w:t>
      </w:r>
      <w:proofErr w:type="spellEnd"/>
      <w:r w:rsidRPr="00C4060F">
        <w:rPr>
          <w:bCs/>
          <w:color w:val="auto"/>
          <w:lang w:eastAsia="zh-CN"/>
        </w:rPr>
        <w:t xml:space="preserve"> Xiao</w:t>
      </w:r>
      <w:r w:rsidRPr="00C4060F">
        <w:rPr>
          <w:bCs/>
          <w:color w:val="auto"/>
          <w:vertAlign w:val="superscript"/>
          <w:lang w:eastAsia="zh-CN"/>
        </w:rPr>
        <w:t>1,2</w:t>
      </w:r>
      <w:r w:rsidRPr="00C4060F">
        <w:rPr>
          <w:bCs/>
          <w:color w:val="auto"/>
          <w:lang w:eastAsia="zh-CN"/>
        </w:rPr>
        <w:t>, Xing Wan</w:t>
      </w:r>
      <w:r w:rsidRPr="00C4060F">
        <w:rPr>
          <w:bCs/>
          <w:color w:val="auto"/>
          <w:vertAlign w:val="superscript"/>
          <w:lang w:eastAsia="zh-CN"/>
        </w:rPr>
        <w:t>1,2</w:t>
      </w:r>
      <w:r w:rsidRPr="00C4060F">
        <w:rPr>
          <w:bCs/>
          <w:color w:val="auto"/>
          <w:lang w:eastAsia="zh-CN"/>
        </w:rPr>
        <w:t xml:space="preserve">, </w:t>
      </w:r>
      <w:proofErr w:type="spellStart"/>
      <w:r w:rsidRPr="00C4060F">
        <w:rPr>
          <w:bCs/>
          <w:color w:val="auto"/>
          <w:lang w:eastAsia="zh-CN"/>
        </w:rPr>
        <w:t>Haoliang</w:t>
      </w:r>
      <w:proofErr w:type="spellEnd"/>
      <w:r w:rsidRPr="00C4060F">
        <w:rPr>
          <w:bCs/>
          <w:color w:val="auto"/>
          <w:lang w:eastAsia="zh-CN"/>
        </w:rPr>
        <w:t xml:space="preserve"> Wang</w:t>
      </w:r>
      <w:r w:rsidRPr="00C4060F">
        <w:rPr>
          <w:bCs/>
          <w:color w:val="auto"/>
          <w:vertAlign w:val="superscript"/>
          <w:lang w:eastAsia="zh-CN"/>
        </w:rPr>
        <w:t>1,2</w:t>
      </w:r>
      <w:r w:rsidRPr="00C4060F">
        <w:rPr>
          <w:bCs/>
          <w:color w:val="auto"/>
          <w:lang w:eastAsia="zh-CN"/>
        </w:rPr>
        <w:t xml:space="preserve">, </w:t>
      </w:r>
      <w:proofErr w:type="spellStart"/>
      <w:r w:rsidRPr="00C4060F">
        <w:rPr>
          <w:bCs/>
          <w:color w:val="auto"/>
          <w:lang w:eastAsia="zh-CN"/>
        </w:rPr>
        <w:t>Guohong</w:t>
      </w:r>
      <w:proofErr w:type="spellEnd"/>
      <w:r w:rsidRPr="00C4060F">
        <w:rPr>
          <w:bCs/>
          <w:color w:val="auto"/>
          <w:lang w:eastAsia="zh-CN"/>
        </w:rPr>
        <w:t xml:space="preserve"> Deng</w:t>
      </w:r>
      <w:r w:rsidRPr="00C4060F">
        <w:rPr>
          <w:bCs/>
          <w:color w:val="auto"/>
          <w:vertAlign w:val="superscript"/>
          <w:lang w:eastAsia="zh-CN"/>
        </w:rPr>
        <w:t>1,2</w:t>
      </w:r>
    </w:p>
    <w:p w14:paraId="5A1A47F7" w14:textId="77777777" w:rsidR="0001526A" w:rsidRPr="00C4060F" w:rsidRDefault="0001526A" w:rsidP="0001526A">
      <w:pPr>
        <w:rPr>
          <w:bCs/>
          <w:color w:val="auto"/>
          <w:vertAlign w:val="subscript"/>
          <w:lang w:eastAsia="zh-CN"/>
        </w:rPr>
      </w:pPr>
    </w:p>
    <w:p w14:paraId="50144054" w14:textId="6B0BEBE8" w:rsidR="00527A05" w:rsidRPr="00C4060F" w:rsidRDefault="00527A05" w:rsidP="0001526A">
      <w:pPr>
        <w:rPr>
          <w:bCs/>
          <w:color w:val="auto"/>
          <w:lang w:eastAsia="zh-CN"/>
        </w:rPr>
      </w:pPr>
      <w:r w:rsidRPr="00C4060F">
        <w:rPr>
          <w:bCs/>
          <w:color w:val="auto"/>
          <w:vertAlign w:val="superscript"/>
          <w:lang w:eastAsia="zh-CN"/>
        </w:rPr>
        <w:t>1</w:t>
      </w:r>
      <w:r w:rsidRPr="00C4060F">
        <w:rPr>
          <w:bCs/>
          <w:color w:val="auto"/>
          <w:lang w:eastAsia="zh-CN"/>
        </w:rPr>
        <w:t>Department of Infectious Diseases, Southwest Hospital, Third Military Medical University (Army Medial University), Chongqing, China</w:t>
      </w:r>
    </w:p>
    <w:p w14:paraId="33F4C6D6" w14:textId="76A3C24E" w:rsidR="00527A05" w:rsidRPr="00C4060F" w:rsidRDefault="00527A05" w:rsidP="0001526A">
      <w:pPr>
        <w:rPr>
          <w:bCs/>
          <w:color w:val="auto"/>
          <w:lang w:eastAsia="zh-CN"/>
        </w:rPr>
      </w:pPr>
      <w:r w:rsidRPr="00C4060F">
        <w:rPr>
          <w:bCs/>
          <w:color w:val="auto"/>
          <w:vertAlign w:val="superscript"/>
          <w:lang w:eastAsia="zh-CN"/>
        </w:rPr>
        <w:t>2</w:t>
      </w:r>
      <w:r w:rsidRPr="00C4060F">
        <w:rPr>
          <w:bCs/>
          <w:color w:val="auto"/>
          <w:lang w:eastAsia="zh-CN"/>
        </w:rPr>
        <w:t>Chongqing Key Laboratory for Research of Infectious Diseases, Chongqing, China</w:t>
      </w:r>
    </w:p>
    <w:p w14:paraId="507CBDEF" w14:textId="77777777" w:rsidR="00527A05" w:rsidRPr="00C4060F" w:rsidRDefault="00527A05" w:rsidP="0001526A">
      <w:pPr>
        <w:rPr>
          <w:bCs/>
          <w:color w:val="auto"/>
          <w:lang w:eastAsia="zh-CN"/>
        </w:rPr>
      </w:pPr>
    </w:p>
    <w:p w14:paraId="5C8F4A85" w14:textId="77777777" w:rsidR="00527A05" w:rsidRPr="00C4060F" w:rsidRDefault="00527A05" w:rsidP="0001526A">
      <w:pPr>
        <w:rPr>
          <w:bCs/>
          <w:color w:val="auto"/>
          <w:lang w:eastAsia="zh-CN"/>
        </w:rPr>
      </w:pPr>
      <w:r w:rsidRPr="00C4060F">
        <w:rPr>
          <w:bCs/>
          <w:color w:val="auto"/>
          <w:lang w:eastAsia="zh-CN"/>
        </w:rPr>
        <w:t>Corresponding Author</w:t>
      </w:r>
      <w:r w:rsidR="007709E5" w:rsidRPr="00C4060F">
        <w:rPr>
          <w:bCs/>
          <w:color w:val="auto"/>
          <w:lang w:eastAsia="zh-CN"/>
        </w:rPr>
        <w:t>s</w:t>
      </w:r>
      <w:r w:rsidRPr="00C4060F">
        <w:rPr>
          <w:bCs/>
          <w:color w:val="auto"/>
          <w:lang w:eastAsia="zh-CN"/>
        </w:rPr>
        <w:t>:</w:t>
      </w:r>
    </w:p>
    <w:p w14:paraId="002AC236" w14:textId="77777777" w:rsidR="006D03F1" w:rsidRPr="00C4060F" w:rsidRDefault="006D03F1" w:rsidP="0001526A">
      <w:pPr>
        <w:rPr>
          <w:bCs/>
          <w:color w:val="auto"/>
          <w:lang w:eastAsia="zh-CN"/>
        </w:rPr>
      </w:pPr>
      <w:proofErr w:type="spellStart"/>
      <w:r w:rsidRPr="00C4060F">
        <w:rPr>
          <w:bCs/>
          <w:color w:val="auto"/>
          <w:lang w:eastAsia="zh-CN"/>
        </w:rPr>
        <w:t>Haoliang</w:t>
      </w:r>
      <w:proofErr w:type="spellEnd"/>
      <w:r w:rsidRPr="00C4060F">
        <w:rPr>
          <w:bCs/>
          <w:color w:val="auto"/>
          <w:lang w:eastAsia="zh-CN"/>
        </w:rPr>
        <w:t xml:space="preserve"> Wang</w:t>
      </w:r>
    </w:p>
    <w:p w14:paraId="036948B2" w14:textId="77777777" w:rsidR="006D03F1" w:rsidRPr="00C4060F" w:rsidRDefault="00BC3EED" w:rsidP="0001526A">
      <w:pPr>
        <w:rPr>
          <w:bCs/>
          <w:color w:val="auto"/>
          <w:lang w:eastAsia="zh-CN"/>
        </w:rPr>
      </w:pPr>
      <w:r w:rsidRPr="00C4060F">
        <w:rPr>
          <w:bCs/>
          <w:color w:val="auto"/>
          <w:lang w:eastAsia="zh-CN"/>
        </w:rPr>
        <w:t>haoliangw@outlook.com</w:t>
      </w:r>
    </w:p>
    <w:p w14:paraId="6D9A6DD7" w14:textId="77777777" w:rsidR="001072C7" w:rsidRPr="00C4060F" w:rsidRDefault="001072C7" w:rsidP="0001526A">
      <w:pPr>
        <w:rPr>
          <w:bCs/>
          <w:color w:val="auto"/>
          <w:lang w:eastAsia="zh-CN"/>
        </w:rPr>
      </w:pPr>
    </w:p>
    <w:p w14:paraId="5874BC07" w14:textId="77777777" w:rsidR="00527A05" w:rsidRPr="00C4060F" w:rsidRDefault="00527A05" w:rsidP="0001526A">
      <w:pPr>
        <w:rPr>
          <w:bCs/>
          <w:color w:val="auto"/>
          <w:lang w:eastAsia="zh-CN"/>
        </w:rPr>
      </w:pPr>
      <w:proofErr w:type="spellStart"/>
      <w:r w:rsidRPr="00C4060F">
        <w:rPr>
          <w:bCs/>
          <w:color w:val="auto"/>
          <w:lang w:eastAsia="zh-CN"/>
        </w:rPr>
        <w:t>Guohong</w:t>
      </w:r>
      <w:proofErr w:type="spellEnd"/>
      <w:r w:rsidRPr="00C4060F">
        <w:rPr>
          <w:bCs/>
          <w:color w:val="auto"/>
          <w:lang w:eastAsia="zh-CN"/>
        </w:rPr>
        <w:t xml:space="preserve"> Deng</w:t>
      </w:r>
    </w:p>
    <w:p w14:paraId="115E3A2D" w14:textId="77777777" w:rsidR="00527A05" w:rsidRPr="00C4060F" w:rsidRDefault="00C86192" w:rsidP="0001526A">
      <w:pPr>
        <w:rPr>
          <w:bCs/>
          <w:color w:val="auto"/>
          <w:lang w:eastAsia="zh-CN"/>
        </w:rPr>
      </w:pPr>
      <w:r w:rsidRPr="00C4060F">
        <w:rPr>
          <w:bCs/>
          <w:color w:val="auto"/>
          <w:lang w:eastAsia="zh-CN"/>
        </w:rPr>
        <w:t>gh_deng@hotmail.com</w:t>
      </w:r>
    </w:p>
    <w:p w14:paraId="51B57A73" w14:textId="77777777" w:rsidR="001072C7" w:rsidRPr="00C4060F" w:rsidRDefault="001072C7" w:rsidP="0001526A">
      <w:pPr>
        <w:rPr>
          <w:bCs/>
          <w:color w:val="auto"/>
          <w:lang w:eastAsia="zh-CN"/>
        </w:rPr>
      </w:pPr>
    </w:p>
    <w:p w14:paraId="3A275C9A" w14:textId="77777777" w:rsidR="00527A05" w:rsidRPr="00C4060F" w:rsidRDefault="00527A05" w:rsidP="0001526A">
      <w:pPr>
        <w:rPr>
          <w:bCs/>
          <w:color w:val="auto"/>
          <w:lang w:eastAsia="zh-CN"/>
        </w:rPr>
      </w:pPr>
      <w:r w:rsidRPr="00C4060F">
        <w:rPr>
          <w:bCs/>
          <w:color w:val="auto"/>
          <w:lang w:eastAsia="zh-CN"/>
        </w:rPr>
        <w:t>Email Addresses of Co-authors:</w:t>
      </w:r>
    </w:p>
    <w:p w14:paraId="13185D16" w14:textId="77777777" w:rsidR="00527A05" w:rsidRPr="00C4060F" w:rsidRDefault="00527A05" w:rsidP="0001526A">
      <w:pPr>
        <w:rPr>
          <w:bCs/>
          <w:color w:val="auto"/>
          <w:lang w:eastAsia="zh-CN"/>
        </w:rPr>
      </w:pPr>
      <w:proofErr w:type="spellStart"/>
      <w:r w:rsidRPr="00C4060F">
        <w:rPr>
          <w:bCs/>
          <w:color w:val="auto"/>
          <w:lang w:eastAsia="zh-CN"/>
        </w:rPr>
        <w:t>Jianmei</w:t>
      </w:r>
      <w:proofErr w:type="spellEnd"/>
      <w:r w:rsidRPr="00C4060F">
        <w:rPr>
          <w:bCs/>
          <w:color w:val="auto"/>
          <w:lang w:eastAsia="zh-CN"/>
        </w:rPr>
        <w:t xml:space="preserve"> Xiao (jianmeix@outlook.com), Xing Wan (wan_xing6825@outlook.com)</w:t>
      </w:r>
    </w:p>
    <w:p w14:paraId="28B7C001" w14:textId="77777777" w:rsidR="001072C7" w:rsidRPr="00C4060F" w:rsidRDefault="001072C7" w:rsidP="0001526A">
      <w:pPr>
        <w:pStyle w:val="NormalWeb"/>
        <w:spacing w:before="0" w:beforeAutospacing="0" w:after="0" w:afterAutospacing="0"/>
        <w:rPr>
          <w:b/>
          <w:bCs/>
          <w:color w:val="auto"/>
          <w:lang w:eastAsia="zh-CN"/>
        </w:rPr>
      </w:pPr>
    </w:p>
    <w:p w14:paraId="2C4DA3E2" w14:textId="77777777" w:rsidR="00527A05" w:rsidRPr="00C4060F" w:rsidRDefault="00527A05" w:rsidP="0001526A">
      <w:pPr>
        <w:pStyle w:val="NormalWeb"/>
        <w:spacing w:before="0" w:beforeAutospacing="0" w:after="0" w:afterAutospacing="0"/>
        <w:rPr>
          <w:color w:val="auto"/>
        </w:rPr>
      </w:pPr>
      <w:r w:rsidRPr="00C4060F">
        <w:rPr>
          <w:b/>
          <w:bCs/>
          <w:color w:val="auto"/>
        </w:rPr>
        <w:t>KEYWORDS:</w:t>
      </w:r>
    </w:p>
    <w:p w14:paraId="3994CD73" w14:textId="77777777" w:rsidR="00527A05" w:rsidRPr="00C4060F" w:rsidRDefault="00527A05" w:rsidP="0001526A">
      <w:pPr>
        <w:pStyle w:val="NormalWeb"/>
        <w:spacing w:before="0" w:beforeAutospacing="0" w:after="0" w:afterAutospacing="0"/>
        <w:rPr>
          <w:color w:val="auto"/>
          <w:lang w:eastAsia="zh-CN"/>
        </w:rPr>
      </w:pPr>
      <w:r w:rsidRPr="00C4060F">
        <w:rPr>
          <w:color w:val="auto"/>
          <w:lang w:eastAsia="zh-CN"/>
        </w:rPr>
        <w:t>Hepatitis B virus, CD4, T-cell response, epitope</w:t>
      </w:r>
    </w:p>
    <w:p w14:paraId="1C9A7F09" w14:textId="77777777" w:rsidR="001072C7" w:rsidRPr="00C4060F" w:rsidRDefault="001072C7" w:rsidP="0001526A">
      <w:pPr>
        <w:rPr>
          <w:b/>
          <w:bCs/>
          <w:color w:val="auto"/>
          <w:lang w:eastAsia="zh-CN"/>
        </w:rPr>
      </w:pPr>
    </w:p>
    <w:p w14:paraId="6E082FF8" w14:textId="77777777" w:rsidR="00527A05" w:rsidRPr="00C4060F" w:rsidRDefault="00527A05" w:rsidP="0001526A">
      <w:pPr>
        <w:rPr>
          <w:color w:val="auto"/>
        </w:rPr>
      </w:pPr>
      <w:r w:rsidRPr="00C4060F">
        <w:rPr>
          <w:b/>
          <w:bCs/>
          <w:color w:val="auto"/>
        </w:rPr>
        <w:t>SUMMARY:</w:t>
      </w:r>
    </w:p>
    <w:p w14:paraId="4B2523AC" w14:textId="7F63C355" w:rsidR="00527A05" w:rsidRPr="00C4060F" w:rsidRDefault="00527A05" w:rsidP="0001526A">
      <w:pPr>
        <w:rPr>
          <w:color w:val="auto"/>
          <w:lang w:eastAsia="zh-CN"/>
        </w:rPr>
      </w:pPr>
      <w:r w:rsidRPr="00C4060F">
        <w:rPr>
          <w:color w:val="auto"/>
          <w:lang w:eastAsia="zh-CN"/>
        </w:rPr>
        <w:t xml:space="preserve">Based on </w:t>
      </w:r>
      <w:r w:rsidR="0001526A" w:rsidRPr="00C4060F">
        <w:rPr>
          <w:color w:val="auto"/>
          <w:lang w:eastAsia="zh-CN"/>
        </w:rPr>
        <w:t xml:space="preserve">a </w:t>
      </w:r>
      <w:r w:rsidRPr="00C4060F">
        <w:rPr>
          <w:color w:val="auto"/>
          <w:lang w:eastAsia="zh-CN"/>
        </w:rPr>
        <w:t xml:space="preserve">hepatitis B virus (HBV)-derived </w:t>
      </w:r>
      <w:r w:rsidR="000E0F89" w:rsidRPr="00C4060F">
        <w:rPr>
          <w:color w:val="auto"/>
          <w:lang w:eastAsia="zh-CN"/>
        </w:rPr>
        <w:t xml:space="preserve">peptide </w:t>
      </w:r>
      <w:r w:rsidRPr="00C4060F">
        <w:rPr>
          <w:color w:val="auto"/>
          <w:lang w:eastAsia="zh-CN"/>
        </w:rPr>
        <w:t>matrix,</w:t>
      </w:r>
      <w:r w:rsidR="00A00A88" w:rsidRPr="00C4060F">
        <w:rPr>
          <w:color w:val="auto"/>
          <w:lang w:eastAsia="zh-CN"/>
        </w:rPr>
        <w:t xml:space="preserve"> HBV-specific CD4 T-cell response</w:t>
      </w:r>
      <w:r w:rsidR="000E0F89" w:rsidRPr="00C4060F">
        <w:rPr>
          <w:color w:val="auto"/>
          <w:lang w:eastAsia="zh-CN"/>
        </w:rPr>
        <w:t>s</w:t>
      </w:r>
      <w:r w:rsidR="00A00A88" w:rsidRPr="00C4060F">
        <w:rPr>
          <w:color w:val="auto"/>
          <w:lang w:eastAsia="zh-CN"/>
        </w:rPr>
        <w:t xml:space="preserve"> </w:t>
      </w:r>
      <w:r w:rsidR="000E0F89" w:rsidRPr="00C4060F">
        <w:rPr>
          <w:color w:val="auto"/>
          <w:lang w:eastAsia="zh-CN"/>
        </w:rPr>
        <w:t>could</w:t>
      </w:r>
      <w:r w:rsidR="00A00A88" w:rsidRPr="00C4060F">
        <w:rPr>
          <w:color w:val="auto"/>
          <w:lang w:eastAsia="zh-CN"/>
        </w:rPr>
        <w:t xml:space="preserve"> be evaluated in parallel with identification of HBV-specific CD4 T-cell epitopes.</w:t>
      </w:r>
    </w:p>
    <w:p w14:paraId="6AD64A95" w14:textId="77777777" w:rsidR="001072C7" w:rsidRPr="00C4060F" w:rsidRDefault="001072C7" w:rsidP="0001526A">
      <w:pPr>
        <w:rPr>
          <w:b/>
          <w:bCs/>
          <w:color w:val="auto"/>
          <w:lang w:eastAsia="zh-CN"/>
        </w:rPr>
      </w:pPr>
    </w:p>
    <w:p w14:paraId="39F832CF" w14:textId="77777777" w:rsidR="00527A05" w:rsidRPr="00C4060F" w:rsidRDefault="00527A05" w:rsidP="0001526A">
      <w:pPr>
        <w:rPr>
          <w:color w:val="auto"/>
        </w:rPr>
      </w:pPr>
      <w:r w:rsidRPr="00C4060F">
        <w:rPr>
          <w:b/>
          <w:bCs/>
          <w:color w:val="auto"/>
        </w:rPr>
        <w:t>ABSTRACT:</w:t>
      </w:r>
    </w:p>
    <w:p w14:paraId="01C212A2" w14:textId="726DF924" w:rsidR="00527A05" w:rsidRPr="00C4060F" w:rsidRDefault="00527A05" w:rsidP="0001526A">
      <w:pPr>
        <w:rPr>
          <w:color w:val="auto"/>
          <w:lang w:eastAsia="zh-CN"/>
        </w:rPr>
      </w:pPr>
      <w:r w:rsidRPr="00C4060F">
        <w:rPr>
          <w:color w:val="auto"/>
          <w:lang w:eastAsia="zh-CN"/>
        </w:rPr>
        <w:t xml:space="preserve">CD4 T cells play important roles in the pathogenesis of chronic hepatitis B. As a versatile cell population, CD4 T cells have been classified as distinct functional subsets based on the cytokines they secreted: for example, IFN-γ for CD4 T helper 1 cells, IL-4 and IL-13 for CD4 T helper 2 cells, IL-21 for CD4 T follicular helper cells, and IL-17 for CD4 T helper 17 cells. Analysis of </w:t>
      </w:r>
      <w:r w:rsidR="00B37ECB" w:rsidRPr="00C4060F">
        <w:rPr>
          <w:color w:val="auto"/>
          <w:lang w:eastAsia="zh-CN"/>
        </w:rPr>
        <w:t xml:space="preserve">hepatitis B virus (HBV)-specific </w:t>
      </w:r>
      <w:r w:rsidRPr="00C4060F">
        <w:rPr>
          <w:color w:val="auto"/>
          <w:lang w:eastAsia="zh-CN"/>
        </w:rPr>
        <w:t xml:space="preserve">CD4 T cells based on cytokine secretion after HBV-derived peptides stimulation could provide information not only about the magnitude of HBV-specific CD4 T-cell response but </w:t>
      </w:r>
      <w:proofErr w:type="gramStart"/>
      <w:r w:rsidRPr="00C4060F">
        <w:rPr>
          <w:color w:val="auto"/>
          <w:lang w:eastAsia="zh-CN"/>
        </w:rPr>
        <w:t>also</w:t>
      </w:r>
      <w:proofErr w:type="gramEnd"/>
      <w:r w:rsidRPr="00C4060F">
        <w:rPr>
          <w:color w:val="auto"/>
          <w:lang w:eastAsia="zh-CN"/>
        </w:rPr>
        <w:t xml:space="preserve"> about the functional subsets of HBV-specific CD4 T cells. Novel approaches, such as transcriptomics and metabolomics analysis, could provide more detailed functional information about HBV-specific CD4 T cells. These approaches usually require isolation of viable HBV-specific CD4 T cells based on </w:t>
      </w:r>
      <w:r w:rsidR="00B37ECB" w:rsidRPr="00C4060F">
        <w:rPr>
          <w:color w:val="auto"/>
          <w:lang w:eastAsia="zh-CN"/>
        </w:rPr>
        <w:t xml:space="preserve">peptide-major histocompatibility complex-II </w:t>
      </w:r>
      <w:r w:rsidRPr="00C4060F">
        <w:rPr>
          <w:color w:val="auto"/>
          <w:lang w:eastAsia="zh-CN"/>
        </w:rPr>
        <w:t xml:space="preserve">multimers, while currently the information about </w:t>
      </w:r>
      <w:r w:rsidRPr="00C4060F">
        <w:rPr>
          <w:color w:val="auto"/>
          <w:lang w:eastAsia="zh-CN"/>
        </w:rPr>
        <w:lastRenderedPageBreak/>
        <w:t xml:space="preserve">HBV-specific CD4 T-cell epitopes is limited. </w:t>
      </w:r>
      <w:r w:rsidR="001A33D6" w:rsidRPr="00C4060F">
        <w:rPr>
          <w:color w:val="auto"/>
          <w:lang w:eastAsia="zh-CN"/>
        </w:rPr>
        <w:t xml:space="preserve">Based on </w:t>
      </w:r>
      <w:r w:rsidR="00A0642C" w:rsidRPr="00C4060F">
        <w:rPr>
          <w:color w:val="auto"/>
          <w:lang w:eastAsia="zh-CN"/>
        </w:rPr>
        <w:t>a</w:t>
      </w:r>
      <w:r w:rsidR="00CA4147">
        <w:rPr>
          <w:color w:val="auto"/>
          <w:lang w:eastAsia="zh-CN"/>
        </w:rPr>
        <w:t>n</w:t>
      </w:r>
      <w:r w:rsidR="00A0642C" w:rsidRPr="00C4060F">
        <w:rPr>
          <w:color w:val="auto"/>
          <w:lang w:eastAsia="zh-CN"/>
        </w:rPr>
        <w:t xml:space="preserve"> </w:t>
      </w:r>
      <w:r w:rsidR="001A33D6" w:rsidRPr="00C4060F">
        <w:rPr>
          <w:color w:val="auto"/>
          <w:lang w:eastAsia="zh-CN"/>
        </w:rPr>
        <w:t>HBV-derived peptide matrix, a method has been developed to evaluate HBV-specific CD4 T-cell response</w:t>
      </w:r>
      <w:r w:rsidR="000279B8" w:rsidRPr="00C4060F">
        <w:rPr>
          <w:color w:val="auto"/>
          <w:lang w:eastAsia="zh-CN"/>
        </w:rPr>
        <w:t>s</w:t>
      </w:r>
      <w:r w:rsidR="001A33D6" w:rsidRPr="00C4060F">
        <w:rPr>
          <w:color w:val="auto"/>
          <w:lang w:eastAsia="zh-CN"/>
        </w:rPr>
        <w:t xml:space="preserve"> and identify HBV-specific CD4 T-cell epitopes simultaneously using peripheral blood mononuclear cells samples from chronic HBV infection patients.</w:t>
      </w:r>
    </w:p>
    <w:p w14:paraId="0D5185C1" w14:textId="77777777" w:rsidR="009E231F" w:rsidRPr="00C4060F" w:rsidRDefault="009E231F" w:rsidP="0001526A">
      <w:pPr>
        <w:rPr>
          <w:b/>
          <w:color w:val="auto"/>
          <w:lang w:eastAsia="zh-CN"/>
        </w:rPr>
      </w:pPr>
    </w:p>
    <w:p w14:paraId="0B84F9BC" w14:textId="77777777" w:rsidR="00527A05" w:rsidRPr="00C4060F" w:rsidRDefault="00527A05" w:rsidP="0001526A">
      <w:pPr>
        <w:rPr>
          <w:color w:val="auto"/>
          <w:lang w:eastAsia="zh-CN"/>
        </w:rPr>
      </w:pPr>
      <w:r w:rsidRPr="00C4060F">
        <w:rPr>
          <w:b/>
          <w:color w:val="auto"/>
        </w:rPr>
        <w:t>INTRODUCTION</w:t>
      </w:r>
      <w:r w:rsidRPr="00C4060F">
        <w:rPr>
          <w:b/>
          <w:bCs/>
          <w:color w:val="auto"/>
        </w:rPr>
        <w:t>:</w:t>
      </w:r>
    </w:p>
    <w:p w14:paraId="076D69BF" w14:textId="1E33873E" w:rsidR="00527A05" w:rsidRPr="00C4060F" w:rsidRDefault="00527A05" w:rsidP="0001526A">
      <w:pPr>
        <w:rPr>
          <w:color w:val="auto"/>
          <w:lang w:eastAsia="zh-CN"/>
        </w:rPr>
      </w:pPr>
      <w:r w:rsidRPr="00C4060F">
        <w:rPr>
          <w:color w:val="auto"/>
          <w:lang w:eastAsia="zh-CN"/>
        </w:rPr>
        <w:t>Currently, there are 3 main approaches to analyze antigen-specific T cells. The first approach is based on the interaction between</w:t>
      </w:r>
      <w:r w:rsidR="00FD2299">
        <w:rPr>
          <w:color w:val="auto"/>
          <w:lang w:eastAsia="zh-CN"/>
        </w:rPr>
        <w:t xml:space="preserve"> the</w:t>
      </w:r>
      <w:r w:rsidRPr="00C4060F">
        <w:rPr>
          <w:color w:val="auto"/>
          <w:lang w:eastAsia="zh-CN"/>
        </w:rPr>
        <w:t xml:space="preserve"> T-cell receptor and </w:t>
      </w:r>
      <w:r w:rsidR="00FD2299">
        <w:rPr>
          <w:color w:val="auto"/>
          <w:lang w:eastAsia="zh-CN"/>
        </w:rPr>
        <w:t xml:space="preserve">the </w:t>
      </w:r>
      <w:r w:rsidR="00465997" w:rsidRPr="00C4060F">
        <w:rPr>
          <w:color w:val="auto"/>
          <w:lang w:eastAsia="zh-CN"/>
        </w:rPr>
        <w:t>peptide (epitope)</w:t>
      </w:r>
      <w:r w:rsidRPr="00C4060F">
        <w:rPr>
          <w:color w:val="auto"/>
          <w:lang w:eastAsia="zh-CN"/>
        </w:rPr>
        <w:t xml:space="preserve">. Antigen-specific T cells could be directly stained with </w:t>
      </w:r>
      <w:r w:rsidR="0088672C" w:rsidRPr="00C4060F">
        <w:rPr>
          <w:color w:val="auto"/>
          <w:lang w:eastAsia="zh-CN"/>
        </w:rPr>
        <w:t>peptide-</w:t>
      </w:r>
      <w:r w:rsidR="00D059F0" w:rsidRPr="00C4060F">
        <w:rPr>
          <w:color w:val="auto"/>
          <w:lang w:eastAsia="zh-CN"/>
        </w:rPr>
        <w:t>major histocompatibility complex (MHC)</w:t>
      </w:r>
      <w:r w:rsidRPr="00C4060F">
        <w:rPr>
          <w:color w:val="auto"/>
          <w:lang w:eastAsia="zh-CN"/>
        </w:rPr>
        <w:t xml:space="preserve"> multimers. The advantage of this method is that it could obtain viable antigen-specific T cells, suitable for downstream </w:t>
      </w:r>
      <w:r w:rsidR="00E03F7A" w:rsidRPr="00C4060F">
        <w:rPr>
          <w:color w:val="auto"/>
          <w:lang w:eastAsia="zh-CN"/>
        </w:rPr>
        <w:t xml:space="preserve">transcriptomics/metabolomics </w:t>
      </w:r>
      <w:r w:rsidRPr="00C4060F">
        <w:rPr>
          <w:color w:val="auto"/>
          <w:lang w:eastAsia="zh-CN"/>
        </w:rPr>
        <w:t>analysis. A limitation of this method is that it could not provide information about the whole T-cell response to a specific antigen, as it require</w:t>
      </w:r>
      <w:r w:rsidR="00E03F7A" w:rsidRPr="00C4060F">
        <w:rPr>
          <w:color w:val="auto"/>
          <w:lang w:eastAsia="zh-CN"/>
        </w:rPr>
        <w:t>s validated epitope peptides while</w:t>
      </w:r>
      <w:r w:rsidRPr="00C4060F">
        <w:rPr>
          <w:color w:val="auto"/>
          <w:lang w:eastAsia="zh-CN"/>
        </w:rPr>
        <w:t xml:space="preserve"> the number of identified epitopes for a specific antigen </w:t>
      </w:r>
      <w:r w:rsidR="00E03F7A" w:rsidRPr="00C4060F">
        <w:rPr>
          <w:color w:val="auto"/>
          <w:lang w:eastAsia="zh-CN"/>
        </w:rPr>
        <w:t xml:space="preserve">is </w:t>
      </w:r>
      <w:r w:rsidRPr="00C4060F">
        <w:rPr>
          <w:color w:val="auto"/>
          <w:lang w:eastAsia="zh-CN"/>
        </w:rPr>
        <w:t xml:space="preserve">limited for now. Compared to </w:t>
      </w:r>
      <w:r w:rsidR="003C02B5" w:rsidRPr="00C4060F">
        <w:rPr>
          <w:color w:val="auto"/>
          <w:lang w:eastAsia="zh-CN"/>
        </w:rPr>
        <w:t xml:space="preserve">hepatitis B virus (HBV)-specific </w:t>
      </w:r>
      <w:r w:rsidRPr="00C4060F">
        <w:rPr>
          <w:color w:val="auto"/>
          <w:lang w:eastAsia="zh-CN"/>
        </w:rPr>
        <w:t xml:space="preserve">CD8 T-cell epitopes, fewer HBV-specific CD4 T-cell epitopes </w:t>
      </w:r>
      <w:r w:rsidR="00E03F7A" w:rsidRPr="00C4060F">
        <w:rPr>
          <w:color w:val="auto"/>
          <w:lang w:eastAsia="zh-CN"/>
        </w:rPr>
        <w:t xml:space="preserve">have </w:t>
      </w:r>
      <w:r w:rsidRPr="00C4060F">
        <w:rPr>
          <w:color w:val="auto"/>
          <w:lang w:eastAsia="zh-CN"/>
        </w:rPr>
        <w:t>been identified</w:t>
      </w:r>
      <w:r w:rsidRPr="00C4060F">
        <w:rPr>
          <w:noProof/>
          <w:color w:val="auto"/>
          <w:vertAlign w:val="superscript"/>
          <w:lang w:eastAsia="zh-CN"/>
        </w:rPr>
        <w:t>1,2</w:t>
      </w:r>
      <w:r w:rsidRPr="00C4060F">
        <w:rPr>
          <w:color w:val="auto"/>
          <w:lang w:eastAsia="zh-CN"/>
        </w:rPr>
        <w:t xml:space="preserve">, which made this </w:t>
      </w:r>
      <w:r w:rsidR="00E03F7A" w:rsidRPr="00C4060F">
        <w:rPr>
          <w:color w:val="auto"/>
          <w:lang w:eastAsia="zh-CN"/>
        </w:rPr>
        <w:t xml:space="preserve">method </w:t>
      </w:r>
      <w:r w:rsidRPr="00C4060F">
        <w:rPr>
          <w:color w:val="auto"/>
          <w:lang w:eastAsia="zh-CN"/>
        </w:rPr>
        <w:t>less applicable for analysis of HBV-specific CD4 T cells currently.</w:t>
      </w:r>
    </w:p>
    <w:p w14:paraId="0B7E8169" w14:textId="77777777" w:rsidR="009E231F" w:rsidRPr="00C4060F" w:rsidRDefault="009E231F" w:rsidP="0001526A">
      <w:pPr>
        <w:rPr>
          <w:color w:val="auto"/>
          <w:lang w:eastAsia="zh-CN"/>
        </w:rPr>
      </w:pPr>
    </w:p>
    <w:p w14:paraId="0F374E7D" w14:textId="4775478F" w:rsidR="00527A05" w:rsidRPr="00C4060F" w:rsidRDefault="00527A05" w:rsidP="0001526A">
      <w:pPr>
        <w:rPr>
          <w:color w:val="auto"/>
          <w:lang w:eastAsia="zh-CN"/>
        </w:rPr>
      </w:pPr>
      <w:r w:rsidRPr="00C4060F">
        <w:rPr>
          <w:color w:val="auto"/>
          <w:lang w:eastAsia="zh-CN"/>
        </w:rPr>
        <w:t>The second approach is based on the upregulation of a series of activation-induced markers after antigen peptide</w:t>
      </w:r>
      <w:r w:rsidR="00FD2299">
        <w:rPr>
          <w:color w:val="auto"/>
          <w:lang w:eastAsia="zh-CN"/>
        </w:rPr>
        <w:t xml:space="preserve"> </w:t>
      </w:r>
      <w:r w:rsidRPr="00C4060F">
        <w:rPr>
          <w:color w:val="auto"/>
          <w:lang w:eastAsia="zh-CN"/>
        </w:rPr>
        <w:t>stimulation</w:t>
      </w:r>
      <w:r w:rsidRPr="00C4060F">
        <w:rPr>
          <w:noProof/>
          <w:color w:val="auto"/>
          <w:vertAlign w:val="superscript"/>
          <w:lang w:eastAsia="zh-CN"/>
        </w:rPr>
        <w:t>3</w:t>
      </w:r>
      <w:r w:rsidRPr="00C4060F">
        <w:rPr>
          <w:color w:val="auto"/>
          <w:lang w:eastAsia="zh-CN"/>
        </w:rPr>
        <w:t xml:space="preserve">. </w:t>
      </w:r>
      <w:r w:rsidR="0088672C" w:rsidRPr="00C4060F">
        <w:rPr>
          <w:color w:val="auto"/>
          <w:lang w:eastAsia="zh-CN"/>
        </w:rPr>
        <w:t>The commonly used markers include</w:t>
      </w:r>
      <w:r w:rsidR="00A0642C" w:rsidRPr="00C4060F">
        <w:rPr>
          <w:color w:val="auto"/>
          <w:lang w:eastAsia="zh-CN"/>
        </w:rPr>
        <w:t xml:space="preserve"> </w:t>
      </w:r>
      <w:r w:rsidR="0088672C" w:rsidRPr="00C4060F">
        <w:rPr>
          <w:color w:val="auto"/>
          <w:lang w:eastAsia="zh-CN"/>
        </w:rPr>
        <w:t>CD69, CD25, OX40, CD40L, PD-L1, 4-1BB</w:t>
      </w:r>
      <w:r w:rsidRPr="00C4060F">
        <w:rPr>
          <w:noProof/>
          <w:color w:val="auto"/>
          <w:vertAlign w:val="superscript"/>
          <w:lang w:eastAsia="zh-CN"/>
        </w:rPr>
        <w:t>4</w:t>
      </w:r>
      <w:hyperlink w:anchor="_ENREF_3" w:tooltip="Wölfl, 2008 #40" w:history="1"/>
      <w:r w:rsidRPr="00C4060F">
        <w:rPr>
          <w:color w:val="auto"/>
          <w:lang w:eastAsia="zh-CN"/>
        </w:rPr>
        <w:t xml:space="preserve">. This method has now been used to analyze antigen-specific T-cell </w:t>
      </w:r>
      <w:r w:rsidR="000279B8" w:rsidRPr="00C4060F">
        <w:rPr>
          <w:color w:val="auto"/>
          <w:lang w:eastAsia="zh-CN"/>
        </w:rPr>
        <w:t>responses</w:t>
      </w:r>
      <w:r w:rsidRPr="00C4060F">
        <w:rPr>
          <w:color w:val="auto"/>
          <w:lang w:eastAsia="zh-CN"/>
        </w:rPr>
        <w:t xml:space="preserve"> in vaccinated individuals</w:t>
      </w:r>
      <w:r w:rsidRPr="00C4060F">
        <w:rPr>
          <w:noProof/>
          <w:color w:val="auto"/>
          <w:vertAlign w:val="superscript"/>
          <w:lang w:eastAsia="zh-CN"/>
        </w:rPr>
        <w:t>5,6</w:t>
      </w:r>
      <w:hyperlink w:anchor="_ENREF_5" w:tooltip="Bowyer, 2018 #37" w:history="1"/>
      <w:r w:rsidRPr="00C4060F">
        <w:rPr>
          <w:color w:val="auto"/>
          <w:lang w:eastAsia="zh-CN"/>
        </w:rPr>
        <w:t xml:space="preserve">, </w:t>
      </w:r>
      <w:r w:rsidR="003C02B5" w:rsidRPr="00C4060F">
        <w:rPr>
          <w:color w:val="auto"/>
          <w:lang w:eastAsia="zh-CN"/>
        </w:rPr>
        <w:t xml:space="preserve">Human Immunodeficiency Virus </w:t>
      </w:r>
      <w:r w:rsidRPr="00C4060F">
        <w:rPr>
          <w:color w:val="auto"/>
          <w:lang w:eastAsia="zh-CN"/>
        </w:rPr>
        <w:t>infection patients</w:t>
      </w:r>
      <w:r w:rsidRPr="00C4060F">
        <w:rPr>
          <w:noProof/>
          <w:color w:val="auto"/>
          <w:vertAlign w:val="superscript"/>
          <w:lang w:eastAsia="zh-CN"/>
        </w:rPr>
        <w:t>7</w:t>
      </w:r>
      <w:r w:rsidRPr="00C4060F">
        <w:rPr>
          <w:color w:val="auto"/>
          <w:lang w:eastAsia="zh-CN"/>
        </w:rPr>
        <w:t xml:space="preserve">, and </w:t>
      </w:r>
      <w:r w:rsidR="003C02B5" w:rsidRPr="00C4060F">
        <w:rPr>
          <w:color w:val="auto"/>
          <w:lang w:eastAsia="zh-CN"/>
        </w:rPr>
        <w:t xml:space="preserve">Severe Acute Respiratory Syndrome Coronavirus 2 </w:t>
      </w:r>
      <w:r w:rsidRPr="00C4060F">
        <w:rPr>
          <w:color w:val="auto"/>
          <w:lang w:eastAsia="zh-CN"/>
        </w:rPr>
        <w:t>infection patients</w:t>
      </w:r>
      <w:r w:rsidRPr="00C4060F">
        <w:rPr>
          <w:noProof/>
          <w:color w:val="auto"/>
          <w:vertAlign w:val="superscript"/>
          <w:lang w:eastAsia="zh-CN"/>
        </w:rPr>
        <w:t>8,9</w:t>
      </w:r>
      <w:r w:rsidRPr="00C4060F">
        <w:rPr>
          <w:color w:val="auto"/>
          <w:lang w:eastAsia="zh-CN"/>
        </w:rPr>
        <w:t xml:space="preserve">. Unlike </w:t>
      </w:r>
      <w:r w:rsidR="00FD2299">
        <w:rPr>
          <w:color w:val="auto"/>
          <w:lang w:eastAsia="zh-CN"/>
        </w:rPr>
        <w:t xml:space="preserve">the </w:t>
      </w:r>
      <w:r w:rsidRPr="00C4060F">
        <w:rPr>
          <w:color w:val="auto"/>
          <w:lang w:eastAsia="zh-CN"/>
        </w:rPr>
        <w:t>peptide-MHC multimer</w:t>
      </w:r>
      <w:r w:rsidR="00E03F7A" w:rsidRPr="00C4060F">
        <w:rPr>
          <w:color w:val="auto"/>
          <w:lang w:eastAsia="zh-CN"/>
        </w:rPr>
        <w:t>s</w:t>
      </w:r>
      <w:r w:rsidRPr="00C4060F">
        <w:rPr>
          <w:color w:val="auto"/>
          <w:lang w:eastAsia="zh-CN"/>
        </w:rPr>
        <w:t xml:space="preserve"> based assay, this method is not restricted by validated epitopes and could obtain viable cells for downstream analysis. A limitation of this method is that it could not provide information about the cytokine profile of antigen-specific T cells. Also, the expression of these activation-induced markers by some activated antigen-non-specific cells </w:t>
      </w:r>
      <w:r w:rsidR="000279B8" w:rsidRPr="00C4060F">
        <w:rPr>
          <w:color w:val="auto"/>
          <w:lang w:eastAsia="zh-CN"/>
        </w:rPr>
        <w:t xml:space="preserve">might </w:t>
      </w:r>
      <w:r w:rsidR="00192AC1" w:rsidRPr="00C4060F">
        <w:rPr>
          <w:color w:val="auto"/>
          <w:lang w:eastAsia="zh-CN"/>
        </w:rPr>
        <w:t xml:space="preserve">contribute </w:t>
      </w:r>
      <w:r w:rsidRPr="00C4060F">
        <w:rPr>
          <w:color w:val="auto"/>
          <w:lang w:eastAsia="zh-CN"/>
        </w:rPr>
        <w:t xml:space="preserve">to the background signals in analysis, which </w:t>
      </w:r>
      <w:r w:rsidR="000279B8" w:rsidRPr="00C4060F">
        <w:rPr>
          <w:color w:val="auto"/>
          <w:lang w:eastAsia="zh-CN"/>
        </w:rPr>
        <w:t xml:space="preserve">could </w:t>
      </w:r>
      <w:r w:rsidRPr="00C4060F">
        <w:rPr>
          <w:color w:val="auto"/>
          <w:lang w:eastAsia="zh-CN"/>
        </w:rPr>
        <w:t xml:space="preserve">be a problem especially when the target antigen-specific T cells </w:t>
      </w:r>
      <w:r w:rsidR="00192AC1" w:rsidRPr="00C4060F">
        <w:rPr>
          <w:color w:val="auto"/>
          <w:lang w:eastAsia="zh-CN"/>
        </w:rPr>
        <w:t xml:space="preserve">are </w:t>
      </w:r>
      <w:r w:rsidRPr="00C4060F">
        <w:rPr>
          <w:color w:val="auto"/>
          <w:lang w:eastAsia="zh-CN"/>
        </w:rPr>
        <w:t>rare. Currently, there is limited application of this method on HBV-specific CD4 T cells</w:t>
      </w:r>
      <w:r w:rsidRPr="00C4060F">
        <w:rPr>
          <w:noProof/>
          <w:color w:val="auto"/>
          <w:vertAlign w:val="superscript"/>
          <w:lang w:eastAsia="zh-CN"/>
        </w:rPr>
        <w:t>4</w:t>
      </w:r>
      <w:r w:rsidR="00192AC1" w:rsidRPr="00C4060F">
        <w:rPr>
          <w:color w:val="auto"/>
          <w:lang w:eastAsia="zh-CN"/>
        </w:rPr>
        <w:t>.</w:t>
      </w:r>
      <w:r w:rsidRPr="00C4060F">
        <w:rPr>
          <w:color w:val="auto"/>
          <w:lang w:eastAsia="zh-CN"/>
        </w:rPr>
        <w:t xml:space="preserve"> </w:t>
      </w:r>
      <w:r w:rsidR="00192AC1" w:rsidRPr="00C4060F">
        <w:rPr>
          <w:color w:val="auto"/>
          <w:lang w:eastAsia="zh-CN"/>
        </w:rPr>
        <w:t xml:space="preserve">Whether this method </w:t>
      </w:r>
      <w:r w:rsidRPr="00C4060F">
        <w:rPr>
          <w:color w:val="auto"/>
          <w:lang w:eastAsia="zh-CN"/>
        </w:rPr>
        <w:t>could be utilized to analyze HBV-specific CD4 T cells in a reliable way needs further investigation.</w:t>
      </w:r>
    </w:p>
    <w:p w14:paraId="57CAC237" w14:textId="77777777" w:rsidR="009E231F" w:rsidRPr="00C4060F" w:rsidRDefault="009E231F" w:rsidP="0001526A">
      <w:pPr>
        <w:rPr>
          <w:color w:val="auto"/>
          <w:lang w:eastAsia="zh-CN"/>
        </w:rPr>
      </w:pPr>
    </w:p>
    <w:p w14:paraId="1889A2C2" w14:textId="715B989A" w:rsidR="00527A05" w:rsidRPr="00C4060F" w:rsidRDefault="00527A05" w:rsidP="0001526A">
      <w:pPr>
        <w:rPr>
          <w:color w:val="auto"/>
          <w:lang w:eastAsia="zh-CN"/>
        </w:rPr>
      </w:pPr>
      <w:r w:rsidRPr="00C4060F">
        <w:rPr>
          <w:color w:val="auto"/>
          <w:lang w:eastAsia="zh-CN"/>
        </w:rPr>
        <w:t xml:space="preserve">The third approach is based on the cytokine secretion after antigen </w:t>
      </w:r>
      <w:r w:rsidR="00465997" w:rsidRPr="00C4060F">
        <w:rPr>
          <w:color w:val="auto"/>
          <w:lang w:eastAsia="zh-CN"/>
        </w:rPr>
        <w:t xml:space="preserve">peptide </w:t>
      </w:r>
      <w:r w:rsidRPr="00C4060F">
        <w:rPr>
          <w:color w:val="auto"/>
          <w:lang w:eastAsia="zh-CN"/>
        </w:rPr>
        <w:t xml:space="preserve">stimulation. Like activation-induced </w:t>
      </w:r>
      <w:r w:rsidR="00A0642C" w:rsidRPr="00C4060F">
        <w:rPr>
          <w:color w:val="auto"/>
          <w:lang w:eastAsia="zh-CN"/>
        </w:rPr>
        <w:t>marker-based</w:t>
      </w:r>
      <w:r w:rsidRPr="00C4060F">
        <w:rPr>
          <w:color w:val="auto"/>
          <w:lang w:eastAsia="zh-CN"/>
        </w:rPr>
        <w:t xml:space="preserve"> analysis, this method is not restricted by validated epitopes. This method could directly reveal the </w:t>
      </w:r>
      <w:r w:rsidR="00192AC1" w:rsidRPr="00C4060F">
        <w:rPr>
          <w:color w:val="auto"/>
          <w:lang w:eastAsia="zh-CN"/>
        </w:rPr>
        <w:t xml:space="preserve">cytokine </w:t>
      </w:r>
      <w:r w:rsidRPr="00C4060F">
        <w:rPr>
          <w:color w:val="auto"/>
          <w:lang w:eastAsia="zh-CN"/>
        </w:rPr>
        <w:t xml:space="preserve">profile of antigen-specific T cells. The sensitivity of this method is lower than the activation-induced </w:t>
      </w:r>
      <w:r w:rsidR="00FD2299" w:rsidRPr="00C4060F">
        <w:rPr>
          <w:color w:val="auto"/>
          <w:lang w:eastAsia="zh-CN"/>
        </w:rPr>
        <w:t>marker-based</w:t>
      </w:r>
      <w:r w:rsidRPr="00C4060F">
        <w:rPr>
          <w:color w:val="auto"/>
          <w:lang w:eastAsia="zh-CN"/>
        </w:rPr>
        <w:t xml:space="preserve"> method as it relies on the cytokine secretion of antigen-specific T cells and the number of cytokines tested is usually limited. Currently, this method is widely used in analysis of HBV-specific</w:t>
      </w:r>
      <w:r w:rsidR="003C02B5" w:rsidRPr="00C4060F">
        <w:rPr>
          <w:color w:val="auto"/>
          <w:lang w:eastAsia="zh-CN"/>
        </w:rPr>
        <w:t xml:space="preserve"> </w:t>
      </w:r>
      <w:r w:rsidRPr="00C4060F">
        <w:rPr>
          <w:color w:val="auto"/>
          <w:lang w:eastAsia="zh-CN"/>
        </w:rPr>
        <w:t xml:space="preserve">T cells. As cytokine secreting HBV-specific T cells could hardly be detected by direct ex vivo </w:t>
      </w:r>
      <w:r w:rsidR="00465997" w:rsidRPr="00C4060F">
        <w:rPr>
          <w:color w:val="auto"/>
          <w:lang w:eastAsia="zh-CN"/>
        </w:rPr>
        <w:t xml:space="preserve">peptide </w:t>
      </w:r>
      <w:r w:rsidRPr="00C4060F">
        <w:rPr>
          <w:color w:val="auto"/>
          <w:lang w:eastAsia="zh-CN"/>
        </w:rPr>
        <w:lastRenderedPageBreak/>
        <w:t>stimulation</w:t>
      </w:r>
      <w:r w:rsidRPr="00C4060F">
        <w:rPr>
          <w:noProof/>
          <w:color w:val="auto"/>
          <w:vertAlign w:val="superscript"/>
          <w:lang w:eastAsia="zh-CN"/>
        </w:rPr>
        <w:t>10</w:t>
      </w:r>
      <w:r w:rsidR="009F055E" w:rsidRPr="00C4060F">
        <w:rPr>
          <w:noProof/>
          <w:color w:val="auto"/>
          <w:vertAlign w:val="superscript"/>
          <w:lang w:eastAsia="zh-CN"/>
        </w:rPr>
        <w:t>,11</w:t>
      </w:r>
      <w:r w:rsidRPr="00C4060F">
        <w:rPr>
          <w:color w:val="auto"/>
          <w:lang w:eastAsia="zh-CN"/>
        </w:rPr>
        <w:t xml:space="preserve">, the </w:t>
      </w:r>
      <w:r w:rsidR="00192AC1" w:rsidRPr="00C4060F">
        <w:rPr>
          <w:color w:val="auto"/>
          <w:lang w:eastAsia="zh-CN"/>
        </w:rPr>
        <w:t xml:space="preserve">cytokine </w:t>
      </w:r>
      <w:r w:rsidRPr="00C4060F">
        <w:rPr>
          <w:color w:val="auto"/>
          <w:lang w:eastAsia="zh-CN"/>
        </w:rPr>
        <w:t xml:space="preserve">profile of HBV-specific T cells </w:t>
      </w:r>
      <w:r w:rsidR="003C02B5" w:rsidRPr="00C4060F">
        <w:rPr>
          <w:color w:val="auto"/>
          <w:lang w:eastAsia="zh-CN"/>
        </w:rPr>
        <w:t xml:space="preserve">is </w:t>
      </w:r>
      <w:r w:rsidRPr="00C4060F">
        <w:rPr>
          <w:color w:val="auto"/>
          <w:lang w:eastAsia="zh-CN"/>
        </w:rPr>
        <w:t xml:space="preserve">usually analyzed after 10-day in vitro </w:t>
      </w:r>
      <w:r w:rsidR="00465997" w:rsidRPr="00C4060F">
        <w:rPr>
          <w:color w:val="auto"/>
          <w:lang w:eastAsia="zh-CN"/>
        </w:rPr>
        <w:t>peptide stimulated expansion</w:t>
      </w:r>
      <w:r w:rsidRPr="00C4060F">
        <w:rPr>
          <w:noProof/>
          <w:color w:val="auto"/>
          <w:vertAlign w:val="superscript"/>
          <w:lang w:eastAsia="zh-CN"/>
        </w:rPr>
        <w:t>1</w:t>
      </w:r>
      <w:r w:rsidR="009F055E" w:rsidRPr="00C4060F">
        <w:rPr>
          <w:noProof/>
          <w:color w:val="auto"/>
          <w:vertAlign w:val="superscript"/>
          <w:lang w:eastAsia="zh-CN"/>
        </w:rPr>
        <w:t>2</w:t>
      </w:r>
      <w:r w:rsidRPr="00C4060F">
        <w:rPr>
          <w:noProof/>
          <w:color w:val="auto"/>
          <w:vertAlign w:val="superscript"/>
          <w:lang w:eastAsia="zh-CN"/>
        </w:rPr>
        <w:t>-1</w:t>
      </w:r>
      <w:r w:rsidR="009F055E" w:rsidRPr="00C4060F">
        <w:rPr>
          <w:noProof/>
          <w:color w:val="auto"/>
          <w:vertAlign w:val="superscript"/>
          <w:lang w:eastAsia="zh-CN"/>
        </w:rPr>
        <w:t>6</w:t>
      </w:r>
      <w:r w:rsidRPr="00C4060F">
        <w:rPr>
          <w:color w:val="auto"/>
          <w:lang w:eastAsia="zh-CN"/>
        </w:rPr>
        <w:t xml:space="preserve">. </w:t>
      </w:r>
      <w:r w:rsidR="00C14C26" w:rsidRPr="00C4060F">
        <w:rPr>
          <w:color w:val="auto"/>
          <w:lang w:eastAsia="zh-CN"/>
        </w:rPr>
        <w:t>Arrangement of peptide</w:t>
      </w:r>
      <w:r w:rsidR="00FD2299">
        <w:rPr>
          <w:color w:val="auto"/>
          <w:lang w:eastAsia="zh-CN"/>
        </w:rPr>
        <w:t xml:space="preserve"> </w:t>
      </w:r>
      <w:r w:rsidR="0097791F" w:rsidRPr="00C4060F">
        <w:rPr>
          <w:color w:val="auto"/>
          <w:lang w:eastAsia="zh-CN"/>
        </w:rPr>
        <w:t xml:space="preserve">pools </w:t>
      </w:r>
      <w:r w:rsidR="00C14C26" w:rsidRPr="00C4060F">
        <w:rPr>
          <w:color w:val="auto"/>
          <w:lang w:eastAsia="zh-CN"/>
        </w:rPr>
        <w:t xml:space="preserve">in </w:t>
      </w:r>
      <w:r w:rsidR="0091748C" w:rsidRPr="00C4060F">
        <w:rPr>
          <w:color w:val="auto"/>
          <w:lang w:eastAsia="zh-CN"/>
        </w:rPr>
        <w:t xml:space="preserve">a </w:t>
      </w:r>
      <w:r w:rsidR="00C14C26" w:rsidRPr="00C4060F">
        <w:rPr>
          <w:color w:val="auto"/>
          <w:lang w:eastAsia="zh-CN"/>
        </w:rPr>
        <w:t xml:space="preserve">matrix form </w:t>
      </w:r>
      <w:r w:rsidRPr="00C4060F">
        <w:rPr>
          <w:color w:val="auto"/>
          <w:lang w:eastAsia="zh-CN"/>
        </w:rPr>
        <w:t>has been utilized to facilitate identification of antigen-specific epitopes</w:t>
      </w:r>
      <w:r w:rsidRPr="00C4060F">
        <w:rPr>
          <w:noProof/>
          <w:color w:val="auto"/>
          <w:vertAlign w:val="superscript"/>
          <w:lang w:eastAsia="zh-CN"/>
        </w:rPr>
        <w:t>1</w:t>
      </w:r>
      <w:r w:rsidR="009F055E" w:rsidRPr="00C4060F">
        <w:rPr>
          <w:noProof/>
          <w:color w:val="auto"/>
          <w:vertAlign w:val="superscript"/>
          <w:lang w:eastAsia="zh-CN"/>
        </w:rPr>
        <w:t>7</w:t>
      </w:r>
      <w:r w:rsidRPr="00C4060F">
        <w:rPr>
          <w:noProof/>
          <w:color w:val="auto"/>
          <w:vertAlign w:val="superscript"/>
          <w:lang w:eastAsia="zh-CN"/>
        </w:rPr>
        <w:t>,1</w:t>
      </w:r>
      <w:r w:rsidR="009F055E" w:rsidRPr="00C4060F">
        <w:rPr>
          <w:noProof/>
          <w:color w:val="auto"/>
          <w:vertAlign w:val="superscript"/>
          <w:lang w:eastAsia="zh-CN"/>
        </w:rPr>
        <w:t>8</w:t>
      </w:r>
      <w:r w:rsidRPr="00C4060F">
        <w:rPr>
          <w:color w:val="auto"/>
          <w:lang w:eastAsia="zh-CN"/>
        </w:rPr>
        <w:t xml:space="preserve">. </w:t>
      </w:r>
      <w:r w:rsidR="000279B8" w:rsidRPr="00C4060F">
        <w:rPr>
          <w:color w:val="auto"/>
          <w:lang w:eastAsia="zh-CN"/>
        </w:rPr>
        <w:t>With the combination of peptide matrix and cytokine secretion analysis, a method has been developed</w:t>
      </w:r>
      <w:r w:rsidR="0091748C" w:rsidRPr="00C4060F">
        <w:rPr>
          <w:color w:val="auto"/>
          <w:lang w:eastAsia="zh-CN"/>
        </w:rPr>
        <w:t xml:space="preserve"> to evaluate HBV-specific CD4 T-cell response</w:t>
      </w:r>
      <w:r w:rsidR="000279B8" w:rsidRPr="00C4060F">
        <w:rPr>
          <w:color w:val="auto"/>
          <w:lang w:eastAsia="zh-CN"/>
        </w:rPr>
        <w:t>s</w:t>
      </w:r>
      <w:r w:rsidR="0091748C" w:rsidRPr="00C4060F">
        <w:rPr>
          <w:color w:val="auto"/>
          <w:lang w:eastAsia="zh-CN"/>
        </w:rPr>
        <w:t xml:space="preserve"> and identify HBV-specific CD4 T-cell epitopes simultaneously</w:t>
      </w:r>
      <w:r w:rsidR="0091748C" w:rsidRPr="00C4060F">
        <w:rPr>
          <w:color w:val="auto"/>
          <w:vertAlign w:val="superscript"/>
          <w:lang w:eastAsia="zh-CN"/>
        </w:rPr>
        <w:t>16</w:t>
      </w:r>
      <w:r w:rsidR="0091748C" w:rsidRPr="00C4060F">
        <w:rPr>
          <w:color w:val="auto"/>
          <w:lang w:eastAsia="zh-CN"/>
        </w:rPr>
        <w:t xml:space="preserve">. </w:t>
      </w:r>
      <w:r w:rsidRPr="00C4060F">
        <w:rPr>
          <w:color w:val="auto"/>
          <w:lang w:eastAsia="zh-CN"/>
        </w:rPr>
        <w:t xml:space="preserve">In this protocol, </w:t>
      </w:r>
      <w:r w:rsidR="0091748C" w:rsidRPr="00C4060F">
        <w:rPr>
          <w:color w:val="auto"/>
          <w:lang w:eastAsia="zh-CN"/>
        </w:rPr>
        <w:t>the details of this method are</w:t>
      </w:r>
      <w:r w:rsidR="00D76E54" w:rsidRPr="00C4060F">
        <w:rPr>
          <w:color w:val="auto"/>
          <w:lang w:eastAsia="zh-CN"/>
        </w:rPr>
        <w:t xml:space="preserve"> described.</w:t>
      </w:r>
      <w:r w:rsidRPr="00C4060F">
        <w:rPr>
          <w:color w:val="auto"/>
          <w:lang w:eastAsia="zh-CN"/>
        </w:rPr>
        <w:t xml:space="preserve"> </w:t>
      </w:r>
      <w:r w:rsidR="00D76E54" w:rsidRPr="00C4060F">
        <w:rPr>
          <w:color w:val="auto"/>
          <w:lang w:eastAsia="zh-CN"/>
        </w:rPr>
        <w:t>HBV core antigen is chosen as an example of demonstration in this protocol.</w:t>
      </w:r>
    </w:p>
    <w:p w14:paraId="733599BB" w14:textId="77777777" w:rsidR="009E231F" w:rsidRPr="00C4060F" w:rsidRDefault="009E231F" w:rsidP="0001526A">
      <w:pPr>
        <w:rPr>
          <w:b/>
          <w:color w:val="auto"/>
          <w:lang w:eastAsia="zh-CN"/>
        </w:rPr>
      </w:pPr>
    </w:p>
    <w:p w14:paraId="6A57900B" w14:textId="77777777" w:rsidR="00527A05" w:rsidRPr="00C4060F" w:rsidRDefault="00527A05" w:rsidP="0001526A">
      <w:pPr>
        <w:rPr>
          <w:color w:val="auto"/>
          <w:lang w:eastAsia="zh-CN"/>
        </w:rPr>
      </w:pPr>
      <w:r w:rsidRPr="00C4060F">
        <w:rPr>
          <w:b/>
          <w:color w:val="auto"/>
        </w:rPr>
        <w:t>PROTOCOL:</w:t>
      </w:r>
    </w:p>
    <w:p w14:paraId="3C3DF29A" w14:textId="77777777" w:rsidR="00612C7D" w:rsidRPr="00C4060F" w:rsidRDefault="00612C7D" w:rsidP="0001526A">
      <w:pPr>
        <w:rPr>
          <w:b/>
          <w:color w:val="auto"/>
          <w:lang w:eastAsia="zh-CN"/>
        </w:rPr>
      </w:pPr>
    </w:p>
    <w:p w14:paraId="6317A72A" w14:textId="77777777" w:rsidR="00612C7D" w:rsidRPr="00C4060F" w:rsidRDefault="00612C7D" w:rsidP="0001526A">
      <w:pPr>
        <w:rPr>
          <w:color w:val="auto"/>
          <w:lang w:eastAsia="zh-CN"/>
        </w:rPr>
      </w:pPr>
      <w:r w:rsidRPr="00C4060F">
        <w:rPr>
          <w:color w:val="auto"/>
          <w:lang w:eastAsia="zh-CN"/>
        </w:rPr>
        <w:t>Written informed consent was obtained from each patient included in the study. The study protocol conforms to the ethical guidelines of the 1975 Declaration of Helsinki as reflected in a priori approval by Southwest Hospital's human research committee.</w:t>
      </w:r>
    </w:p>
    <w:p w14:paraId="1D74D8DE" w14:textId="77777777" w:rsidR="00612C7D" w:rsidRPr="00C4060F" w:rsidRDefault="00612C7D" w:rsidP="0001526A">
      <w:pPr>
        <w:rPr>
          <w:b/>
          <w:color w:val="auto"/>
          <w:lang w:eastAsia="zh-CN"/>
        </w:rPr>
      </w:pPr>
    </w:p>
    <w:p w14:paraId="26B071A0" w14:textId="57384C4B" w:rsidR="00527A05" w:rsidRPr="00C4060F" w:rsidRDefault="00527A05" w:rsidP="0001526A">
      <w:pPr>
        <w:rPr>
          <w:b/>
          <w:color w:val="auto"/>
          <w:lang w:eastAsia="zh-CN"/>
        </w:rPr>
      </w:pPr>
      <w:r w:rsidRPr="00C4060F">
        <w:rPr>
          <w:b/>
          <w:color w:val="auto"/>
          <w:lang w:eastAsia="zh-CN"/>
        </w:rPr>
        <w:t>1.</w:t>
      </w:r>
      <w:r w:rsidR="006008E3" w:rsidRPr="00C4060F">
        <w:rPr>
          <w:b/>
          <w:color w:val="auto"/>
          <w:lang w:eastAsia="zh-CN"/>
        </w:rPr>
        <w:t xml:space="preserve"> </w:t>
      </w:r>
      <w:r w:rsidRPr="00C4060F">
        <w:rPr>
          <w:b/>
          <w:color w:val="auto"/>
          <w:lang w:eastAsia="zh-CN"/>
        </w:rPr>
        <w:t xml:space="preserve">Design of </w:t>
      </w:r>
      <w:r w:rsidR="00FD2299">
        <w:rPr>
          <w:b/>
          <w:color w:val="auto"/>
          <w:lang w:eastAsia="zh-CN"/>
        </w:rPr>
        <w:t xml:space="preserve">the </w:t>
      </w:r>
      <w:r w:rsidRPr="00C4060F">
        <w:rPr>
          <w:b/>
          <w:color w:val="auto"/>
          <w:lang w:eastAsia="zh-CN"/>
        </w:rPr>
        <w:t xml:space="preserve">HBV-derived </w:t>
      </w:r>
      <w:r w:rsidR="00FD2299" w:rsidRPr="00C4060F">
        <w:rPr>
          <w:b/>
          <w:color w:val="auto"/>
          <w:lang w:eastAsia="zh-CN"/>
        </w:rPr>
        <w:t>peptide</w:t>
      </w:r>
      <w:r w:rsidR="00FD2299">
        <w:rPr>
          <w:b/>
          <w:color w:val="auto"/>
          <w:lang w:eastAsia="zh-CN"/>
        </w:rPr>
        <w:t xml:space="preserve"> </w:t>
      </w:r>
      <w:r w:rsidR="00FD2299" w:rsidRPr="00C4060F">
        <w:rPr>
          <w:b/>
          <w:color w:val="auto"/>
          <w:lang w:eastAsia="zh-CN"/>
        </w:rPr>
        <w:t>matrix</w:t>
      </w:r>
    </w:p>
    <w:p w14:paraId="5A03CAB6" w14:textId="77777777" w:rsidR="009E231F" w:rsidRPr="00C4060F" w:rsidRDefault="009E231F" w:rsidP="0001526A">
      <w:pPr>
        <w:rPr>
          <w:color w:val="auto"/>
          <w:lang w:eastAsia="zh-CN"/>
        </w:rPr>
      </w:pPr>
    </w:p>
    <w:p w14:paraId="5E847BD0" w14:textId="4A0A8924" w:rsidR="00527A05" w:rsidRPr="00C4060F" w:rsidRDefault="00527A05" w:rsidP="0001526A">
      <w:pPr>
        <w:rPr>
          <w:color w:val="auto"/>
          <w:lang w:eastAsia="zh-CN"/>
        </w:rPr>
      </w:pPr>
      <w:r w:rsidRPr="00C4060F">
        <w:rPr>
          <w:color w:val="auto"/>
          <w:lang w:eastAsia="zh-CN"/>
        </w:rPr>
        <w:t>1.1</w:t>
      </w:r>
      <w:r w:rsidR="009E231F" w:rsidRPr="00C4060F">
        <w:rPr>
          <w:color w:val="auto"/>
          <w:lang w:eastAsia="zh-CN"/>
        </w:rPr>
        <w:t>.</w:t>
      </w:r>
      <w:r w:rsidRPr="00C4060F">
        <w:rPr>
          <w:color w:val="auto"/>
          <w:lang w:eastAsia="zh-CN"/>
        </w:rPr>
        <w:t xml:space="preserve"> Download amino acid sequences of </w:t>
      </w:r>
      <w:r w:rsidR="00FD2299">
        <w:rPr>
          <w:color w:val="auto"/>
          <w:lang w:eastAsia="zh-CN"/>
        </w:rPr>
        <w:t xml:space="preserve">the </w:t>
      </w:r>
      <w:r w:rsidRPr="00C4060F">
        <w:rPr>
          <w:color w:val="auto"/>
          <w:lang w:eastAsia="zh-CN"/>
        </w:rPr>
        <w:t>HBV core antigen from NCBI databases</w:t>
      </w:r>
      <w:r w:rsidR="0044037F" w:rsidRPr="00C4060F">
        <w:rPr>
          <w:color w:val="auto"/>
          <w:lang w:eastAsia="zh-CN"/>
        </w:rPr>
        <w:t xml:space="preserve"> (GenBank: AFY98989.1)</w:t>
      </w:r>
      <w:r w:rsidRPr="00C4060F">
        <w:rPr>
          <w:color w:val="auto"/>
          <w:lang w:eastAsia="zh-CN"/>
        </w:rPr>
        <w:t xml:space="preserve">. </w:t>
      </w:r>
    </w:p>
    <w:p w14:paraId="1B8EB048" w14:textId="77777777" w:rsidR="009E231F" w:rsidRPr="00C4060F" w:rsidRDefault="009E231F" w:rsidP="0001526A">
      <w:pPr>
        <w:rPr>
          <w:color w:val="auto"/>
          <w:lang w:eastAsia="zh-CN"/>
        </w:rPr>
      </w:pPr>
    </w:p>
    <w:p w14:paraId="4C0D8C34" w14:textId="7A3B0CA9" w:rsidR="00527A05" w:rsidRPr="00C4060F" w:rsidRDefault="00527A05" w:rsidP="0001526A">
      <w:pPr>
        <w:rPr>
          <w:color w:val="auto"/>
          <w:lang w:eastAsia="zh-CN"/>
        </w:rPr>
      </w:pPr>
      <w:r w:rsidRPr="00C4060F">
        <w:rPr>
          <w:color w:val="auto"/>
          <w:lang w:eastAsia="zh-CN"/>
        </w:rPr>
        <w:t>1.2</w:t>
      </w:r>
      <w:r w:rsidR="009E231F" w:rsidRPr="00C4060F">
        <w:rPr>
          <w:color w:val="auto"/>
          <w:lang w:eastAsia="zh-CN"/>
        </w:rPr>
        <w:t>.</w:t>
      </w:r>
      <w:r w:rsidRPr="00C4060F">
        <w:rPr>
          <w:color w:val="auto"/>
          <w:lang w:eastAsia="zh-CN"/>
        </w:rPr>
        <w:t xml:space="preserve"> Purchase HBV core antigen derived peptides</w:t>
      </w:r>
      <w:r w:rsidR="00F367ED" w:rsidRPr="00C4060F">
        <w:rPr>
          <w:color w:val="auto"/>
          <w:lang w:eastAsia="zh-CN"/>
        </w:rPr>
        <w:t xml:space="preserve"> (a panel of 35 15-mer peptides overlapping by 10 residues</w:t>
      </w:r>
      <w:r w:rsidR="00F07353" w:rsidRPr="00C4060F">
        <w:rPr>
          <w:color w:val="auto"/>
          <w:lang w:eastAsia="zh-CN"/>
        </w:rPr>
        <w:t xml:space="preserve">, </w:t>
      </w:r>
      <w:r w:rsidR="006737A9" w:rsidRPr="00C4060F">
        <w:rPr>
          <w:color w:val="auto"/>
          <w:lang w:eastAsia="zh-CN"/>
        </w:rPr>
        <w:t xml:space="preserve">purity &gt; 90%, </w:t>
      </w:r>
      <w:r w:rsidR="00F07353" w:rsidRPr="00C4060F">
        <w:rPr>
          <w:color w:val="auto"/>
          <w:lang w:eastAsia="zh-CN"/>
        </w:rPr>
        <w:t>4 mg/peptide</w:t>
      </w:r>
      <w:r w:rsidR="00F367ED" w:rsidRPr="00C4060F">
        <w:rPr>
          <w:color w:val="auto"/>
          <w:lang w:eastAsia="zh-CN"/>
        </w:rPr>
        <w:t>)</w:t>
      </w:r>
      <w:r w:rsidRPr="00C4060F">
        <w:rPr>
          <w:color w:val="auto"/>
          <w:lang w:eastAsia="zh-CN"/>
        </w:rPr>
        <w:t xml:space="preserve"> from </w:t>
      </w:r>
      <w:r w:rsidR="00D72009" w:rsidRPr="00C4060F">
        <w:rPr>
          <w:color w:val="auto"/>
          <w:lang w:eastAsia="zh-CN"/>
        </w:rPr>
        <w:t xml:space="preserve">a peptide </w:t>
      </w:r>
      <w:r w:rsidRPr="00C4060F">
        <w:rPr>
          <w:color w:val="auto"/>
          <w:lang w:eastAsia="zh-CN"/>
        </w:rPr>
        <w:t>synthesis service provider.</w:t>
      </w:r>
    </w:p>
    <w:p w14:paraId="3EC87CC2" w14:textId="77777777" w:rsidR="009E231F" w:rsidRPr="00C4060F" w:rsidRDefault="009E231F" w:rsidP="0001526A">
      <w:pPr>
        <w:rPr>
          <w:color w:val="auto"/>
          <w:lang w:eastAsia="zh-CN"/>
        </w:rPr>
      </w:pPr>
    </w:p>
    <w:p w14:paraId="2C66FE76" w14:textId="27A2881E" w:rsidR="00527A05" w:rsidRPr="00C4060F" w:rsidRDefault="00527A05" w:rsidP="0001526A">
      <w:pPr>
        <w:rPr>
          <w:color w:val="auto"/>
          <w:lang w:eastAsia="zh-CN"/>
        </w:rPr>
      </w:pPr>
      <w:r w:rsidRPr="00C4060F">
        <w:rPr>
          <w:color w:val="auto"/>
          <w:lang w:eastAsia="zh-CN"/>
        </w:rPr>
        <w:t>1.3</w:t>
      </w:r>
      <w:r w:rsidR="009E231F" w:rsidRPr="00C4060F">
        <w:rPr>
          <w:color w:val="auto"/>
          <w:lang w:eastAsia="zh-CN"/>
        </w:rPr>
        <w:t>.</w:t>
      </w:r>
      <w:r w:rsidRPr="00C4060F">
        <w:rPr>
          <w:color w:val="auto"/>
          <w:lang w:eastAsia="zh-CN"/>
        </w:rPr>
        <w:t xml:space="preserve"> Set</w:t>
      </w:r>
      <w:r w:rsidR="007B409A" w:rsidRPr="00C4060F">
        <w:rPr>
          <w:color w:val="auto"/>
          <w:lang w:eastAsia="zh-CN"/>
        </w:rPr>
        <w:t xml:space="preserve"> </w:t>
      </w:r>
      <w:r w:rsidRPr="00C4060F">
        <w:rPr>
          <w:color w:val="auto"/>
          <w:lang w:eastAsia="zh-CN"/>
        </w:rPr>
        <w:t xml:space="preserve">up a square 6×6 </w:t>
      </w:r>
      <w:r w:rsidR="00D72009" w:rsidRPr="00C4060F">
        <w:rPr>
          <w:color w:val="auto"/>
          <w:lang w:eastAsia="zh-CN"/>
        </w:rPr>
        <w:t xml:space="preserve">peptide </w:t>
      </w:r>
      <w:r w:rsidRPr="00C4060F">
        <w:rPr>
          <w:color w:val="auto"/>
          <w:lang w:eastAsia="zh-CN"/>
        </w:rPr>
        <w:t xml:space="preserve">matrix with each position in the matrix containing only one </w:t>
      </w:r>
      <w:r w:rsidR="00F367ED" w:rsidRPr="00C4060F">
        <w:rPr>
          <w:color w:val="auto"/>
          <w:lang w:eastAsia="zh-CN"/>
        </w:rPr>
        <w:t xml:space="preserve">1 </w:t>
      </w:r>
      <w:r w:rsidRPr="00C4060F">
        <w:rPr>
          <w:color w:val="auto"/>
          <w:lang w:eastAsia="zh-CN"/>
        </w:rPr>
        <w:t xml:space="preserve">peptide. There are 12 </w:t>
      </w:r>
      <w:r w:rsidR="00D72009" w:rsidRPr="00C4060F">
        <w:rPr>
          <w:color w:val="auto"/>
          <w:lang w:eastAsia="zh-CN"/>
        </w:rPr>
        <w:t>peptide</w:t>
      </w:r>
      <w:r w:rsidRPr="00C4060F">
        <w:rPr>
          <w:color w:val="auto"/>
          <w:lang w:eastAsia="zh-CN"/>
        </w:rPr>
        <w:t xml:space="preserve"> pools: 6 row </w:t>
      </w:r>
      <w:r w:rsidR="00D72009" w:rsidRPr="00C4060F">
        <w:rPr>
          <w:color w:val="auto"/>
          <w:lang w:eastAsia="zh-CN"/>
        </w:rPr>
        <w:t>peptide</w:t>
      </w:r>
      <w:r w:rsidRPr="00C4060F">
        <w:rPr>
          <w:color w:val="auto"/>
          <w:lang w:eastAsia="zh-CN"/>
        </w:rPr>
        <w:t xml:space="preserve"> pools and 6 column </w:t>
      </w:r>
      <w:r w:rsidR="00D72009" w:rsidRPr="00C4060F">
        <w:rPr>
          <w:color w:val="auto"/>
          <w:lang w:eastAsia="zh-CN"/>
        </w:rPr>
        <w:t>peptide</w:t>
      </w:r>
      <w:r w:rsidRPr="00C4060F">
        <w:rPr>
          <w:color w:val="auto"/>
          <w:lang w:eastAsia="zh-CN"/>
        </w:rPr>
        <w:t xml:space="preserve"> pools, 5-6 peptides in each pool</w:t>
      </w:r>
      <w:r w:rsidR="00B6799D" w:rsidRPr="00C4060F">
        <w:rPr>
          <w:color w:val="auto"/>
          <w:vertAlign w:val="superscript"/>
          <w:lang w:eastAsia="zh-CN"/>
        </w:rPr>
        <w:t>1</w:t>
      </w:r>
      <w:r w:rsidR="000279B8" w:rsidRPr="00C4060F">
        <w:rPr>
          <w:color w:val="auto"/>
          <w:vertAlign w:val="superscript"/>
          <w:lang w:eastAsia="zh-CN"/>
        </w:rPr>
        <w:t>6</w:t>
      </w:r>
      <w:r w:rsidRPr="00C4060F">
        <w:rPr>
          <w:color w:val="auto"/>
          <w:lang w:eastAsia="zh-CN"/>
        </w:rPr>
        <w:t>.</w:t>
      </w:r>
      <w:r w:rsidR="00E71F1D" w:rsidRPr="00C4060F">
        <w:rPr>
          <w:color w:val="auto"/>
          <w:lang w:eastAsia="zh-CN"/>
        </w:rPr>
        <w:t xml:space="preserve"> The row peptide pool</w:t>
      </w:r>
      <w:r w:rsidR="00572BF9" w:rsidRPr="00C4060F">
        <w:rPr>
          <w:color w:val="auto"/>
          <w:lang w:eastAsia="zh-CN"/>
        </w:rPr>
        <w:t>s</w:t>
      </w:r>
      <w:r w:rsidR="00E71F1D" w:rsidRPr="00C4060F">
        <w:rPr>
          <w:color w:val="auto"/>
          <w:lang w:eastAsia="zh-CN"/>
        </w:rPr>
        <w:t xml:space="preserve"> and the column peptide pools in the matrix represent 2 separate formations of HBV core antigen.</w:t>
      </w:r>
    </w:p>
    <w:p w14:paraId="063CC27F" w14:textId="77777777" w:rsidR="009E231F" w:rsidRPr="00C4060F" w:rsidRDefault="009E231F" w:rsidP="0001526A">
      <w:pPr>
        <w:rPr>
          <w:color w:val="auto"/>
          <w:lang w:eastAsia="zh-CN"/>
        </w:rPr>
      </w:pPr>
    </w:p>
    <w:p w14:paraId="61711F05" w14:textId="77777777" w:rsidR="007B409A" w:rsidRPr="00C4060F" w:rsidRDefault="00527A05" w:rsidP="0001526A">
      <w:pPr>
        <w:rPr>
          <w:color w:val="auto"/>
          <w:lang w:eastAsia="zh-CN"/>
        </w:rPr>
      </w:pPr>
      <w:r w:rsidRPr="00C4060F">
        <w:rPr>
          <w:color w:val="auto"/>
          <w:lang w:eastAsia="zh-CN"/>
        </w:rPr>
        <w:t>1.4</w:t>
      </w:r>
      <w:r w:rsidR="009E231F" w:rsidRPr="00C4060F">
        <w:rPr>
          <w:color w:val="auto"/>
          <w:lang w:eastAsia="zh-CN"/>
        </w:rPr>
        <w:t>.</w:t>
      </w:r>
      <w:r w:rsidRPr="00C4060F">
        <w:rPr>
          <w:color w:val="auto"/>
          <w:lang w:eastAsia="zh-CN"/>
        </w:rPr>
        <w:t xml:space="preserve"> For 3/4 of the purchased peptides, mix peptides in the same row/column of the matrix </w:t>
      </w:r>
      <w:r w:rsidR="00F367ED" w:rsidRPr="00C4060F">
        <w:rPr>
          <w:color w:val="auto"/>
          <w:lang w:eastAsia="zh-CN"/>
        </w:rPr>
        <w:t>into 12 separate peptide pools</w:t>
      </w:r>
      <w:r w:rsidR="007B409A" w:rsidRPr="00C4060F">
        <w:rPr>
          <w:color w:val="auto"/>
          <w:lang w:eastAsia="zh-CN"/>
        </w:rPr>
        <w:t xml:space="preserve"> </w:t>
      </w:r>
      <w:r w:rsidR="001C22AF" w:rsidRPr="00C4060F">
        <w:rPr>
          <w:color w:val="auto"/>
          <w:lang w:eastAsia="zh-CN"/>
        </w:rPr>
        <w:t xml:space="preserve">by dissolving them together </w:t>
      </w:r>
      <w:r w:rsidRPr="00C4060F">
        <w:rPr>
          <w:color w:val="auto"/>
          <w:lang w:eastAsia="zh-CN"/>
        </w:rPr>
        <w:t xml:space="preserve">in </w:t>
      </w:r>
      <w:r w:rsidR="007B409A" w:rsidRPr="00C4060F">
        <w:rPr>
          <w:color w:val="auto"/>
          <w:lang w:eastAsia="zh-CN"/>
        </w:rPr>
        <w:t>dimethyl sulfoxi</w:t>
      </w:r>
      <w:r w:rsidR="006737A9" w:rsidRPr="00C4060F">
        <w:rPr>
          <w:color w:val="auto"/>
          <w:lang w:eastAsia="zh-CN"/>
        </w:rPr>
        <w:t>de (</w:t>
      </w:r>
      <w:r w:rsidRPr="00C4060F">
        <w:rPr>
          <w:color w:val="auto"/>
          <w:lang w:eastAsia="zh-CN"/>
        </w:rPr>
        <w:t>DMSO</w:t>
      </w:r>
      <w:r w:rsidR="006737A9" w:rsidRPr="00C4060F">
        <w:rPr>
          <w:color w:val="auto"/>
          <w:lang w:eastAsia="zh-CN"/>
        </w:rPr>
        <w:t>)</w:t>
      </w:r>
      <w:r w:rsidRPr="00C4060F">
        <w:rPr>
          <w:color w:val="auto"/>
          <w:lang w:eastAsia="zh-CN"/>
        </w:rPr>
        <w:t xml:space="preserve"> (2 μg/μL for each peptide</w:t>
      </w:r>
      <w:r w:rsidR="007B409A" w:rsidRPr="00C4060F">
        <w:rPr>
          <w:color w:val="auto"/>
          <w:lang w:eastAsia="zh-CN"/>
        </w:rPr>
        <w:t>). S</w:t>
      </w:r>
      <w:r w:rsidRPr="00C4060F">
        <w:rPr>
          <w:color w:val="auto"/>
          <w:lang w:eastAsia="zh-CN"/>
        </w:rPr>
        <w:t>tore at -80</w:t>
      </w:r>
      <w:r w:rsidR="007B409A" w:rsidRPr="00C4060F">
        <w:rPr>
          <w:color w:val="auto"/>
          <w:lang w:eastAsia="zh-CN"/>
        </w:rPr>
        <w:t xml:space="preserve"> °C </w:t>
      </w:r>
      <w:r w:rsidRPr="00C4060F">
        <w:rPr>
          <w:color w:val="auto"/>
          <w:lang w:eastAsia="zh-CN"/>
        </w:rPr>
        <w:t xml:space="preserve">for analysis of HBV-specific CD4 T-cell </w:t>
      </w:r>
      <w:r w:rsidR="00D72009" w:rsidRPr="00C4060F">
        <w:rPr>
          <w:color w:val="auto"/>
          <w:lang w:eastAsia="zh-CN"/>
        </w:rPr>
        <w:t>responses</w:t>
      </w:r>
      <w:r w:rsidRPr="00C4060F">
        <w:rPr>
          <w:color w:val="auto"/>
          <w:lang w:eastAsia="zh-CN"/>
        </w:rPr>
        <w:t xml:space="preserve">. </w:t>
      </w:r>
    </w:p>
    <w:p w14:paraId="2CB347E5" w14:textId="77777777" w:rsidR="007B409A" w:rsidRPr="00C4060F" w:rsidRDefault="007B409A" w:rsidP="0001526A">
      <w:pPr>
        <w:rPr>
          <w:color w:val="auto"/>
          <w:lang w:eastAsia="zh-CN"/>
        </w:rPr>
      </w:pPr>
    </w:p>
    <w:p w14:paraId="63FE3C81" w14:textId="7E96546F" w:rsidR="00527A05" w:rsidRPr="00C4060F" w:rsidRDefault="007B409A" w:rsidP="0001526A">
      <w:pPr>
        <w:rPr>
          <w:color w:val="auto"/>
          <w:lang w:eastAsia="zh-CN"/>
        </w:rPr>
      </w:pPr>
      <w:r w:rsidRPr="00C4060F">
        <w:rPr>
          <w:color w:val="auto"/>
          <w:lang w:eastAsia="zh-CN"/>
        </w:rPr>
        <w:t xml:space="preserve">1.5. </w:t>
      </w:r>
      <w:r w:rsidR="00527A05" w:rsidRPr="00C4060F">
        <w:rPr>
          <w:color w:val="auto"/>
          <w:lang w:eastAsia="zh-CN"/>
        </w:rPr>
        <w:t xml:space="preserve">Dissolve the rest </w:t>
      </w:r>
      <w:r w:rsidRPr="00C4060F">
        <w:rPr>
          <w:color w:val="auto"/>
          <w:lang w:eastAsia="zh-CN"/>
        </w:rPr>
        <w:t xml:space="preserve">of the </w:t>
      </w:r>
      <w:r w:rsidR="00527A05" w:rsidRPr="00C4060F">
        <w:rPr>
          <w:color w:val="auto"/>
          <w:lang w:eastAsia="zh-CN"/>
        </w:rPr>
        <w:t>peptides separately (10 μg/μL) and store at -80</w:t>
      </w:r>
      <w:r w:rsidRPr="00C4060F">
        <w:rPr>
          <w:color w:val="auto"/>
          <w:lang w:eastAsia="zh-CN"/>
        </w:rPr>
        <w:t xml:space="preserve"> °C </w:t>
      </w:r>
      <w:r w:rsidR="00527A05" w:rsidRPr="00C4060F">
        <w:rPr>
          <w:color w:val="auto"/>
          <w:lang w:eastAsia="zh-CN"/>
        </w:rPr>
        <w:t>for epitope identification.</w:t>
      </w:r>
    </w:p>
    <w:p w14:paraId="2B640DD0" w14:textId="77777777" w:rsidR="009E231F" w:rsidRPr="00C4060F" w:rsidRDefault="009E231F" w:rsidP="0001526A">
      <w:pPr>
        <w:rPr>
          <w:b/>
          <w:color w:val="auto"/>
          <w:lang w:eastAsia="zh-CN"/>
        </w:rPr>
      </w:pPr>
    </w:p>
    <w:p w14:paraId="38729C16" w14:textId="507292B8" w:rsidR="00527A05" w:rsidRPr="00C4060F" w:rsidRDefault="00527A05" w:rsidP="0001526A">
      <w:pPr>
        <w:rPr>
          <w:b/>
          <w:color w:val="auto"/>
          <w:lang w:eastAsia="zh-CN"/>
        </w:rPr>
      </w:pPr>
      <w:r w:rsidRPr="00C4060F">
        <w:rPr>
          <w:b/>
          <w:color w:val="auto"/>
          <w:lang w:eastAsia="zh-CN"/>
        </w:rPr>
        <w:t>2.</w:t>
      </w:r>
      <w:r w:rsidR="006008E3" w:rsidRPr="00C4060F">
        <w:rPr>
          <w:b/>
          <w:color w:val="auto"/>
          <w:lang w:eastAsia="zh-CN"/>
        </w:rPr>
        <w:t xml:space="preserve"> </w:t>
      </w:r>
      <w:r w:rsidRPr="00C4060F">
        <w:rPr>
          <w:b/>
          <w:color w:val="auto"/>
          <w:lang w:eastAsia="zh-CN"/>
        </w:rPr>
        <w:t xml:space="preserve">Isolation of </w:t>
      </w:r>
      <w:r w:rsidR="00FD2299" w:rsidRPr="00C4060F">
        <w:rPr>
          <w:b/>
          <w:color w:val="auto"/>
          <w:lang w:eastAsia="zh-CN"/>
        </w:rPr>
        <w:t xml:space="preserve">peripheral blood mononuclear cells </w:t>
      </w:r>
      <w:r w:rsidR="00A93EEF" w:rsidRPr="00C4060F">
        <w:rPr>
          <w:b/>
          <w:color w:val="auto"/>
          <w:lang w:eastAsia="zh-CN"/>
        </w:rPr>
        <w:t>(PBMCs)</w:t>
      </w:r>
    </w:p>
    <w:p w14:paraId="1FDAC253" w14:textId="77777777" w:rsidR="009E231F" w:rsidRPr="00C4060F" w:rsidRDefault="009E231F" w:rsidP="0001526A">
      <w:pPr>
        <w:rPr>
          <w:color w:val="auto"/>
          <w:lang w:eastAsia="zh-CN"/>
        </w:rPr>
      </w:pPr>
    </w:p>
    <w:p w14:paraId="265DA4D3" w14:textId="77777777" w:rsidR="00527A05" w:rsidRPr="00C4060F" w:rsidRDefault="00527A05" w:rsidP="0001526A">
      <w:pPr>
        <w:rPr>
          <w:color w:val="auto"/>
          <w:lang w:eastAsia="zh-CN"/>
        </w:rPr>
      </w:pPr>
      <w:r w:rsidRPr="00C4060F">
        <w:rPr>
          <w:color w:val="auto"/>
          <w:lang w:eastAsia="zh-CN"/>
        </w:rPr>
        <w:t>2.1</w:t>
      </w:r>
      <w:r w:rsidR="009E231F" w:rsidRPr="00C4060F">
        <w:rPr>
          <w:color w:val="auto"/>
          <w:lang w:eastAsia="zh-CN"/>
        </w:rPr>
        <w:t>.</w:t>
      </w:r>
      <w:r w:rsidRPr="00C4060F">
        <w:rPr>
          <w:color w:val="auto"/>
          <w:lang w:eastAsia="zh-CN"/>
        </w:rPr>
        <w:t xml:space="preserve"> Sample 5 mL of venous blood from chronic HBV infection patients. </w:t>
      </w:r>
    </w:p>
    <w:p w14:paraId="7188EEBE" w14:textId="77777777" w:rsidR="009E231F" w:rsidRPr="00C4060F" w:rsidRDefault="009E231F" w:rsidP="0001526A">
      <w:pPr>
        <w:rPr>
          <w:color w:val="auto"/>
          <w:lang w:eastAsia="zh-CN"/>
        </w:rPr>
      </w:pPr>
    </w:p>
    <w:p w14:paraId="2D3BE2CA" w14:textId="3D95F41F" w:rsidR="00527A05" w:rsidRPr="00C4060F" w:rsidRDefault="00C4060F" w:rsidP="0001526A">
      <w:pPr>
        <w:rPr>
          <w:color w:val="auto"/>
          <w:lang w:eastAsia="zh-CN"/>
        </w:rPr>
      </w:pPr>
      <w:r w:rsidRPr="00C4060F">
        <w:rPr>
          <w:color w:val="auto"/>
          <w:lang w:eastAsia="zh-CN"/>
        </w:rPr>
        <w:t>NOTE:</w:t>
      </w:r>
      <w:r w:rsidR="007B409A" w:rsidRPr="00C4060F">
        <w:rPr>
          <w:color w:val="auto"/>
          <w:lang w:eastAsia="zh-CN"/>
        </w:rPr>
        <w:t xml:space="preserve"> T</w:t>
      </w:r>
      <w:r w:rsidR="00527A05" w:rsidRPr="00C4060F">
        <w:rPr>
          <w:color w:val="auto"/>
          <w:lang w:eastAsia="zh-CN"/>
        </w:rPr>
        <w:t xml:space="preserve">he blood volume should be roughly estimated according to the number of </w:t>
      </w:r>
      <w:r w:rsidR="006E32C1">
        <w:rPr>
          <w:color w:val="auto"/>
          <w:lang w:eastAsia="zh-CN"/>
        </w:rPr>
        <w:lastRenderedPageBreak/>
        <w:t>peptide pools</w:t>
      </w:r>
      <w:r w:rsidR="00527A05" w:rsidRPr="00C4060F">
        <w:rPr>
          <w:color w:val="auto"/>
          <w:lang w:eastAsia="zh-CN"/>
        </w:rPr>
        <w:t xml:space="preserve"> plus 1 background control and 1 positive control. Analysis of 1 </w:t>
      </w:r>
      <w:r w:rsidR="006E32C1">
        <w:rPr>
          <w:color w:val="auto"/>
          <w:lang w:eastAsia="zh-CN"/>
        </w:rPr>
        <w:t>peptide pool</w:t>
      </w:r>
      <w:r w:rsidR="00527A05" w:rsidRPr="00C4060F">
        <w:rPr>
          <w:color w:val="auto"/>
          <w:lang w:eastAsia="zh-CN"/>
        </w:rPr>
        <w:t xml:space="preserve"> needs 3</w:t>
      </w:r>
      <w:r w:rsidR="007B409A" w:rsidRPr="00C4060F">
        <w:rPr>
          <w:color w:val="auto"/>
          <w:lang w:eastAsia="zh-CN"/>
        </w:rPr>
        <w:t xml:space="preserve"> x </w:t>
      </w:r>
      <w:r w:rsidR="00527A05" w:rsidRPr="00C4060F">
        <w:rPr>
          <w:color w:val="auto"/>
          <w:lang w:eastAsia="zh-CN"/>
        </w:rPr>
        <w:t>10</w:t>
      </w:r>
      <w:r w:rsidR="00527A05" w:rsidRPr="00C4060F">
        <w:rPr>
          <w:color w:val="auto"/>
          <w:vertAlign w:val="superscript"/>
          <w:lang w:eastAsia="zh-CN"/>
        </w:rPr>
        <w:t>5</w:t>
      </w:r>
      <w:r w:rsidR="00527A05" w:rsidRPr="00C4060F">
        <w:rPr>
          <w:color w:val="auto"/>
          <w:lang w:eastAsia="zh-CN"/>
        </w:rPr>
        <w:t xml:space="preserve"> PBMCs. </w:t>
      </w:r>
      <w:r w:rsidR="007B409A" w:rsidRPr="00C4060F">
        <w:rPr>
          <w:color w:val="auto"/>
          <w:lang w:eastAsia="zh-CN"/>
        </w:rPr>
        <w:t>O</w:t>
      </w:r>
      <w:r w:rsidR="00527A05" w:rsidRPr="00C4060F">
        <w:rPr>
          <w:color w:val="auto"/>
          <w:lang w:eastAsia="zh-CN"/>
        </w:rPr>
        <w:t>n average, 1</w:t>
      </w:r>
      <w:r w:rsidR="007B409A" w:rsidRPr="00C4060F">
        <w:rPr>
          <w:color w:val="auto"/>
          <w:lang w:eastAsia="zh-CN"/>
        </w:rPr>
        <w:t xml:space="preserve"> x </w:t>
      </w:r>
      <w:r w:rsidR="00527A05" w:rsidRPr="00C4060F">
        <w:rPr>
          <w:color w:val="auto"/>
          <w:lang w:eastAsia="zh-CN"/>
        </w:rPr>
        <w:t>10</w:t>
      </w:r>
      <w:r w:rsidR="00527A05" w:rsidRPr="00C4060F">
        <w:rPr>
          <w:color w:val="auto"/>
          <w:vertAlign w:val="superscript"/>
          <w:lang w:eastAsia="zh-CN"/>
        </w:rPr>
        <w:t>6</w:t>
      </w:r>
      <w:r w:rsidR="00527A05" w:rsidRPr="00C4060F">
        <w:rPr>
          <w:color w:val="auto"/>
          <w:lang w:eastAsia="zh-CN"/>
        </w:rPr>
        <w:t xml:space="preserve"> PBMCs could be obtained from 1 mL of blood.</w:t>
      </w:r>
    </w:p>
    <w:p w14:paraId="6D782B48" w14:textId="77777777" w:rsidR="009E231F" w:rsidRPr="00C4060F" w:rsidRDefault="009E231F" w:rsidP="0001526A">
      <w:pPr>
        <w:rPr>
          <w:color w:val="auto"/>
          <w:lang w:eastAsia="zh-CN"/>
        </w:rPr>
      </w:pPr>
    </w:p>
    <w:p w14:paraId="3621696F" w14:textId="68AB2963" w:rsidR="00527A05" w:rsidRPr="00C4060F" w:rsidRDefault="00527A05" w:rsidP="0001526A">
      <w:pPr>
        <w:rPr>
          <w:color w:val="auto"/>
          <w:lang w:eastAsia="zh-CN"/>
        </w:rPr>
      </w:pPr>
      <w:r w:rsidRPr="00C4060F">
        <w:rPr>
          <w:color w:val="auto"/>
          <w:lang w:eastAsia="zh-CN"/>
        </w:rPr>
        <w:t>2.2</w:t>
      </w:r>
      <w:r w:rsidR="009E231F" w:rsidRPr="00C4060F">
        <w:rPr>
          <w:color w:val="auto"/>
          <w:lang w:eastAsia="zh-CN"/>
        </w:rPr>
        <w:t>.</w:t>
      </w:r>
      <w:r w:rsidRPr="00C4060F">
        <w:rPr>
          <w:color w:val="auto"/>
          <w:lang w:eastAsia="zh-CN"/>
        </w:rPr>
        <w:t xml:space="preserve"> </w:t>
      </w:r>
      <w:r w:rsidRPr="00C4060F">
        <w:rPr>
          <w:color w:val="auto"/>
          <w:highlight w:val="yellow"/>
          <w:lang w:eastAsia="zh-CN"/>
        </w:rPr>
        <w:t xml:space="preserve">Isolate PBMCs from blood using </w:t>
      </w:r>
      <w:proofErr w:type="spellStart"/>
      <w:r w:rsidRPr="00C4060F">
        <w:rPr>
          <w:color w:val="auto"/>
          <w:highlight w:val="yellow"/>
          <w:lang w:eastAsia="zh-CN"/>
        </w:rPr>
        <w:t>Ficoll</w:t>
      </w:r>
      <w:proofErr w:type="spellEnd"/>
      <w:r w:rsidRPr="00C4060F">
        <w:rPr>
          <w:color w:val="auto"/>
          <w:highlight w:val="yellow"/>
          <w:lang w:eastAsia="zh-CN"/>
        </w:rPr>
        <w:t xml:space="preserve"> density gradient centrifugation </w:t>
      </w:r>
      <w:r w:rsidR="00A93EEF" w:rsidRPr="00C4060F">
        <w:rPr>
          <w:color w:val="auto"/>
          <w:highlight w:val="yellow"/>
          <w:lang w:eastAsia="zh-CN"/>
        </w:rPr>
        <w:t>(</w:t>
      </w:r>
      <w:r w:rsidR="00D72009" w:rsidRPr="00C4060F">
        <w:rPr>
          <w:color w:val="auto"/>
          <w:highlight w:val="yellow"/>
          <w:lang w:eastAsia="zh-CN"/>
        </w:rPr>
        <w:t>8</w:t>
      </w:r>
      <w:r w:rsidR="00DB7825" w:rsidRPr="00C4060F">
        <w:rPr>
          <w:color w:val="auto"/>
          <w:highlight w:val="yellow"/>
          <w:lang w:eastAsia="zh-CN"/>
        </w:rPr>
        <w:t>00</w:t>
      </w:r>
      <w:r w:rsidR="00CB5A1A" w:rsidRPr="00C4060F">
        <w:rPr>
          <w:color w:val="auto"/>
          <w:highlight w:val="yellow"/>
          <w:lang w:eastAsia="zh-CN"/>
        </w:rPr>
        <w:t xml:space="preserve"> × </w:t>
      </w:r>
      <w:r w:rsidR="00A93EEF" w:rsidRPr="00C4060F">
        <w:rPr>
          <w:color w:val="auto"/>
          <w:highlight w:val="yellow"/>
          <w:lang w:eastAsia="zh-CN"/>
        </w:rPr>
        <w:t xml:space="preserve">g, 20 min) </w:t>
      </w:r>
      <w:r w:rsidRPr="00C4060F">
        <w:rPr>
          <w:color w:val="auto"/>
          <w:highlight w:val="yellow"/>
          <w:lang w:eastAsia="zh-CN"/>
        </w:rPr>
        <w:t>and cryopreserve isolated PBMCs in liquid nitrogen for later use.</w:t>
      </w:r>
    </w:p>
    <w:p w14:paraId="3AD69FF7" w14:textId="77777777" w:rsidR="009E231F" w:rsidRPr="00C4060F" w:rsidRDefault="009E231F" w:rsidP="0001526A">
      <w:pPr>
        <w:rPr>
          <w:color w:val="auto"/>
          <w:lang w:eastAsia="zh-CN"/>
        </w:rPr>
      </w:pPr>
    </w:p>
    <w:p w14:paraId="41C34BDF" w14:textId="6794F948" w:rsidR="007B409A" w:rsidRPr="00C4060F" w:rsidRDefault="00527A05" w:rsidP="0001526A">
      <w:pPr>
        <w:rPr>
          <w:color w:val="auto"/>
          <w:lang w:eastAsia="zh-CN"/>
        </w:rPr>
      </w:pPr>
      <w:r w:rsidRPr="00C4060F">
        <w:rPr>
          <w:color w:val="auto"/>
          <w:lang w:eastAsia="zh-CN"/>
        </w:rPr>
        <w:t>2.3</w:t>
      </w:r>
      <w:r w:rsidR="009E231F" w:rsidRPr="00C4060F">
        <w:rPr>
          <w:color w:val="auto"/>
          <w:lang w:eastAsia="zh-CN"/>
        </w:rPr>
        <w:t>.</w:t>
      </w:r>
      <w:r w:rsidRPr="00C4060F">
        <w:rPr>
          <w:color w:val="auto"/>
          <w:lang w:eastAsia="zh-CN"/>
        </w:rPr>
        <w:t xml:space="preserve"> </w:t>
      </w:r>
      <w:r w:rsidR="00E506D0" w:rsidRPr="00C4060F">
        <w:rPr>
          <w:color w:val="auto"/>
          <w:highlight w:val="yellow"/>
          <w:lang w:eastAsia="zh-CN"/>
        </w:rPr>
        <w:t xml:space="preserve">Use a Pasteur </w:t>
      </w:r>
      <w:r w:rsidR="00FD2299">
        <w:rPr>
          <w:color w:val="auto"/>
          <w:highlight w:val="yellow"/>
          <w:lang w:eastAsia="zh-CN"/>
        </w:rPr>
        <w:t>pipette</w:t>
      </w:r>
      <w:r w:rsidR="00E506D0" w:rsidRPr="00C4060F">
        <w:rPr>
          <w:color w:val="auto"/>
          <w:highlight w:val="yellow"/>
          <w:lang w:eastAsia="zh-CN"/>
        </w:rPr>
        <w:t xml:space="preserve"> to collect granulocytes between the clear </w:t>
      </w:r>
      <w:proofErr w:type="spellStart"/>
      <w:r w:rsidR="00E506D0" w:rsidRPr="00C4060F">
        <w:rPr>
          <w:color w:val="auto"/>
          <w:highlight w:val="yellow"/>
          <w:lang w:eastAsia="zh-CN"/>
        </w:rPr>
        <w:t>Ficoll</w:t>
      </w:r>
      <w:proofErr w:type="spellEnd"/>
      <w:r w:rsidR="00E506D0" w:rsidRPr="00C4060F">
        <w:rPr>
          <w:color w:val="auto"/>
          <w:highlight w:val="yellow"/>
          <w:lang w:eastAsia="zh-CN"/>
        </w:rPr>
        <w:t xml:space="preserve"> layer and </w:t>
      </w:r>
      <w:r w:rsidR="007B409A" w:rsidRPr="00C4060F">
        <w:rPr>
          <w:color w:val="auto"/>
          <w:highlight w:val="yellow"/>
          <w:lang w:eastAsia="zh-CN"/>
        </w:rPr>
        <w:t xml:space="preserve">the </w:t>
      </w:r>
      <w:r w:rsidR="00E506D0" w:rsidRPr="00C4060F">
        <w:rPr>
          <w:color w:val="auto"/>
          <w:highlight w:val="yellow"/>
          <w:lang w:eastAsia="zh-CN"/>
        </w:rPr>
        <w:t>red blood cell</w:t>
      </w:r>
      <w:r w:rsidR="007B409A" w:rsidRPr="00C4060F">
        <w:rPr>
          <w:color w:val="auto"/>
          <w:highlight w:val="yellow"/>
          <w:lang w:eastAsia="zh-CN"/>
        </w:rPr>
        <w:t xml:space="preserve"> </w:t>
      </w:r>
      <w:r w:rsidR="00E506D0" w:rsidRPr="00C4060F">
        <w:rPr>
          <w:color w:val="auto"/>
          <w:highlight w:val="yellow"/>
          <w:lang w:eastAsia="zh-CN"/>
        </w:rPr>
        <w:t>layer.</w:t>
      </w:r>
      <w:r w:rsidR="00E506D0" w:rsidRPr="00C4060F">
        <w:rPr>
          <w:color w:val="auto"/>
          <w:lang w:eastAsia="zh-CN"/>
        </w:rPr>
        <w:t xml:space="preserve"> </w:t>
      </w:r>
      <w:r w:rsidRPr="00C4060F">
        <w:rPr>
          <w:color w:val="auto"/>
          <w:lang w:eastAsia="zh-CN"/>
        </w:rPr>
        <w:t xml:space="preserve">Extract genomic DNA from granulocytes using </w:t>
      </w:r>
      <w:r w:rsidR="007B409A" w:rsidRPr="00C4060F">
        <w:rPr>
          <w:color w:val="auto"/>
          <w:lang w:eastAsia="zh-CN"/>
        </w:rPr>
        <w:t xml:space="preserve">a genomic DNA purification kit according to </w:t>
      </w:r>
      <w:r w:rsidR="00FD2299">
        <w:rPr>
          <w:color w:val="auto"/>
          <w:lang w:eastAsia="zh-CN"/>
        </w:rPr>
        <w:t xml:space="preserve">the </w:t>
      </w:r>
      <w:r w:rsidR="007B409A" w:rsidRPr="00C4060F">
        <w:rPr>
          <w:color w:val="auto"/>
          <w:lang w:eastAsia="zh-CN"/>
        </w:rPr>
        <w:t>manufacturer’s protocol</w:t>
      </w:r>
      <w:r w:rsidRPr="00C4060F">
        <w:rPr>
          <w:color w:val="auto"/>
          <w:lang w:eastAsia="zh-CN"/>
        </w:rPr>
        <w:t xml:space="preserve">. </w:t>
      </w:r>
    </w:p>
    <w:p w14:paraId="77157049" w14:textId="77777777" w:rsidR="007B409A" w:rsidRPr="00C4060F" w:rsidRDefault="007B409A" w:rsidP="0001526A">
      <w:pPr>
        <w:rPr>
          <w:color w:val="auto"/>
          <w:lang w:eastAsia="zh-CN"/>
        </w:rPr>
      </w:pPr>
    </w:p>
    <w:p w14:paraId="56C39BFF" w14:textId="38F17EDC" w:rsidR="00527A05" w:rsidRPr="00C4060F" w:rsidRDefault="007B409A" w:rsidP="0001526A">
      <w:pPr>
        <w:rPr>
          <w:color w:val="auto"/>
          <w:lang w:eastAsia="zh-CN"/>
        </w:rPr>
      </w:pPr>
      <w:r w:rsidRPr="00C4060F">
        <w:rPr>
          <w:color w:val="auto"/>
          <w:lang w:eastAsia="zh-CN"/>
        </w:rPr>
        <w:t xml:space="preserve">2.4. </w:t>
      </w:r>
      <w:r w:rsidR="00527A05" w:rsidRPr="00C4060F">
        <w:rPr>
          <w:color w:val="auto"/>
          <w:lang w:eastAsia="zh-CN"/>
        </w:rPr>
        <w:t xml:space="preserve">Send </w:t>
      </w:r>
      <w:r w:rsidR="00C4060F" w:rsidRPr="00C4060F">
        <w:rPr>
          <w:color w:val="auto"/>
          <w:lang w:eastAsia="zh-CN"/>
        </w:rPr>
        <w:t xml:space="preserve">the </w:t>
      </w:r>
      <w:r w:rsidR="00527A05" w:rsidRPr="00C4060F">
        <w:rPr>
          <w:color w:val="auto"/>
          <w:lang w:eastAsia="zh-CN"/>
        </w:rPr>
        <w:t>DNA sample to genotyping service providers to determine the HLA-DRB1 genotype.</w:t>
      </w:r>
    </w:p>
    <w:p w14:paraId="29447A9A" w14:textId="77777777" w:rsidR="009E231F" w:rsidRPr="00C4060F" w:rsidRDefault="009E231F" w:rsidP="0001526A">
      <w:pPr>
        <w:rPr>
          <w:b/>
          <w:color w:val="auto"/>
          <w:lang w:eastAsia="zh-CN"/>
        </w:rPr>
      </w:pPr>
    </w:p>
    <w:p w14:paraId="43202E2D" w14:textId="660C4A4D" w:rsidR="00527A05" w:rsidRPr="00C4060F" w:rsidRDefault="00527A05" w:rsidP="0001526A">
      <w:pPr>
        <w:rPr>
          <w:b/>
          <w:color w:val="auto"/>
          <w:lang w:eastAsia="zh-CN"/>
        </w:rPr>
      </w:pPr>
      <w:r w:rsidRPr="00C4060F">
        <w:rPr>
          <w:b/>
          <w:color w:val="auto"/>
          <w:lang w:eastAsia="zh-CN"/>
        </w:rPr>
        <w:t>3.</w:t>
      </w:r>
      <w:r w:rsidR="006008E3" w:rsidRPr="00C4060F">
        <w:rPr>
          <w:b/>
          <w:color w:val="auto"/>
          <w:lang w:eastAsia="zh-CN"/>
        </w:rPr>
        <w:t xml:space="preserve"> </w:t>
      </w:r>
      <w:r w:rsidRPr="00C4060F">
        <w:rPr>
          <w:b/>
          <w:color w:val="auto"/>
          <w:lang w:eastAsia="zh-CN"/>
        </w:rPr>
        <w:t xml:space="preserve">In Vitro Expansion of PBMCs Using </w:t>
      </w:r>
      <w:proofErr w:type="gramStart"/>
      <w:r w:rsidR="00C4060F" w:rsidRPr="00C4060F">
        <w:rPr>
          <w:b/>
          <w:color w:val="auto"/>
          <w:lang w:eastAsia="zh-CN"/>
        </w:rPr>
        <w:t>a</w:t>
      </w:r>
      <w:proofErr w:type="gramEnd"/>
      <w:r w:rsidR="00C4060F" w:rsidRPr="00C4060F">
        <w:rPr>
          <w:b/>
          <w:color w:val="auto"/>
          <w:lang w:eastAsia="zh-CN"/>
        </w:rPr>
        <w:t xml:space="preserve"> </w:t>
      </w:r>
      <w:r w:rsidRPr="00C4060F">
        <w:rPr>
          <w:b/>
          <w:color w:val="auto"/>
          <w:lang w:eastAsia="zh-CN"/>
        </w:rPr>
        <w:t>HBV Peptide</w:t>
      </w:r>
      <w:r w:rsidR="00C4060F" w:rsidRPr="00C4060F">
        <w:rPr>
          <w:b/>
          <w:color w:val="auto"/>
          <w:lang w:eastAsia="zh-CN"/>
        </w:rPr>
        <w:t xml:space="preserve"> </w:t>
      </w:r>
      <w:r w:rsidRPr="00C4060F">
        <w:rPr>
          <w:b/>
          <w:color w:val="auto"/>
          <w:lang w:eastAsia="zh-CN"/>
        </w:rPr>
        <w:t>Matrix</w:t>
      </w:r>
    </w:p>
    <w:p w14:paraId="44985215" w14:textId="77777777" w:rsidR="002D651B" w:rsidRPr="00C4060F" w:rsidRDefault="002D651B" w:rsidP="0001526A">
      <w:pPr>
        <w:rPr>
          <w:color w:val="auto"/>
          <w:lang w:eastAsia="zh-CN"/>
        </w:rPr>
      </w:pPr>
    </w:p>
    <w:p w14:paraId="2291D263" w14:textId="5AEF981C" w:rsidR="00527A05" w:rsidRPr="00C4060F" w:rsidRDefault="00527A05" w:rsidP="0001526A">
      <w:pPr>
        <w:rPr>
          <w:color w:val="auto"/>
          <w:lang w:eastAsia="zh-CN"/>
        </w:rPr>
      </w:pPr>
      <w:r w:rsidRPr="00C4060F">
        <w:rPr>
          <w:color w:val="auto"/>
          <w:lang w:eastAsia="zh-CN"/>
        </w:rPr>
        <w:t>3.1</w:t>
      </w:r>
      <w:r w:rsidR="002D651B" w:rsidRPr="00C4060F">
        <w:rPr>
          <w:color w:val="auto"/>
          <w:lang w:eastAsia="zh-CN"/>
        </w:rPr>
        <w:t>.</w:t>
      </w:r>
      <w:r w:rsidRPr="00C4060F">
        <w:rPr>
          <w:color w:val="auto"/>
          <w:lang w:eastAsia="zh-CN"/>
        </w:rPr>
        <w:t xml:space="preserve"> </w:t>
      </w:r>
      <w:r w:rsidRPr="00C4060F">
        <w:rPr>
          <w:color w:val="auto"/>
          <w:highlight w:val="yellow"/>
          <w:lang w:eastAsia="zh-CN"/>
        </w:rPr>
        <w:t>Thaw PBMCs</w:t>
      </w:r>
      <w:r w:rsidR="00C4060F" w:rsidRPr="00C4060F">
        <w:rPr>
          <w:color w:val="auto"/>
          <w:lang w:eastAsia="zh-CN"/>
        </w:rPr>
        <w:t>.</w:t>
      </w:r>
    </w:p>
    <w:p w14:paraId="4F40E2E0" w14:textId="77777777" w:rsidR="002D651B" w:rsidRPr="00C4060F" w:rsidRDefault="002D651B" w:rsidP="0001526A">
      <w:pPr>
        <w:rPr>
          <w:color w:val="auto"/>
          <w:lang w:eastAsia="zh-CN"/>
        </w:rPr>
      </w:pPr>
    </w:p>
    <w:p w14:paraId="074C8D16" w14:textId="655C9075" w:rsidR="00527A05" w:rsidRPr="00C4060F" w:rsidRDefault="00527A05" w:rsidP="0001526A">
      <w:pPr>
        <w:rPr>
          <w:color w:val="auto"/>
          <w:lang w:eastAsia="zh-CN"/>
        </w:rPr>
      </w:pPr>
      <w:r w:rsidRPr="00C4060F">
        <w:rPr>
          <w:color w:val="auto"/>
          <w:lang w:eastAsia="zh-CN"/>
        </w:rPr>
        <w:t>3.1.1</w:t>
      </w:r>
      <w:r w:rsidR="002D651B" w:rsidRPr="00C4060F">
        <w:rPr>
          <w:color w:val="auto"/>
          <w:lang w:eastAsia="zh-CN"/>
        </w:rPr>
        <w:t>.</w:t>
      </w:r>
      <w:r w:rsidRPr="00C4060F">
        <w:rPr>
          <w:color w:val="auto"/>
          <w:lang w:eastAsia="zh-CN"/>
        </w:rPr>
        <w:t xml:space="preserve"> </w:t>
      </w:r>
      <w:r w:rsidRPr="00C4060F">
        <w:rPr>
          <w:color w:val="auto"/>
          <w:highlight w:val="yellow"/>
          <w:lang w:eastAsia="zh-CN"/>
        </w:rPr>
        <w:t>Warm RPMI 1640 supplemented with 1:10</w:t>
      </w:r>
      <w:r w:rsidR="00FD2299">
        <w:rPr>
          <w:color w:val="auto"/>
          <w:highlight w:val="yellow"/>
          <w:lang w:eastAsia="zh-CN"/>
        </w:rPr>
        <w:t>,</w:t>
      </w:r>
      <w:r w:rsidRPr="00C4060F">
        <w:rPr>
          <w:color w:val="auto"/>
          <w:highlight w:val="yellow"/>
          <w:lang w:eastAsia="zh-CN"/>
        </w:rPr>
        <w:t xml:space="preserve">000 </w:t>
      </w:r>
      <w:proofErr w:type="spellStart"/>
      <w:r w:rsidR="00C4060F" w:rsidRPr="00C4060F">
        <w:rPr>
          <w:color w:val="auto"/>
          <w:highlight w:val="yellow"/>
          <w:lang w:eastAsia="zh-CN"/>
        </w:rPr>
        <w:t>b</w:t>
      </w:r>
      <w:r w:rsidRPr="00C4060F">
        <w:rPr>
          <w:color w:val="auto"/>
          <w:highlight w:val="yellow"/>
          <w:lang w:eastAsia="zh-CN"/>
        </w:rPr>
        <w:t>enzonase</w:t>
      </w:r>
      <w:proofErr w:type="spellEnd"/>
      <w:r w:rsidRPr="00C4060F">
        <w:rPr>
          <w:color w:val="auto"/>
          <w:highlight w:val="yellow"/>
          <w:lang w:eastAsia="zh-CN"/>
        </w:rPr>
        <w:t xml:space="preserve"> (25 U/m</w:t>
      </w:r>
      <w:r w:rsidR="00C4060F" w:rsidRPr="00C4060F">
        <w:rPr>
          <w:color w:val="auto"/>
          <w:highlight w:val="yellow"/>
          <w:lang w:eastAsia="zh-CN"/>
        </w:rPr>
        <w:t>L</w:t>
      </w:r>
      <w:r w:rsidRPr="00C4060F">
        <w:rPr>
          <w:color w:val="auto"/>
          <w:highlight w:val="yellow"/>
          <w:lang w:eastAsia="zh-CN"/>
        </w:rPr>
        <w:t>) to 37</w:t>
      </w:r>
      <w:r w:rsidR="00C4060F" w:rsidRPr="00C4060F">
        <w:rPr>
          <w:color w:val="auto"/>
          <w:highlight w:val="yellow"/>
          <w:lang w:eastAsia="zh-CN"/>
        </w:rPr>
        <w:t xml:space="preserve"> </w:t>
      </w:r>
      <w:r w:rsidR="00C4060F" w:rsidRPr="00C4060F">
        <w:rPr>
          <w:rFonts w:asciiTheme="minorHAnsi" w:hAnsiTheme="minorHAnsi" w:cstheme="minorHAnsi"/>
          <w:color w:val="auto"/>
          <w:lang w:eastAsia="zh-CN"/>
        </w:rPr>
        <w:t>°C i</w:t>
      </w:r>
      <w:r w:rsidRPr="00C4060F">
        <w:rPr>
          <w:color w:val="auto"/>
          <w:highlight w:val="yellow"/>
          <w:lang w:eastAsia="zh-CN"/>
        </w:rPr>
        <w:t xml:space="preserve">n </w:t>
      </w:r>
      <w:r w:rsidR="00C4060F" w:rsidRPr="00C4060F">
        <w:rPr>
          <w:color w:val="auto"/>
          <w:highlight w:val="yellow"/>
          <w:lang w:eastAsia="zh-CN"/>
        </w:rPr>
        <w:t xml:space="preserve">a </w:t>
      </w:r>
      <w:r w:rsidRPr="00C4060F">
        <w:rPr>
          <w:color w:val="auto"/>
          <w:highlight w:val="yellow"/>
          <w:lang w:eastAsia="zh-CN"/>
        </w:rPr>
        <w:t>water bath.</w:t>
      </w:r>
      <w:r w:rsidRPr="00C4060F">
        <w:rPr>
          <w:color w:val="auto"/>
          <w:lang w:eastAsia="zh-CN"/>
        </w:rPr>
        <w:t xml:space="preserve"> </w:t>
      </w:r>
    </w:p>
    <w:p w14:paraId="1ECD3313" w14:textId="77777777" w:rsidR="002D651B" w:rsidRPr="00C4060F" w:rsidRDefault="002D651B" w:rsidP="0001526A">
      <w:pPr>
        <w:rPr>
          <w:color w:val="auto"/>
          <w:lang w:eastAsia="zh-CN"/>
        </w:rPr>
      </w:pPr>
    </w:p>
    <w:p w14:paraId="412D2E94" w14:textId="7C12093C"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w:t>
      </w:r>
      <w:r w:rsidR="0088672C" w:rsidRPr="00C4060F">
        <w:rPr>
          <w:color w:val="auto"/>
          <w:lang w:eastAsia="zh-CN"/>
        </w:rPr>
        <w:t xml:space="preserve">Benzonase </w:t>
      </w:r>
      <w:r w:rsidR="0091748C" w:rsidRPr="00C4060F">
        <w:rPr>
          <w:color w:val="auto"/>
          <w:lang w:eastAsia="zh-CN"/>
        </w:rPr>
        <w:t>helps to</w:t>
      </w:r>
      <w:r w:rsidR="0088672C" w:rsidRPr="00C4060F">
        <w:rPr>
          <w:color w:val="auto"/>
          <w:lang w:eastAsia="zh-CN"/>
        </w:rPr>
        <w:t xml:space="preserve"> limit cell clumping during thawing. </w:t>
      </w:r>
      <w:r w:rsidR="00527A05" w:rsidRPr="00C4060F">
        <w:rPr>
          <w:color w:val="auto"/>
          <w:lang w:eastAsia="zh-CN"/>
        </w:rPr>
        <w:t xml:space="preserve">Each sample will require 20 mL of RPMI 1640 with </w:t>
      </w:r>
      <w:proofErr w:type="spellStart"/>
      <w:r w:rsidRPr="00C4060F">
        <w:rPr>
          <w:color w:val="auto"/>
          <w:lang w:eastAsia="zh-CN"/>
        </w:rPr>
        <w:t>b</w:t>
      </w:r>
      <w:r w:rsidR="00527A05" w:rsidRPr="00C4060F">
        <w:rPr>
          <w:color w:val="auto"/>
          <w:lang w:eastAsia="zh-CN"/>
        </w:rPr>
        <w:t>enzonase</w:t>
      </w:r>
      <w:proofErr w:type="spellEnd"/>
      <w:r w:rsidR="00527A05" w:rsidRPr="00C4060F">
        <w:rPr>
          <w:color w:val="auto"/>
          <w:lang w:eastAsia="zh-CN"/>
        </w:rPr>
        <w:t xml:space="preserve">. Calculate the amount needed to thaw all </w:t>
      </w:r>
      <w:proofErr w:type="gramStart"/>
      <w:r w:rsidR="00527A05" w:rsidRPr="00C4060F">
        <w:rPr>
          <w:color w:val="auto"/>
          <w:lang w:eastAsia="zh-CN"/>
        </w:rPr>
        <w:t>samples, and</w:t>
      </w:r>
      <w:proofErr w:type="gramEnd"/>
      <w:r w:rsidR="00527A05" w:rsidRPr="00C4060F">
        <w:rPr>
          <w:color w:val="auto"/>
          <w:lang w:eastAsia="zh-CN"/>
        </w:rPr>
        <w:t xml:space="preserve"> prepare a separate aliquot of media</w:t>
      </w:r>
      <w:r w:rsidR="00C81B64" w:rsidRPr="00C4060F">
        <w:rPr>
          <w:color w:val="auto"/>
          <w:lang w:eastAsia="zh-CN"/>
        </w:rPr>
        <w:t xml:space="preserve"> (37</w:t>
      </w:r>
      <w:r w:rsidRPr="00C4060F">
        <w:rPr>
          <w:color w:val="auto"/>
          <w:lang w:eastAsia="zh-CN"/>
        </w:rPr>
        <w:t xml:space="preserve"> </w:t>
      </w:r>
      <w:r w:rsidRPr="00C4060F">
        <w:rPr>
          <w:rFonts w:asciiTheme="minorHAnsi" w:hAnsiTheme="minorHAnsi" w:cstheme="minorHAnsi"/>
          <w:color w:val="auto"/>
          <w:lang w:eastAsia="zh-CN"/>
        </w:rPr>
        <w:t>°C)</w:t>
      </w:r>
      <w:r w:rsidR="00527A05" w:rsidRPr="00C4060F">
        <w:rPr>
          <w:color w:val="auto"/>
          <w:lang w:eastAsia="zh-CN"/>
        </w:rPr>
        <w:t xml:space="preserve"> with 1:10</w:t>
      </w:r>
      <w:r w:rsidR="00FD2299">
        <w:rPr>
          <w:color w:val="auto"/>
          <w:lang w:eastAsia="zh-CN"/>
        </w:rPr>
        <w:t>,</w:t>
      </w:r>
      <w:r w:rsidR="00527A05" w:rsidRPr="00C4060F">
        <w:rPr>
          <w:color w:val="auto"/>
          <w:lang w:eastAsia="zh-CN"/>
        </w:rPr>
        <w:t>000 Benzonase (25 U/m</w:t>
      </w:r>
      <w:r w:rsidRPr="00C4060F">
        <w:rPr>
          <w:color w:val="auto"/>
          <w:lang w:eastAsia="zh-CN"/>
        </w:rPr>
        <w:t>L</w:t>
      </w:r>
      <w:r w:rsidR="00527A05" w:rsidRPr="00C4060F">
        <w:rPr>
          <w:color w:val="auto"/>
          <w:lang w:eastAsia="zh-CN"/>
        </w:rPr>
        <w:t>). Thaw no more than 5 samples at a time.</w:t>
      </w:r>
    </w:p>
    <w:p w14:paraId="7D60B2F6" w14:textId="77777777" w:rsidR="002D651B" w:rsidRPr="00C4060F" w:rsidRDefault="002D651B" w:rsidP="0001526A">
      <w:pPr>
        <w:rPr>
          <w:color w:val="auto"/>
          <w:lang w:eastAsia="zh-CN"/>
        </w:rPr>
      </w:pPr>
    </w:p>
    <w:p w14:paraId="01BE8759" w14:textId="22E648D7" w:rsidR="00527A05" w:rsidRPr="00FD2299" w:rsidRDefault="00527A05" w:rsidP="0001526A">
      <w:pPr>
        <w:rPr>
          <w:color w:val="auto"/>
          <w:highlight w:val="yellow"/>
          <w:lang w:eastAsia="zh-CN"/>
        </w:rPr>
      </w:pPr>
      <w:r w:rsidRPr="00FD2299">
        <w:rPr>
          <w:color w:val="auto"/>
          <w:highlight w:val="yellow"/>
          <w:lang w:eastAsia="zh-CN"/>
        </w:rPr>
        <w:t>3.1.2</w:t>
      </w:r>
      <w:r w:rsidR="002D651B" w:rsidRPr="00FD2299">
        <w:rPr>
          <w:color w:val="auto"/>
          <w:highlight w:val="yellow"/>
          <w:lang w:eastAsia="zh-CN"/>
        </w:rPr>
        <w:t>.</w:t>
      </w:r>
      <w:r w:rsidRPr="00FD2299">
        <w:rPr>
          <w:color w:val="auto"/>
          <w:highlight w:val="yellow"/>
          <w:lang w:eastAsia="zh-CN"/>
        </w:rPr>
        <w:t xml:space="preserve"> Remove samples from liquid nitrogen and quickly thaw frozen vials </w:t>
      </w:r>
      <w:r w:rsidR="00C81B64" w:rsidRPr="00FD2299">
        <w:rPr>
          <w:color w:val="auto"/>
          <w:highlight w:val="yellow"/>
          <w:lang w:eastAsia="zh-CN"/>
        </w:rPr>
        <w:t>i</w:t>
      </w:r>
      <w:r w:rsidRPr="00FD2299">
        <w:rPr>
          <w:color w:val="auto"/>
          <w:highlight w:val="yellow"/>
          <w:lang w:eastAsia="zh-CN"/>
        </w:rPr>
        <w:t xml:space="preserve">n </w:t>
      </w:r>
      <w:r w:rsidR="00C4060F" w:rsidRPr="00FD2299">
        <w:rPr>
          <w:color w:val="auto"/>
          <w:highlight w:val="yellow"/>
          <w:lang w:eastAsia="zh-CN"/>
        </w:rPr>
        <w:t xml:space="preserve">a </w:t>
      </w:r>
      <w:r w:rsidRPr="00FD2299">
        <w:rPr>
          <w:color w:val="auto"/>
          <w:highlight w:val="yellow"/>
          <w:lang w:eastAsia="zh-CN"/>
        </w:rPr>
        <w:t>water bath</w:t>
      </w:r>
      <w:r w:rsidR="00C81B64" w:rsidRPr="00FD2299">
        <w:rPr>
          <w:color w:val="auto"/>
          <w:highlight w:val="yellow"/>
          <w:lang w:eastAsia="zh-CN"/>
        </w:rPr>
        <w:t xml:space="preserve"> (37</w:t>
      </w:r>
      <w:r w:rsidR="00C4060F" w:rsidRPr="00FD2299">
        <w:rPr>
          <w:color w:val="auto"/>
          <w:highlight w:val="yellow"/>
          <w:lang w:eastAsia="zh-CN"/>
        </w:rPr>
        <w:t xml:space="preserve"> </w:t>
      </w:r>
      <w:r w:rsidR="00C4060F" w:rsidRPr="00FD2299">
        <w:rPr>
          <w:rFonts w:asciiTheme="minorHAnsi" w:hAnsiTheme="minorHAnsi" w:cstheme="minorHAnsi"/>
          <w:color w:val="auto"/>
          <w:highlight w:val="yellow"/>
          <w:lang w:eastAsia="zh-CN"/>
        </w:rPr>
        <w:t>°C</w:t>
      </w:r>
      <w:r w:rsidR="00C81B64" w:rsidRPr="00FD2299">
        <w:rPr>
          <w:color w:val="auto"/>
          <w:highlight w:val="yellow"/>
          <w:lang w:eastAsia="zh-CN"/>
        </w:rPr>
        <w:t>)</w:t>
      </w:r>
      <w:r w:rsidRPr="00FD2299">
        <w:rPr>
          <w:color w:val="auto"/>
          <w:highlight w:val="yellow"/>
          <w:lang w:eastAsia="zh-CN"/>
        </w:rPr>
        <w:t>.</w:t>
      </w:r>
    </w:p>
    <w:p w14:paraId="055B1E1A" w14:textId="77777777" w:rsidR="002D651B" w:rsidRPr="00FD2299" w:rsidRDefault="002D651B" w:rsidP="0001526A">
      <w:pPr>
        <w:rPr>
          <w:color w:val="auto"/>
          <w:highlight w:val="yellow"/>
          <w:lang w:eastAsia="zh-CN"/>
        </w:rPr>
      </w:pPr>
    </w:p>
    <w:p w14:paraId="444117D6" w14:textId="07B4BA7B" w:rsidR="00527A05" w:rsidRPr="00C4060F" w:rsidRDefault="00527A05" w:rsidP="0001526A">
      <w:pPr>
        <w:rPr>
          <w:color w:val="auto"/>
          <w:lang w:eastAsia="zh-CN"/>
        </w:rPr>
      </w:pPr>
      <w:r w:rsidRPr="00FD2299">
        <w:rPr>
          <w:color w:val="auto"/>
          <w:highlight w:val="yellow"/>
          <w:lang w:eastAsia="zh-CN"/>
        </w:rPr>
        <w:t>3.1.3</w:t>
      </w:r>
      <w:r w:rsidR="002D651B" w:rsidRPr="00FD2299">
        <w:rPr>
          <w:color w:val="auto"/>
          <w:highlight w:val="yellow"/>
          <w:lang w:eastAsia="zh-CN"/>
        </w:rPr>
        <w:t>.</w:t>
      </w:r>
      <w:r w:rsidRPr="00FD2299">
        <w:rPr>
          <w:color w:val="auto"/>
          <w:highlight w:val="yellow"/>
          <w:lang w:eastAsia="zh-CN"/>
        </w:rPr>
        <w:t xml:space="preserve"> </w:t>
      </w:r>
      <w:r w:rsidR="00830C49" w:rsidRPr="00FD2299">
        <w:rPr>
          <w:color w:val="auto"/>
          <w:highlight w:val="yellow"/>
          <w:lang w:eastAsia="zh-CN"/>
        </w:rPr>
        <w:t xml:space="preserve">Transfer </w:t>
      </w:r>
      <w:r w:rsidR="00C4060F" w:rsidRPr="00FD2299">
        <w:rPr>
          <w:color w:val="auto"/>
          <w:highlight w:val="yellow"/>
          <w:lang w:eastAsia="zh-CN"/>
        </w:rPr>
        <w:t xml:space="preserve">the </w:t>
      </w:r>
      <w:r w:rsidR="00830C49" w:rsidRPr="00FD2299">
        <w:rPr>
          <w:color w:val="auto"/>
          <w:highlight w:val="yellow"/>
          <w:lang w:eastAsia="zh-CN"/>
        </w:rPr>
        <w:t>thawed cell suspension to a 15 mL centrifuge tube</w:t>
      </w:r>
      <w:r w:rsidR="00C4060F" w:rsidRPr="00FD2299">
        <w:rPr>
          <w:color w:val="auto"/>
          <w:highlight w:val="yellow"/>
          <w:lang w:eastAsia="zh-CN"/>
        </w:rPr>
        <w:t xml:space="preserve">. </w:t>
      </w:r>
      <w:r w:rsidR="00830C49" w:rsidRPr="00FD2299">
        <w:rPr>
          <w:color w:val="auto"/>
          <w:highlight w:val="yellow"/>
          <w:lang w:eastAsia="zh-CN"/>
        </w:rPr>
        <w:t>Add 1 mL of Benzonase RPMI 1640 (37</w:t>
      </w:r>
      <w:r w:rsidR="00C4060F" w:rsidRPr="00FD2299">
        <w:rPr>
          <w:color w:val="auto"/>
          <w:highlight w:val="yellow"/>
          <w:lang w:eastAsia="zh-CN"/>
        </w:rPr>
        <w:t xml:space="preserve"> </w:t>
      </w:r>
      <w:r w:rsidR="00C4060F" w:rsidRPr="00FD2299">
        <w:rPr>
          <w:rFonts w:asciiTheme="minorHAnsi" w:hAnsiTheme="minorHAnsi" w:cstheme="minorHAnsi"/>
          <w:color w:val="auto"/>
          <w:highlight w:val="yellow"/>
          <w:lang w:eastAsia="zh-CN"/>
        </w:rPr>
        <w:t>°C)</w:t>
      </w:r>
      <w:r w:rsidR="00830C49" w:rsidRPr="00FD2299">
        <w:rPr>
          <w:color w:val="auto"/>
          <w:highlight w:val="yellow"/>
          <w:lang w:eastAsia="zh-CN"/>
        </w:rPr>
        <w:t xml:space="preserve"> dropwise to the </w:t>
      </w:r>
      <w:r w:rsidR="00DB7825" w:rsidRPr="00FD2299">
        <w:rPr>
          <w:color w:val="auto"/>
          <w:highlight w:val="yellow"/>
          <w:lang w:eastAsia="zh-CN"/>
        </w:rPr>
        <w:t>tube</w:t>
      </w:r>
      <w:r w:rsidR="00830C49" w:rsidRPr="00FD2299">
        <w:rPr>
          <w:color w:val="auto"/>
          <w:highlight w:val="yellow"/>
          <w:lang w:eastAsia="zh-CN"/>
        </w:rPr>
        <w:t xml:space="preserve">. </w:t>
      </w:r>
      <w:r w:rsidR="00C4060F" w:rsidRPr="00FD2299">
        <w:rPr>
          <w:color w:val="auto"/>
          <w:highlight w:val="yellow"/>
          <w:lang w:eastAsia="zh-CN"/>
        </w:rPr>
        <w:t>S</w:t>
      </w:r>
      <w:r w:rsidR="00C81B64" w:rsidRPr="00FD2299">
        <w:rPr>
          <w:color w:val="auto"/>
          <w:highlight w:val="yellow"/>
          <w:lang w:eastAsia="zh-CN"/>
        </w:rPr>
        <w:t xml:space="preserve">lowly add 6 </w:t>
      </w:r>
      <w:r w:rsidR="009D6DAF" w:rsidRPr="00FD2299">
        <w:rPr>
          <w:color w:val="auto"/>
          <w:highlight w:val="yellow"/>
          <w:lang w:eastAsia="zh-CN"/>
        </w:rPr>
        <w:t xml:space="preserve">mL </w:t>
      </w:r>
      <w:r w:rsidRPr="00FD2299">
        <w:rPr>
          <w:color w:val="auto"/>
          <w:highlight w:val="yellow"/>
          <w:lang w:eastAsia="zh-CN"/>
        </w:rPr>
        <w:t>of Benzonase RPMI 1640</w:t>
      </w:r>
      <w:r w:rsidR="009D6DAF" w:rsidRPr="00FD2299">
        <w:rPr>
          <w:color w:val="auto"/>
          <w:highlight w:val="yellow"/>
          <w:lang w:eastAsia="zh-CN"/>
        </w:rPr>
        <w:t xml:space="preserve"> (37</w:t>
      </w:r>
      <w:r w:rsidR="00C4060F" w:rsidRPr="00FD2299">
        <w:rPr>
          <w:color w:val="auto"/>
          <w:highlight w:val="yellow"/>
          <w:lang w:eastAsia="zh-CN"/>
        </w:rPr>
        <w:t xml:space="preserve"> </w:t>
      </w:r>
      <w:r w:rsidR="00C4060F" w:rsidRPr="00FD2299">
        <w:rPr>
          <w:rFonts w:asciiTheme="minorHAnsi" w:hAnsiTheme="minorHAnsi" w:cstheme="minorHAnsi"/>
          <w:color w:val="auto"/>
          <w:highlight w:val="yellow"/>
          <w:lang w:eastAsia="zh-CN"/>
        </w:rPr>
        <w:t>°C)</w:t>
      </w:r>
      <w:r w:rsidR="009D6DAF" w:rsidRPr="00FD2299">
        <w:rPr>
          <w:color w:val="auto"/>
          <w:highlight w:val="yellow"/>
          <w:lang w:eastAsia="zh-CN"/>
        </w:rPr>
        <w:t xml:space="preserve"> </w:t>
      </w:r>
      <w:r w:rsidRPr="00FD2299">
        <w:rPr>
          <w:color w:val="auto"/>
          <w:highlight w:val="yellow"/>
          <w:lang w:eastAsia="zh-CN"/>
        </w:rPr>
        <w:t xml:space="preserve">to the centrifuge tube, rinse cryovial with </w:t>
      </w:r>
      <w:r w:rsidR="00C4060F" w:rsidRPr="00FD2299">
        <w:rPr>
          <w:color w:val="auto"/>
          <w:highlight w:val="yellow"/>
          <w:lang w:eastAsia="zh-CN"/>
        </w:rPr>
        <w:t xml:space="preserve">another </w:t>
      </w:r>
      <w:r w:rsidRPr="00FD2299">
        <w:rPr>
          <w:color w:val="auto"/>
          <w:highlight w:val="yellow"/>
          <w:lang w:eastAsia="zh-CN"/>
        </w:rPr>
        <w:t xml:space="preserve">2 </w:t>
      </w:r>
      <w:r w:rsidR="009D6DAF" w:rsidRPr="00FD2299">
        <w:rPr>
          <w:color w:val="auto"/>
          <w:highlight w:val="yellow"/>
          <w:lang w:eastAsia="zh-CN"/>
        </w:rPr>
        <w:t xml:space="preserve">mL </w:t>
      </w:r>
      <w:r w:rsidR="00C4060F" w:rsidRPr="00FD2299">
        <w:rPr>
          <w:color w:val="auto"/>
          <w:highlight w:val="yellow"/>
          <w:lang w:eastAsia="zh-CN"/>
        </w:rPr>
        <w:t xml:space="preserve">of </w:t>
      </w:r>
      <w:r w:rsidRPr="00FD2299">
        <w:rPr>
          <w:color w:val="auto"/>
          <w:highlight w:val="yellow"/>
          <w:lang w:eastAsia="zh-CN"/>
        </w:rPr>
        <w:t xml:space="preserve">Benzonase </w:t>
      </w:r>
      <w:r w:rsidR="00C121E1" w:rsidRPr="00FD2299">
        <w:rPr>
          <w:color w:val="auto"/>
          <w:highlight w:val="yellow"/>
          <w:lang w:eastAsia="zh-CN"/>
        </w:rPr>
        <w:t xml:space="preserve">RPMI 1640 </w:t>
      </w:r>
      <w:r w:rsidR="00C4060F" w:rsidRPr="00FD2299">
        <w:rPr>
          <w:color w:val="auto"/>
          <w:highlight w:val="yellow"/>
          <w:lang w:eastAsia="zh-CN"/>
        </w:rPr>
        <w:t xml:space="preserve">(37 </w:t>
      </w:r>
      <w:r w:rsidR="00C4060F" w:rsidRPr="00FD2299">
        <w:rPr>
          <w:rFonts w:asciiTheme="minorHAnsi" w:hAnsiTheme="minorHAnsi" w:cstheme="minorHAnsi"/>
          <w:color w:val="auto"/>
          <w:highlight w:val="yellow"/>
          <w:lang w:eastAsia="zh-CN"/>
        </w:rPr>
        <w:t>°C)</w:t>
      </w:r>
      <w:r w:rsidR="00C4060F" w:rsidRPr="00FD2299">
        <w:rPr>
          <w:color w:val="auto"/>
          <w:highlight w:val="yellow"/>
          <w:lang w:eastAsia="zh-CN"/>
        </w:rPr>
        <w:t xml:space="preserve"> </w:t>
      </w:r>
      <w:r w:rsidRPr="00FD2299">
        <w:rPr>
          <w:color w:val="auto"/>
          <w:highlight w:val="yellow"/>
          <w:lang w:eastAsia="zh-CN"/>
        </w:rPr>
        <w:t xml:space="preserve">to retrieve </w:t>
      </w:r>
      <w:r w:rsidRPr="00C4060F">
        <w:rPr>
          <w:color w:val="auto"/>
          <w:highlight w:val="yellow"/>
          <w:lang w:eastAsia="zh-CN"/>
        </w:rPr>
        <w:t>all cells. Continue with the rest of the samples as quickly as possible.</w:t>
      </w:r>
    </w:p>
    <w:p w14:paraId="103C511D" w14:textId="77777777" w:rsidR="002D651B" w:rsidRPr="00C4060F" w:rsidRDefault="002D651B" w:rsidP="0001526A">
      <w:pPr>
        <w:rPr>
          <w:color w:val="auto"/>
          <w:lang w:eastAsia="zh-CN"/>
        </w:rPr>
      </w:pPr>
    </w:p>
    <w:p w14:paraId="75007197" w14:textId="3EA14E41"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Slow dilution of cryopreserved samples is the key to maintain the viability of thawed cells.</w:t>
      </w:r>
    </w:p>
    <w:p w14:paraId="2D12A691" w14:textId="77777777" w:rsidR="002D651B" w:rsidRPr="00C4060F" w:rsidRDefault="002D651B" w:rsidP="0001526A">
      <w:pPr>
        <w:rPr>
          <w:color w:val="auto"/>
          <w:lang w:eastAsia="zh-CN"/>
        </w:rPr>
      </w:pPr>
    </w:p>
    <w:p w14:paraId="3F8CD421" w14:textId="30A0E567" w:rsidR="00527A05" w:rsidRPr="00C4060F" w:rsidRDefault="00527A05" w:rsidP="0001526A">
      <w:pPr>
        <w:rPr>
          <w:color w:val="auto"/>
          <w:lang w:eastAsia="zh-CN"/>
        </w:rPr>
      </w:pPr>
      <w:r w:rsidRPr="00C4060F">
        <w:rPr>
          <w:color w:val="auto"/>
          <w:lang w:eastAsia="zh-CN"/>
        </w:rPr>
        <w:t>3.1.4</w:t>
      </w:r>
      <w:r w:rsidR="002D651B" w:rsidRPr="00C4060F">
        <w:rPr>
          <w:color w:val="auto"/>
          <w:lang w:eastAsia="zh-CN"/>
        </w:rPr>
        <w:t>.</w:t>
      </w:r>
      <w:r w:rsidRPr="00C4060F">
        <w:rPr>
          <w:color w:val="auto"/>
          <w:lang w:eastAsia="zh-CN"/>
        </w:rPr>
        <w:t xml:space="preserve"> </w:t>
      </w:r>
      <w:r w:rsidRPr="00C4060F">
        <w:rPr>
          <w:color w:val="auto"/>
          <w:highlight w:val="yellow"/>
          <w:lang w:eastAsia="zh-CN"/>
        </w:rPr>
        <w:t>Centrifuge</w:t>
      </w:r>
      <w:r w:rsidR="00AD1006" w:rsidRPr="00C4060F">
        <w:rPr>
          <w:color w:val="auto"/>
          <w:highlight w:val="yellow"/>
          <w:lang w:eastAsia="zh-CN"/>
        </w:rPr>
        <w:t xml:space="preserve"> (</w:t>
      </w:r>
      <w:r w:rsidR="00DB7825" w:rsidRPr="00C4060F">
        <w:rPr>
          <w:color w:val="auto"/>
          <w:highlight w:val="yellow"/>
          <w:lang w:eastAsia="zh-CN"/>
        </w:rPr>
        <w:t>4</w:t>
      </w:r>
      <w:r w:rsidR="00DB3D65" w:rsidRPr="00C4060F">
        <w:rPr>
          <w:color w:val="auto"/>
          <w:highlight w:val="yellow"/>
          <w:lang w:eastAsia="zh-CN"/>
        </w:rPr>
        <w:t>00</w:t>
      </w:r>
      <w:r w:rsidR="00AD1006" w:rsidRPr="00C4060F">
        <w:rPr>
          <w:color w:val="auto"/>
          <w:highlight w:val="yellow"/>
          <w:lang w:eastAsia="zh-CN"/>
        </w:rPr>
        <w:t xml:space="preserve"> × g, 10 min)</w:t>
      </w:r>
      <w:r w:rsidRPr="00C4060F">
        <w:rPr>
          <w:color w:val="auto"/>
          <w:highlight w:val="yellow"/>
          <w:lang w:eastAsia="zh-CN"/>
        </w:rPr>
        <w:t xml:space="preserve">, remove </w:t>
      </w:r>
      <w:r w:rsidR="00C4060F" w:rsidRPr="00C4060F">
        <w:rPr>
          <w:color w:val="auto"/>
          <w:highlight w:val="yellow"/>
          <w:lang w:eastAsia="zh-CN"/>
        </w:rPr>
        <w:t xml:space="preserve">the </w:t>
      </w:r>
      <w:r w:rsidRPr="00C4060F">
        <w:rPr>
          <w:color w:val="auto"/>
          <w:highlight w:val="yellow"/>
          <w:lang w:eastAsia="zh-CN"/>
        </w:rPr>
        <w:t>supernatant, and loosen the pellet by tapping the tube.</w:t>
      </w:r>
    </w:p>
    <w:p w14:paraId="18B2CC75" w14:textId="77777777" w:rsidR="002D651B" w:rsidRPr="00C4060F" w:rsidRDefault="002D651B" w:rsidP="0001526A">
      <w:pPr>
        <w:rPr>
          <w:color w:val="auto"/>
          <w:lang w:eastAsia="zh-CN"/>
        </w:rPr>
      </w:pPr>
    </w:p>
    <w:p w14:paraId="6499CA98" w14:textId="77777777" w:rsidR="00FD2299" w:rsidRDefault="00527A05" w:rsidP="0001526A">
      <w:pPr>
        <w:rPr>
          <w:color w:val="auto"/>
          <w:highlight w:val="yellow"/>
          <w:lang w:eastAsia="zh-CN"/>
        </w:rPr>
      </w:pPr>
      <w:r w:rsidRPr="00C4060F">
        <w:rPr>
          <w:color w:val="auto"/>
          <w:lang w:eastAsia="zh-CN"/>
        </w:rPr>
        <w:t>3.1.5</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Gently resuspend the pellet in </w:t>
      </w:r>
      <w:r w:rsidR="00C4060F" w:rsidRPr="00C4060F">
        <w:rPr>
          <w:color w:val="auto"/>
          <w:highlight w:val="yellow"/>
          <w:lang w:eastAsia="zh-CN"/>
        </w:rPr>
        <w:t xml:space="preserve">1 </w:t>
      </w:r>
      <w:r w:rsidR="00DB7825" w:rsidRPr="00C4060F">
        <w:rPr>
          <w:color w:val="auto"/>
          <w:highlight w:val="yellow"/>
          <w:lang w:eastAsia="zh-CN"/>
        </w:rPr>
        <w:t xml:space="preserve">mL </w:t>
      </w:r>
      <w:r w:rsidR="00C4060F" w:rsidRPr="00C4060F">
        <w:rPr>
          <w:color w:val="auto"/>
          <w:highlight w:val="yellow"/>
          <w:lang w:eastAsia="zh-CN"/>
        </w:rPr>
        <w:t xml:space="preserve">of </w:t>
      </w:r>
      <w:r w:rsidR="00DB7825" w:rsidRPr="00C4060F">
        <w:rPr>
          <w:color w:val="auto"/>
          <w:highlight w:val="yellow"/>
          <w:lang w:eastAsia="zh-CN"/>
        </w:rPr>
        <w:t>warm B</w:t>
      </w:r>
      <w:r w:rsidRPr="00C4060F">
        <w:rPr>
          <w:color w:val="auto"/>
          <w:highlight w:val="yellow"/>
          <w:lang w:eastAsia="zh-CN"/>
        </w:rPr>
        <w:t xml:space="preserve">enzonase RPMI 1640. Mix gently, </w:t>
      </w:r>
      <w:r w:rsidR="00FD2299">
        <w:rPr>
          <w:color w:val="auto"/>
          <w:highlight w:val="yellow"/>
          <w:lang w:eastAsia="zh-CN"/>
        </w:rPr>
        <w:lastRenderedPageBreak/>
        <w:t xml:space="preserve">and </w:t>
      </w:r>
      <w:r w:rsidRPr="00C4060F">
        <w:rPr>
          <w:color w:val="auto"/>
          <w:highlight w:val="yellow"/>
          <w:lang w:eastAsia="zh-CN"/>
        </w:rPr>
        <w:t xml:space="preserve">filter cells through a 70 </w:t>
      </w:r>
      <w:r w:rsidR="00C4060F" w:rsidRPr="00C4060F">
        <w:rPr>
          <w:color w:val="auto"/>
          <w:highlight w:val="yellow"/>
          <w:lang w:eastAsia="zh-CN"/>
        </w:rPr>
        <w:t xml:space="preserve">µm </w:t>
      </w:r>
      <w:r w:rsidRPr="00C4060F">
        <w:rPr>
          <w:color w:val="auto"/>
          <w:highlight w:val="yellow"/>
          <w:lang w:eastAsia="zh-CN"/>
        </w:rPr>
        <w:t>cell strainer if needed (i.e.</w:t>
      </w:r>
      <w:r w:rsidR="00C4060F" w:rsidRPr="00C4060F">
        <w:rPr>
          <w:color w:val="auto"/>
          <w:highlight w:val="yellow"/>
          <w:lang w:eastAsia="zh-CN"/>
        </w:rPr>
        <w:t xml:space="preserve">, </w:t>
      </w:r>
      <w:r w:rsidR="009D6DAF" w:rsidRPr="00C4060F">
        <w:rPr>
          <w:color w:val="auto"/>
          <w:highlight w:val="yellow"/>
          <w:lang w:eastAsia="zh-CN"/>
        </w:rPr>
        <w:t>if any visible clump exists</w:t>
      </w:r>
      <w:r w:rsidRPr="00C4060F">
        <w:rPr>
          <w:color w:val="auto"/>
          <w:highlight w:val="yellow"/>
          <w:lang w:eastAsia="zh-CN"/>
        </w:rPr>
        <w:t xml:space="preserve">). </w:t>
      </w:r>
    </w:p>
    <w:p w14:paraId="092F362B" w14:textId="77777777" w:rsidR="00FD2299" w:rsidRDefault="00FD2299" w:rsidP="0001526A">
      <w:pPr>
        <w:rPr>
          <w:color w:val="auto"/>
          <w:highlight w:val="yellow"/>
          <w:lang w:eastAsia="zh-CN"/>
        </w:rPr>
      </w:pPr>
    </w:p>
    <w:p w14:paraId="1E5A6F82" w14:textId="30E94EB1" w:rsidR="00527A05" w:rsidRPr="00C4060F" w:rsidRDefault="00FD2299" w:rsidP="0001526A">
      <w:pPr>
        <w:rPr>
          <w:color w:val="auto"/>
          <w:lang w:eastAsia="zh-CN"/>
        </w:rPr>
      </w:pPr>
      <w:r>
        <w:rPr>
          <w:color w:val="auto"/>
          <w:highlight w:val="yellow"/>
          <w:lang w:eastAsia="zh-CN"/>
        </w:rPr>
        <w:t xml:space="preserve">3.1.6. </w:t>
      </w:r>
      <w:r w:rsidR="00527A05" w:rsidRPr="00C4060F">
        <w:rPr>
          <w:color w:val="auto"/>
          <w:highlight w:val="yellow"/>
          <w:lang w:eastAsia="zh-CN"/>
        </w:rPr>
        <w:t>Aliquot</w:t>
      </w:r>
      <w:r w:rsidR="00C4060F" w:rsidRPr="00C4060F">
        <w:rPr>
          <w:color w:val="auto"/>
          <w:highlight w:val="yellow"/>
          <w:lang w:eastAsia="zh-CN"/>
        </w:rPr>
        <w:t xml:space="preserve"> a</w:t>
      </w:r>
      <w:r w:rsidR="00AD1006" w:rsidRPr="00C4060F">
        <w:rPr>
          <w:color w:val="auto"/>
          <w:highlight w:val="yellow"/>
          <w:lang w:eastAsia="zh-CN"/>
        </w:rPr>
        <w:t xml:space="preserve"> </w:t>
      </w:r>
      <w:r w:rsidR="006D632D" w:rsidRPr="00C4060F">
        <w:rPr>
          <w:color w:val="auto"/>
          <w:highlight w:val="yellow"/>
          <w:lang w:eastAsia="zh-CN"/>
        </w:rPr>
        <w:t xml:space="preserve">10 </w:t>
      </w:r>
      <w:r w:rsidR="00AD1006" w:rsidRPr="00C4060F">
        <w:rPr>
          <w:color w:val="auto"/>
          <w:highlight w:val="yellow"/>
          <w:lang w:eastAsia="zh-CN"/>
        </w:rPr>
        <w:t xml:space="preserve">μL </w:t>
      </w:r>
      <w:r w:rsidR="00527A05" w:rsidRPr="00C4060F">
        <w:rPr>
          <w:color w:val="auto"/>
          <w:highlight w:val="yellow"/>
          <w:lang w:eastAsia="zh-CN"/>
        </w:rPr>
        <w:t xml:space="preserve">suspension and dilute in </w:t>
      </w:r>
      <w:r w:rsidR="00022036" w:rsidRPr="00C4060F">
        <w:rPr>
          <w:color w:val="auto"/>
          <w:highlight w:val="yellow"/>
          <w:lang w:eastAsia="zh-CN"/>
        </w:rPr>
        <w:t>Dulbecco's phosphate-buffered saline (DPBS)</w:t>
      </w:r>
      <w:r w:rsidR="00527A05" w:rsidRPr="00C4060F">
        <w:rPr>
          <w:color w:val="auto"/>
          <w:highlight w:val="yellow"/>
          <w:lang w:eastAsia="zh-CN"/>
        </w:rPr>
        <w:t>,</w:t>
      </w:r>
      <w:r w:rsidR="00C4060F" w:rsidRPr="00C4060F">
        <w:rPr>
          <w:color w:val="auto"/>
          <w:highlight w:val="yellow"/>
          <w:lang w:eastAsia="zh-CN"/>
        </w:rPr>
        <w:t xml:space="preserve"> </w:t>
      </w:r>
      <w:r w:rsidR="00D36F40" w:rsidRPr="00C4060F">
        <w:rPr>
          <w:color w:val="auto"/>
          <w:highlight w:val="yellow"/>
          <w:lang w:eastAsia="zh-CN"/>
        </w:rPr>
        <w:t xml:space="preserve">add </w:t>
      </w:r>
      <w:r w:rsidR="00C4060F" w:rsidRPr="00C4060F">
        <w:rPr>
          <w:color w:val="auto"/>
          <w:highlight w:val="yellow"/>
          <w:lang w:eastAsia="zh-CN"/>
        </w:rPr>
        <w:t>T</w:t>
      </w:r>
      <w:r w:rsidR="00D36F40" w:rsidRPr="00C4060F">
        <w:rPr>
          <w:color w:val="auto"/>
          <w:highlight w:val="yellow"/>
          <w:lang w:eastAsia="zh-CN"/>
        </w:rPr>
        <w:t xml:space="preserve">rypan blue (0.04%), </w:t>
      </w:r>
      <w:r w:rsidR="00527A05" w:rsidRPr="00C4060F">
        <w:rPr>
          <w:color w:val="auto"/>
          <w:highlight w:val="yellow"/>
          <w:lang w:eastAsia="zh-CN"/>
        </w:rPr>
        <w:t xml:space="preserve">load onto </w:t>
      </w:r>
      <w:r w:rsidR="00C4060F" w:rsidRPr="00C4060F">
        <w:rPr>
          <w:color w:val="auto"/>
          <w:highlight w:val="yellow"/>
          <w:lang w:eastAsia="zh-CN"/>
        </w:rPr>
        <w:t xml:space="preserve">a </w:t>
      </w:r>
      <w:r w:rsidR="00527A05" w:rsidRPr="00C4060F">
        <w:rPr>
          <w:color w:val="auto"/>
          <w:highlight w:val="yellow"/>
          <w:lang w:eastAsia="zh-CN"/>
        </w:rPr>
        <w:t>hemocytometer</w:t>
      </w:r>
      <w:r w:rsidR="009D6DAF" w:rsidRPr="00C4060F">
        <w:rPr>
          <w:color w:val="auto"/>
          <w:highlight w:val="yellow"/>
          <w:lang w:eastAsia="zh-CN"/>
        </w:rPr>
        <w:t>, wait for 1</w:t>
      </w:r>
      <w:r w:rsidR="00C4060F" w:rsidRPr="00C4060F">
        <w:rPr>
          <w:color w:val="auto"/>
          <w:highlight w:val="yellow"/>
          <w:lang w:eastAsia="zh-CN"/>
        </w:rPr>
        <w:t xml:space="preserve"> </w:t>
      </w:r>
      <w:r w:rsidR="009D6DAF" w:rsidRPr="00C4060F">
        <w:rPr>
          <w:color w:val="auto"/>
          <w:highlight w:val="yellow"/>
          <w:lang w:eastAsia="zh-CN"/>
        </w:rPr>
        <w:t>min,</w:t>
      </w:r>
      <w:r w:rsidR="00527A05" w:rsidRPr="00C4060F">
        <w:rPr>
          <w:color w:val="auto"/>
          <w:highlight w:val="yellow"/>
          <w:lang w:eastAsia="zh-CN"/>
        </w:rPr>
        <w:t xml:space="preserve"> and count </w:t>
      </w:r>
      <w:r w:rsidR="00C121E1" w:rsidRPr="00C4060F">
        <w:rPr>
          <w:color w:val="auto"/>
          <w:highlight w:val="yellow"/>
          <w:lang w:eastAsia="zh-CN"/>
        </w:rPr>
        <w:t>the number of viable cells (clear cells)</w:t>
      </w:r>
      <w:r w:rsidR="00527A05" w:rsidRPr="00C4060F">
        <w:rPr>
          <w:color w:val="auto"/>
          <w:highlight w:val="yellow"/>
          <w:lang w:eastAsia="zh-CN"/>
        </w:rPr>
        <w:t>.</w:t>
      </w:r>
    </w:p>
    <w:p w14:paraId="0E74A140" w14:textId="77777777" w:rsidR="002D651B" w:rsidRPr="00C4060F" w:rsidRDefault="002D651B" w:rsidP="0001526A">
      <w:pPr>
        <w:rPr>
          <w:color w:val="auto"/>
          <w:lang w:eastAsia="zh-CN"/>
        </w:rPr>
      </w:pPr>
    </w:p>
    <w:p w14:paraId="2B5AD19E" w14:textId="0C16B965" w:rsidR="00527A05" w:rsidRPr="00C4060F" w:rsidRDefault="00527A05" w:rsidP="0001526A">
      <w:pPr>
        <w:rPr>
          <w:color w:val="auto"/>
          <w:lang w:eastAsia="zh-CN"/>
        </w:rPr>
      </w:pPr>
      <w:r w:rsidRPr="00C4060F">
        <w:rPr>
          <w:color w:val="auto"/>
          <w:lang w:eastAsia="zh-CN"/>
        </w:rPr>
        <w:t>3.1.</w:t>
      </w:r>
      <w:r w:rsidR="00FD2299">
        <w:rPr>
          <w:color w:val="auto"/>
          <w:lang w:eastAsia="zh-CN"/>
        </w:rPr>
        <w:t>7</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Add 9 mL </w:t>
      </w:r>
      <w:r w:rsidR="00732347" w:rsidRPr="00C4060F">
        <w:rPr>
          <w:color w:val="auto"/>
          <w:highlight w:val="yellow"/>
          <w:lang w:eastAsia="zh-CN"/>
        </w:rPr>
        <w:t xml:space="preserve">of </w:t>
      </w:r>
      <w:r w:rsidR="00E72032" w:rsidRPr="00C4060F">
        <w:rPr>
          <w:color w:val="auto"/>
          <w:highlight w:val="yellow"/>
          <w:lang w:eastAsia="zh-CN"/>
        </w:rPr>
        <w:t>B</w:t>
      </w:r>
      <w:r w:rsidRPr="00C4060F">
        <w:rPr>
          <w:color w:val="auto"/>
          <w:highlight w:val="yellow"/>
          <w:lang w:eastAsia="zh-CN"/>
        </w:rPr>
        <w:t xml:space="preserve">enzonase RPMI 1640 </w:t>
      </w:r>
      <w:r w:rsidR="00C4060F" w:rsidRPr="00C4060F">
        <w:rPr>
          <w:color w:val="auto"/>
          <w:highlight w:val="yellow"/>
          <w:lang w:eastAsia="zh-CN"/>
        </w:rPr>
        <w:t xml:space="preserve">(37 </w:t>
      </w:r>
      <w:r w:rsidR="00C4060F" w:rsidRPr="00C4060F">
        <w:rPr>
          <w:rFonts w:asciiTheme="minorHAnsi" w:hAnsiTheme="minorHAnsi" w:cstheme="minorHAnsi"/>
          <w:color w:val="auto"/>
          <w:lang w:eastAsia="zh-CN"/>
        </w:rPr>
        <w:t>°C)</w:t>
      </w:r>
      <w:r w:rsidR="00C121E1" w:rsidRPr="00C4060F">
        <w:rPr>
          <w:color w:val="auto"/>
          <w:highlight w:val="yellow"/>
          <w:lang w:eastAsia="zh-CN"/>
        </w:rPr>
        <w:t xml:space="preserve"> </w:t>
      </w:r>
      <w:r w:rsidRPr="00C4060F">
        <w:rPr>
          <w:color w:val="auto"/>
          <w:highlight w:val="yellow"/>
          <w:lang w:eastAsia="zh-CN"/>
        </w:rPr>
        <w:t>to the tube, centrifuge</w:t>
      </w:r>
      <w:r w:rsidR="00541437" w:rsidRPr="00C4060F">
        <w:rPr>
          <w:color w:val="auto"/>
          <w:highlight w:val="yellow"/>
          <w:lang w:eastAsia="zh-CN"/>
        </w:rPr>
        <w:t xml:space="preserve"> (</w:t>
      </w:r>
      <w:r w:rsidR="00DB3D65" w:rsidRPr="00C4060F">
        <w:rPr>
          <w:color w:val="auto"/>
          <w:highlight w:val="yellow"/>
          <w:lang w:eastAsia="zh-CN"/>
        </w:rPr>
        <w:t>400</w:t>
      </w:r>
      <w:r w:rsidR="00541437" w:rsidRPr="00C4060F">
        <w:rPr>
          <w:color w:val="auto"/>
          <w:highlight w:val="yellow"/>
          <w:lang w:eastAsia="zh-CN"/>
        </w:rPr>
        <w:t xml:space="preserve"> × g, 10 min)</w:t>
      </w:r>
      <w:r w:rsidR="001D0273" w:rsidRPr="00C4060F">
        <w:rPr>
          <w:color w:val="auto"/>
          <w:highlight w:val="yellow"/>
          <w:lang w:eastAsia="zh-CN"/>
        </w:rPr>
        <w:t xml:space="preserve">, remove </w:t>
      </w:r>
      <w:r w:rsidR="00C4060F" w:rsidRPr="00C4060F">
        <w:rPr>
          <w:color w:val="auto"/>
          <w:highlight w:val="yellow"/>
          <w:lang w:eastAsia="zh-CN"/>
        </w:rPr>
        <w:t xml:space="preserve">the </w:t>
      </w:r>
      <w:r w:rsidR="001D0273" w:rsidRPr="00C4060F">
        <w:rPr>
          <w:color w:val="auto"/>
          <w:highlight w:val="yellow"/>
          <w:lang w:eastAsia="zh-CN"/>
        </w:rPr>
        <w:t>supernatant, and loosen the pellet by tapping the tube</w:t>
      </w:r>
      <w:r w:rsidRPr="00C4060F">
        <w:rPr>
          <w:color w:val="auto"/>
          <w:highlight w:val="yellow"/>
          <w:lang w:eastAsia="zh-CN"/>
        </w:rPr>
        <w:t>.</w:t>
      </w:r>
    </w:p>
    <w:p w14:paraId="24A3CD00" w14:textId="77777777" w:rsidR="002D651B" w:rsidRPr="00C4060F" w:rsidRDefault="002D651B" w:rsidP="0001526A">
      <w:pPr>
        <w:rPr>
          <w:color w:val="auto"/>
          <w:lang w:eastAsia="zh-CN"/>
        </w:rPr>
      </w:pPr>
    </w:p>
    <w:p w14:paraId="3AFC4042" w14:textId="1B00A551" w:rsidR="00527A05" w:rsidRPr="00C4060F" w:rsidRDefault="00527A05" w:rsidP="0001526A">
      <w:pPr>
        <w:rPr>
          <w:color w:val="auto"/>
          <w:lang w:eastAsia="zh-CN"/>
        </w:rPr>
      </w:pPr>
      <w:r w:rsidRPr="00C4060F">
        <w:rPr>
          <w:color w:val="auto"/>
          <w:lang w:eastAsia="zh-CN"/>
        </w:rPr>
        <w:t>3.2</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Resuspend PBMCs in RPMI 1640 supplemented with 25 mM HEPES, 2 mM L-glutamine, </w:t>
      </w:r>
      <w:r w:rsidR="00DB3D65" w:rsidRPr="00C4060F">
        <w:rPr>
          <w:color w:val="auto"/>
          <w:highlight w:val="yellow"/>
          <w:lang w:eastAsia="zh-CN"/>
        </w:rPr>
        <w:t xml:space="preserve">1 mM </w:t>
      </w:r>
      <w:r w:rsidR="00C4060F" w:rsidRPr="00C4060F">
        <w:rPr>
          <w:color w:val="auto"/>
          <w:highlight w:val="yellow"/>
          <w:lang w:eastAsia="zh-CN"/>
        </w:rPr>
        <w:t>s</w:t>
      </w:r>
      <w:r w:rsidR="00DB3D65" w:rsidRPr="00C4060F">
        <w:rPr>
          <w:color w:val="auto"/>
          <w:highlight w:val="yellow"/>
          <w:lang w:eastAsia="zh-CN"/>
        </w:rPr>
        <w:t xml:space="preserve">odium pyruvate, </w:t>
      </w:r>
      <w:r w:rsidRPr="00C4060F">
        <w:rPr>
          <w:color w:val="auto"/>
          <w:highlight w:val="yellow"/>
          <w:lang w:eastAsia="zh-CN"/>
        </w:rPr>
        <w:t xml:space="preserve">100 U/mL </w:t>
      </w:r>
      <w:r w:rsidR="00C4060F" w:rsidRPr="00C4060F">
        <w:rPr>
          <w:color w:val="auto"/>
          <w:highlight w:val="yellow"/>
          <w:lang w:eastAsia="zh-CN"/>
        </w:rPr>
        <w:t>p</w:t>
      </w:r>
      <w:r w:rsidRPr="00C4060F">
        <w:rPr>
          <w:color w:val="auto"/>
          <w:highlight w:val="yellow"/>
          <w:lang w:eastAsia="zh-CN"/>
        </w:rPr>
        <w:t xml:space="preserve">enicillin, 100 μg/mL </w:t>
      </w:r>
      <w:r w:rsidR="00C4060F" w:rsidRPr="00C4060F">
        <w:rPr>
          <w:color w:val="auto"/>
          <w:highlight w:val="yellow"/>
          <w:lang w:eastAsia="zh-CN"/>
        </w:rPr>
        <w:t>s</w:t>
      </w:r>
      <w:r w:rsidRPr="00C4060F">
        <w:rPr>
          <w:color w:val="auto"/>
          <w:highlight w:val="yellow"/>
          <w:lang w:eastAsia="zh-CN"/>
        </w:rPr>
        <w:t>treptomycin, and 10% human AB serum (complete culture medium). Adjust cell density to 1.5</w:t>
      </w:r>
      <w:r w:rsidR="00C4060F" w:rsidRPr="00C4060F">
        <w:rPr>
          <w:color w:val="auto"/>
          <w:highlight w:val="yellow"/>
          <w:lang w:eastAsia="zh-CN"/>
        </w:rPr>
        <w:t xml:space="preserve"> x </w:t>
      </w:r>
      <w:r w:rsidRPr="00C4060F">
        <w:rPr>
          <w:color w:val="auto"/>
          <w:highlight w:val="yellow"/>
          <w:lang w:eastAsia="zh-CN"/>
        </w:rPr>
        <w:t>10</w:t>
      </w:r>
      <w:r w:rsidRPr="00C4060F">
        <w:rPr>
          <w:color w:val="auto"/>
          <w:highlight w:val="yellow"/>
          <w:vertAlign w:val="superscript"/>
          <w:lang w:eastAsia="zh-CN"/>
        </w:rPr>
        <w:t>6</w:t>
      </w:r>
      <w:r w:rsidRPr="00C4060F">
        <w:rPr>
          <w:color w:val="auto"/>
          <w:highlight w:val="yellow"/>
          <w:lang w:eastAsia="zh-CN"/>
        </w:rPr>
        <w:t xml:space="preserve"> cells/mL. Plate PBMCs in 96-well plates (flat bottom) at a density of 3</w:t>
      </w:r>
      <w:r w:rsidR="00C4060F" w:rsidRPr="00C4060F">
        <w:rPr>
          <w:color w:val="auto"/>
          <w:highlight w:val="yellow"/>
          <w:lang w:eastAsia="zh-CN"/>
        </w:rPr>
        <w:t xml:space="preserve"> x </w:t>
      </w:r>
      <w:r w:rsidRPr="00C4060F">
        <w:rPr>
          <w:color w:val="auto"/>
          <w:highlight w:val="yellow"/>
          <w:lang w:eastAsia="zh-CN"/>
        </w:rPr>
        <w:t>10</w:t>
      </w:r>
      <w:r w:rsidRPr="00C4060F">
        <w:rPr>
          <w:color w:val="auto"/>
          <w:highlight w:val="yellow"/>
          <w:vertAlign w:val="superscript"/>
          <w:lang w:eastAsia="zh-CN"/>
        </w:rPr>
        <w:t>5</w:t>
      </w:r>
      <w:r w:rsidRPr="00C4060F">
        <w:rPr>
          <w:color w:val="auto"/>
          <w:highlight w:val="yellow"/>
          <w:lang w:eastAsia="zh-CN"/>
        </w:rPr>
        <w:t xml:space="preserve"> cells/well.</w:t>
      </w:r>
      <w:r w:rsidRPr="00C4060F">
        <w:rPr>
          <w:color w:val="auto"/>
          <w:lang w:eastAsia="zh-CN"/>
        </w:rPr>
        <w:t xml:space="preserve"> </w:t>
      </w:r>
    </w:p>
    <w:p w14:paraId="7A39F3D9" w14:textId="77777777" w:rsidR="002D651B" w:rsidRPr="00C4060F" w:rsidRDefault="002D651B" w:rsidP="0001526A">
      <w:pPr>
        <w:rPr>
          <w:color w:val="auto"/>
          <w:lang w:eastAsia="zh-CN"/>
        </w:rPr>
      </w:pPr>
    </w:p>
    <w:p w14:paraId="1C4CBDCD" w14:textId="79D066A4" w:rsidR="00527A05" w:rsidRPr="00C4060F" w:rsidRDefault="00527A05" w:rsidP="0001526A">
      <w:pPr>
        <w:rPr>
          <w:color w:val="auto"/>
          <w:lang w:eastAsia="zh-CN"/>
        </w:rPr>
      </w:pPr>
      <w:r w:rsidRPr="00C4060F">
        <w:rPr>
          <w:color w:val="auto"/>
          <w:lang w:eastAsia="zh-CN"/>
        </w:rPr>
        <w:t>3.3</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Add HBV derived </w:t>
      </w:r>
      <w:r w:rsidR="006E32C1">
        <w:rPr>
          <w:color w:val="auto"/>
          <w:highlight w:val="yellow"/>
          <w:lang w:eastAsia="zh-CN"/>
        </w:rPr>
        <w:t>peptide pools</w:t>
      </w:r>
      <w:r w:rsidRPr="00C4060F">
        <w:rPr>
          <w:color w:val="auto"/>
          <w:highlight w:val="yellow"/>
          <w:lang w:eastAsia="zh-CN"/>
        </w:rPr>
        <w:t xml:space="preserve"> (2 μg/mL for each single peptide) to each well. For wells of background control and positive control, add the same amount of solvent (DMSO</w:t>
      </w:r>
      <w:r w:rsidR="0012589E" w:rsidRPr="00C4060F">
        <w:rPr>
          <w:color w:val="auto"/>
          <w:highlight w:val="yellow"/>
          <w:lang w:eastAsia="zh-CN"/>
        </w:rPr>
        <w:t>, 1 μL/mL</w:t>
      </w:r>
      <w:r w:rsidRPr="00C4060F">
        <w:rPr>
          <w:color w:val="auto"/>
          <w:highlight w:val="yellow"/>
          <w:lang w:eastAsia="zh-CN"/>
        </w:rPr>
        <w:t>). Add 10 U/mL IL-2 and 10 ng/mL IL-7. Incubate at 37 °C and 5% CO</w:t>
      </w:r>
      <w:r w:rsidRPr="00C4060F">
        <w:rPr>
          <w:color w:val="auto"/>
          <w:highlight w:val="yellow"/>
          <w:vertAlign w:val="subscript"/>
          <w:lang w:eastAsia="zh-CN"/>
        </w:rPr>
        <w:t>2</w:t>
      </w:r>
      <w:r w:rsidRPr="00C4060F">
        <w:rPr>
          <w:color w:val="auto"/>
          <w:highlight w:val="yellow"/>
          <w:lang w:eastAsia="zh-CN"/>
        </w:rPr>
        <w:t>.</w:t>
      </w:r>
    </w:p>
    <w:p w14:paraId="471A1F97" w14:textId="77777777" w:rsidR="002D651B" w:rsidRPr="00C4060F" w:rsidRDefault="002D651B" w:rsidP="0001526A">
      <w:pPr>
        <w:rPr>
          <w:color w:val="auto"/>
          <w:lang w:eastAsia="zh-CN"/>
        </w:rPr>
      </w:pPr>
    </w:p>
    <w:p w14:paraId="503AAD96" w14:textId="77777777" w:rsidR="00527A05" w:rsidRPr="00C4060F" w:rsidRDefault="00527A05" w:rsidP="0001526A">
      <w:pPr>
        <w:rPr>
          <w:color w:val="auto"/>
          <w:lang w:eastAsia="zh-CN"/>
        </w:rPr>
      </w:pPr>
      <w:r w:rsidRPr="00C4060F">
        <w:rPr>
          <w:color w:val="auto"/>
          <w:lang w:eastAsia="zh-CN"/>
        </w:rPr>
        <w:t>3.4</w:t>
      </w:r>
      <w:r w:rsidR="002D651B" w:rsidRPr="00C4060F">
        <w:rPr>
          <w:color w:val="auto"/>
          <w:lang w:eastAsia="zh-CN"/>
        </w:rPr>
        <w:t>.</w:t>
      </w:r>
      <w:r w:rsidRPr="00C4060F">
        <w:rPr>
          <w:color w:val="auto"/>
          <w:lang w:eastAsia="zh-CN"/>
        </w:rPr>
        <w:t xml:space="preserve"> </w:t>
      </w:r>
      <w:r w:rsidRPr="00C4060F">
        <w:rPr>
          <w:color w:val="auto"/>
          <w:highlight w:val="yellow"/>
          <w:lang w:eastAsia="zh-CN"/>
        </w:rPr>
        <w:t>At day 3, supplement culture medium with 50 U/mL of IL-2 and 10 ng/mL of IL-7.</w:t>
      </w:r>
    </w:p>
    <w:p w14:paraId="76222323" w14:textId="77777777" w:rsidR="0012589E" w:rsidRPr="00C4060F" w:rsidRDefault="0012589E" w:rsidP="0001526A">
      <w:pPr>
        <w:rPr>
          <w:color w:val="auto"/>
          <w:lang w:eastAsia="zh-CN"/>
        </w:rPr>
      </w:pPr>
    </w:p>
    <w:p w14:paraId="16AAF924" w14:textId="2DEBAE87"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During day 1 to day 3, no obvious T-cell proliferation will be observed. The total cell number will usually decrease by 1/3 to 1/2, due to the death of non-T cells such as B cells, NK cells, NKT cells, and monocytes.</w:t>
      </w:r>
    </w:p>
    <w:p w14:paraId="3824A4A2" w14:textId="77777777" w:rsidR="002D651B" w:rsidRPr="00C4060F" w:rsidRDefault="002D651B" w:rsidP="0001526A">
      <w:pPr>
        <w:rPr>
          <w:color w:val="auto"/>
          <w:lang w:eastAsia="zh-CN"/>
        </w:rPr>
      </w:pPr>
    </w:p>
    <w:p w14:paraId="70CCAA6C" w14:textId="77777777" w:rsidR="00527A05" w:rsidRPr="00C4060F" w:rsidRDefault="00527A05" w:rsidP="0001526A">
      <w:pPr>
        <w:rPr>
          <w:color w:val="auto"/>
          <w:lang w:eastAsia="zh-CN"/>
        </w:rPr>
      </w:pPr>
      <w:r w:rsidRPr="00C4060F">
        <w:rPr>
          <w:color w:val="auto"/>
          <w:lang w:eastAsia="zh-CN"/>
        </w:rPr>
        <w:t>3.5</w:t>
      </w:r>
      <w:r w:rsidR="002D651B" w:rsidRPr="00C4060F">
        <w:rPr>
          <w:color w:val="auto"/>
          <w:lang w:eastAsia="zh-CN"/>
        </w:rPr>
        <w:t>.</w:t>
      </w:r>
      <w:r w:rsidRPr="00C4060F">
        <w:rPr>
          <w:color w:val="auto"/>
          <w:lang w:eastAsia="zh-CN"/>
        </w:rPr>
        <w:t xml:space="preserve"> </w:t>
      </w:r>
      <w:r w:rsidRPr="00C4060F">
        <w:rPr>
          <w:color w:val="auto"/>
          <w:highlight w:val="yellow"/>
          <w:lang w:eastAsia="zh-CN"/>
        </w:rPr>
        <w:t>At day 7, replace half of the culture medium with fresh medium containing peptides (4 μg/mL), IL-2 (100 U/mL), and IL-7 (20 ng/mL).</w:t>
      </w:r>
    </w:p>
    <w:p w14:paraId="76B2EDB0" w14:textId="77777777" w:rsidR="0012589E" w:rsidRPr="00C4060F" w:rsidRDefault="0012589E" w:rsidP="0001526A">
      <w:pPr>
        <w:rPr>
          <w:color w:val="auto"/>
          <w:lang w:eastAsia="zh-CN"/>
        </w:rPr>
      </w:pPr>
    </w:p>
    <w:p w14:paraId="49556DE6" w14:textId="47196B85"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w:t>
      </w:r>
      <w:r w:rsidR="009E16CB" w:rsidRPr="00C4060F">
        <w:rPr>
          <w:color w:val="auto"/>
          <w:lang w:eastAsia="zh-CN"/>
        </w:rPr>
        <w:t>To avoid disturb</w:t>
      </w:r>
      <w:r w:rsidR="00FD2299">
        <w:rPr>
          <w:color w:val="auto"/>
          <w:lang w:eastAsia="zh-CN"/>
        </w:rPr>
        <w:t>ing</w:t>
      </w:r>
      <w:r w:rsidR="009E16CB" w:rsidRPr="00C4060F">
        <w:rPr>
          <w:color w:val="auto"/>
          <w:lang w:eastAsia="zh-CN"/>
        </w:rPr>
        <w:t xml:space="preserve"> the cells at the bottom, p</w:t>
      </w:r>
      <w:r w:rsidR="00F65A6F" w:rsidRPr="00C4060F">
        <w:rPr>
          <w:color w:val="auto"/>
          <w:lang w:eastAsia="zh-CN"/>
        </w:rPr>
        <w:t xml:space="preserve">ipette </w:t>
      </w:r>
      <w:r w:rsidR="009E16CB" w:rsidRPr="00C4060F">
        <w:rPr>
          <w:color w:val="auto"/>
          <w:lang w:eastAsia="zh-CN"/>
        </w:rPr>
        <w:t xml:space="preserve">about 90 μL of culture medium carefully from the top of the medium. </w:t>
      </w:r>
      <w:r w:rsidR="00527A05" w:rsidRPr="00C4060F">
        <w:rPr>
          <w:color w:val="auto"/>
          <w:lang w:eastAsia="zh-CN"/>
        </w:rPr>
        <w:t>During day 3 to day 7, robust T-cell proliferation will be observed, and proliferating T</w:t>
      </w:r>
      <w:r w:rsidR="00FD2299">
        <w:rPr>
          <w:color w:val="auto"/>
          <w:lang w:eastAsia="zh-CN"/>
        </w:rPr>
        <w:t>-</w:t>
      </w:r>
      <w:r w:rsidR="00527A05" w:rsidRPr="00C4060F">
        <w:rPr>
          <w:color w:val="auto"/>
          <w:lang w:eastAsia="zh-CN"/>
        </w:rPr>
        <w:t xml:space="preserve">cells usually aggregate to form clusters. </w:t>
      </w:r>
    </w:p>
    <w:p w14:paraId="6D65FF39" w14:textId="77777777" w:rsidR="002D651B" w:rsidRPr="00C4060F" w:rsidRDefault="002D651B" w:rsidP="0001526A">
      <w:pPr>
        <w:rPr>
          <w:color w:val="auto"/>
          <w:lang w:eastAsia="zh-CN"/>
        </w:rPr>
      </w:pPr>
    </w:p>
    <w:p w14:paraId="016F4F32" w14:textId="77777777" w:rsidR="00FD2299" w:rsidRDefault="00527A05" w:rsidP="0001526A">
      <w:pPr>
        <w:rPr>
          <w:color w:val="auto"/>
          <w:highlight w:val="yellow"/>
          <w:lang w:eastAsia="zh-CN"/>
        </w:rPr>
      </w:pPr>
      <w:r w:rsidRPr="00C4060F">
        <w:rPr>
          <w:color w:val="auto"/>
          <w:lang w:eastAsia="zh-CN"/>
        </w:rPr>
        <w:t>3.6</w:t>
      </w:r>
      <w:r w:rsidR="002D651B" w:rsidRPr="00C4060F">
        <w:rPr>
          <w:color w:val="auto"/>
          <w:lang w:eastAsia="zh-CN"/>
        </w:rPr>
        <w:t>.</w:t>
      </w:r>
      <w:r w:rsidRPr="00C4060F">
        <w:rPr>
          <w:color w:val="auto"/>
          <w:lang w:eastAsia="zh-CN"/>
        </w:rPr>
        <w:t xml:space="preserve"> </w:t>
      </w:r>
      <w:r w:rsidRPr="00C4060F">
        <w:rPr>
          <w:color w:val="auto"/>
          <w:highlight w:val="yellow"/>
          <w:lang w:eastAsia="zh-CN"/>
        </w:rPr>
        <w:t>At day 10, gently pipette cell culture</w:t>
      </w:r>
      <w:r w:rsidR="00FF7C5D" w:rsidRPr="00C4060F">
        <w:rPr>
          <w:color w:val="auto"/>
          <w:highlight w:val="yellow"/>
          <w:lang w:eastAsia="zh-CN"/>
        </w:rPr>
        <w:t xml:space="preserve"> in each well </w:t>
      </w:r>
      <w:r w:rsidR="008A296A" w:rsidRPr="00C4060F">
        <w:rPr>
          <w:color w:val="auto"/>
          <w:highlight w:val="yellow"/>
          <w:lang w:eastAsia="zh-CN"/>
        </w:rPr>
        <w:t>7-</w:t>
      </w:r>
      <w:r w:rsidR="00CC0253" w:rsidRPr="00C4060F">
        <w:rPr>
          <w:color w:val="auto"/>
          <w:highlight w:val="yellow"/>
          <w:lang w:eastAsia="zh-CN"/>
        </w:rPr>
        <w:t>9 times to disaggregate cell clusters</w:t>
      </w:r>
      <w:r w:rsidRPr="00C4060F">
        <w:rPr>
          <w:color w:val="auto"/>
          <w:highlight w:val="yellow"/>
          <w:lang w:eastAsia="zh-CN"/>
        </w:rPr>
        <w:t xml:space="preserve">, count </w:t>
      </w:r>
      <w:r w:rsidR="00FF7C5D" w:rsidRPr="00C4060F">
        <w:rPr>
          <w:color w:val="auto"/>
          <w:highlight w:val="yellow"/>
          <w:lang w:eastAsia="zh-CN"/>
        </w:rPr>
        <w:t>the number of viable cells</w:t>
      </w:r>
      <w:r w:rsidRPr="00C4060F">
        <w:rPr>
          <w:color w:val="auto"/>
          <w:highlight w:val="yellow"/>
          <w:lang w:eastAsia="zh-CN"/>
        </w:rPr>
        <w:t xml:space="preserve">, </w:t>
      </w:r>
      <w:r w:rsidR="00FD2299">
        <w:rPr>
          <w:color w:val="auto"/>
          <w:highlight w:val="yellow"/>
          <w:lang w:eastAsia="zh-CN"/>
        </w:rPr>
        <w:t xml:space="preserve">and </w:t>
      </w:r>
      <w:r w:rsidRPr="00C4060F">
        <w:rPr>
          <w:color w:val="auto"/>
          <w:highlight w:val="yellow"/>
          <w:lang w:eastAsia="zh-CN"/>
        </w:rPr>
        <w:t>transfer 2×10</w:t>
      </w:r>
      <w:r w:rsidRPr="00C4060F">
        <w:rPr>
          <w:color w:val="auto"/>
          <w:highlight w:val="yellow"/>
          <w:vertAlign w:val="superscript"/>
          <w:lang w:eastAsia="zh-CN"/>
        </w:rPr>
        <w:t>5</w:t>
      </w:r>
      <w:r w:rsidRPr="00C4060F">
        <w:rPr>
          <w:color w:val="auto"/>
          <w:highlight w:val="yellow"/>
          <w:lang w:eastAsia="zh-CN"/>
        </w:rPr>
        <w:t xml:space="preserve"> cells in each well to a 96 well plate (round bottom) for HBV-specific CD4 T-cell response analysis. </w:t>
      </w:r>
    </w:p>
    <w:p w14:paraId="1730DC92" w14:textId="77777777" w:rsidR="00FD2299" w:rsidRDefault="00FD2299" w:rsidP="0001526A">
      <w:pPr>
        <w:rPr>
          <w:color w:val="auto"/>
          <w:highlight w:val="yellow"/>
          <w:lang w:eastAsia="zh-CN"/>
        </w:rPr>
      </w:pPr>
    </w:p>
    <w:p w14:paraId="7CFD1268" w14:textId="69976E52" w:rsidR="00527A05" w:rsidRPr="00C4060F" w:rsidRDefault="00FD2299" w:rsidP="0001526A">
      <w:pPr>
        <w:rPr>
          <w:color w:val="auto"/>
          <w:lang w:eastAsia="zh-CN"/>
        </w:rPr>
      </w:pPr>
      <w:r>
        <w:rPr>
          <w:color w:val="auto"/>
          <w:highlight w:val="yellow"/>
          <w:lang w:eastAsia="zh-CN"/>
        </w:rPr>
        <w:t xml:space="preserve">3.7. </w:t>
      </w:r>
      <w:r w:rsidR="00527A05" w:rsidRPr="00C4060F">
        <w:rPr>
          <w:color w:val="auto"/>
          <w:highlight w:val="yellow"/>
          <w:lang w:eastAsia="zh-CN"/>
        </w:rPr>
        <w:t xml:space="preserve">Continue culturing the rest of cells for epitope identification at day 12, adjust the volume of culture medium to 100 μL (discarding excessive medium), </w:t>
      </w:r>
      <w:r>
        <w:rPr>
          <w:color w:val="auto"/>
          <w:highlight w:val="yellow"/>
          <w:lang w:eastAsia="zh-CN"/>
        </w:rPr>
        <w:t xml:space="preserve">and </w:t>
      </w:r>
      <w:r w:rsidR="00527A05" w:rsidRPr="00C4060F">
        <w:rPr>
          <w:color w:val="auto"/>
          <w:highlight w:val="yellow"/>
          <w:lang w:eastAsia="zh-CN"/>
        </w:rPr>
        <w:t xml:space="preserve">supplement culture with 100 μL of fresh </w:t>
      </w:r>
      <w:r w:rsidR="00D80C86" w:rsidRPr="00C4060F">
        <w:rPr>
          <w:color w:val="auto"/>
          <w:highlight w:val="yellow"/>
          <w:lang w:eastAsia="zh-CN"/>
        </w:rPr>
        <w:t xml:space="preserve">complete culture </w:t>
      </w:r>
      <w:r w:rsidR="00527A05" w:rsidRPr="00C4060F">
        <w:rPr>
          <w:color w:val="auto"/>
          <w:highlight w:val="yellow"/>
          <w:lang w:eastAsia="zh-CN"/>
        </w:rPr>
        <w:t xml:space="preserve">medium containing </w:t>
      </w:r>
      <w:r w:rsidR="00527A05" w:rsidRPr="00C4060F">
        <w:rPr>
          <w:color w:val="auto"/>
          <w:highlight w:val="yellow"/>
          <w:lang w:eastAsia="zh-CN"/>
        </w:rPr>
        <w:lastRenderedPageBreak/>
        <w:t>peptides (4 μg/mL), IL-2 (100 U/mL), and IL-7 (20 ng/mL).</w:t>
      </w:r>
    </w:p>
    <w:p w14:paraId="13B824C8" w14:textId="77777777" w:rsidR="002D651B" w:rsidRPr="00C4060F" w:rsidRDefault="002D651B" w:rsidP="0001526A">
      <w:pPr>
        <w:rPr>
          <w:color w:val="auto"/>
          <w:lang w:eastAsia="zh-CN"/>
        </w:rPr>
      </w:pPr>
    </w:p>
    <w:p w14:paraId="1A67D005" w14:textId="1CBA3F39"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During day 7 to day 10, T</w:t>
      </w:r>
      <w:r w:rsidR="00FD2299">
        <w:rPr>
          <w:color w:val="auto"/>
          <w:lang w:eastAsia="zh-CN"/>
        </w:rPr>
        <w:t>-</w:t>
      </w:r>
      <w:r w:rsidR="00527A05" w:rsidRPr="00C4060F">
        <w:rPr>
          <w:color w:val="auto"/>
          <w:lang w:eastAsia="zh-CN"/>
        </w:rPr>
        <w:t>cells continue proliferating vigorously. Replace the culture medium as in step 3.5 if the medium turns yellow. In general, the cell number will exceed 6×10</w:t>
      </w:r>
      <w:r w:rsidR="00527A05" w:rsidRPr="00C4060F">
        <w:rPr>
          <w:color w:val="auto"/>
          <w:vertAlign w:val="superscript"/>
          <w:lang w:eastAsia="zh-CN"/>
        </w:rPr>
        <w:t>5</w:t>
      </w:r>
      <w:r w:rsidR="00527A05" w:rsidRPr="00C4060F">
        <w:rPr>
          <w:color w:val="auto"/>
          <w:lang w:eastAsia="zh-CN"/>
        </w:rPr>
        <w:t xml:space="preserve"> at day 10. Each well usually shows similar cell number, count cell number in 3 wells and use the average value as an estimate of cell number for all the wells.</w:t>
      </w:r>
    </w:p>
    <w:p w14:paraId="1BA40E9C" w14:textId="77777777" w:rsidR="002D651B" w:rsidRPr="00C4060F" w:rsidRDefault="002D651B" w:rsidP="0001526A">
      <w:pPr>
        <w:rPr>
          <w:b/>
          <w:color w:val="auto"/>
          <w:lang w:eastAsia="zh-CN"/>
        </w:rPr>
      </w:pPr>
    </w:p>
    <w:p w14:paraId="7FD13263" w14:textId="52EB6725" w:rsidR="00527A05" w:rsidRPr="00C4060F" w:rsidRDefault="00527A05" w:rsidP="0001526A">
      <w:pPr>
        <w:rPr>
          <w:b/>
          <w:color w:val="auto"/>
          <w:lang w:eastAsia="zh-CN"/>
        </w:rPr>
      </w:pPr>
      <w:r w:rsidRPr="00C4060F">
        <w:rPr>
          <w:b/>
          <w:color w:val="auto"/>
          <w:lang w:eastAsia="zh-CN"/>
        </w:rPr>
        <w:t>4.</w:t>
      </w:r>
      <w:r w:rsidR="006008E3" w:rsidRPr="00C4060F">
        <w:rPr>
          <w:b/>
          <w:color w:val="auto"/>
          <w:lang w:eastAsia="zh-CN"/>
        </w:rPr>
        <w:t xml:space="preserve"> </w:t>
      </w:r>
      <w:r w:rsidRPr="00C4060F">
        <w:rPr>
          <w:b/>
          <w:color w:val="auto"/>
          <w:lang w:eastAsia="zh-CN"/>
        </w:rPr>
        <w:t xml:space="preserve">Analysis of HBV-specific CD4 T-Cell </w:t>
      </w:r>
      <w:r w:rsidR="00FD2299" w:rsidRPr="00C4060F">
        <w:rPr>
          <w:b/>
          <w:color w:val="auto"/>
          <w:lang w:eastAsia="zh-CN"/>
        </w:rPr>
        <w:t>responses by intracellular flow cytometry</w:t>
      </w:r>
    </w:p>
    <w:p w14:paraId="1786F741" w14:textId="77777777" w:rsidR="002D651B" w:rsidRPr="00C4060F" w:rsidRDefault="002D651B" w:rsidP="0001526A">
      <w:pPr>
        <w:rPr>
          <w:color w:val="auto"/>
          <w:lang w:eastAsia="zh-CN"/>
        </w:rPr>
      </w:pPr>
    </w:p>
    <w:p w14:paraId="2FC832AF" w14:textId="22EAE5ED" w:rsidR="00527A05" w:rsidRPr="00C4060F" w:rsidRDefault="00527A05" w:rsidP="0001526A">
      <w:pPr>
        <w:rPr>
          <w:color w:val="auto"/>
          <w:lang w:eastAsia="zh-CN"/>
        </w:rPr>
      </w:pPr>
      <w:r w:rsidRPr="00C4060F">
        <w:rPr>
          <w:color w:val="auto"/>
          <w:lang w:eastAsia="zh-CN"/>
        </w:rPr>
        <w:t>4.1</w:t>
      </w:r>
      <w:r w:rsidR="002D651B" w:rsidRPr="00C4060F">
        <w:rPr>
          <w:color w:val="auto"/>
          <w:lang w:eastAsia="zh-CN"/>
        </w:rPr>
        <w:t>.</w:t>
      </w:r>
      <w:r w:rsidRPr="00C4060F">
        <w:rPr>
          <w:color w:val="auto"/>
          <w:lang w:eastAsia="zh-CN"/>
        </w:rPr>
        <w:t xml:space="preserve"> Stimulating PBMCs with </w:t>
      </w:r>
      <w:r w:rsidR="006E32C1">
        <w:rPr>
          <w:color w:val="auto"/>
          <w:lang w:eastAsia="zh-CN"/>
        </w:rPr>
        <w:t>peptide pools</w:t>
      </w:r>
    </w:p>
    <w:p w14:paraId="2E4D34A6" w14:textId="77777777" w:rsidR="002D651B" w:rsidRPr="00C4060F" w:rsidRDefault="002D651B" w:rsidP="0001526A">
      <w:pPr>
        <w:rPr>
          <w:color w:val="auto"/>
          <w:lang w:eastAsia="zh-CN"/>
        </w:rPr>
      </w:pPr>
    </w:p>
    <w:p w14:paraId="62E98C4F" w14:textId="685A0956" w:rsidR="00527A05" w:rsidRPr="00C4060F" w:rsidRDefault="00527A05" w:rsidP="0001526A">
      <w:pPr>
        <w:rPr>
          <w:color w:val="auto"/>
          <w:lang w:eastAsia="zh-CN"/>
        </w:rPr>
      </w:pPr>
      <w:r w:rsidRPr="00C4060F">
        <w:rPr>
          <w:color w:val="auto"/>
          <w:lang w:eastAsia="zh-CN"/>
        </w:rPr>
        <w:t>4.1.1</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For the cells transferred to </w:t>
      </w:r>
      <w:r w:rsidR="00FD2299">
        <w:rPr>
          <w:color w:val="auto"/>
          <w:highlight w:val="yellow"/>
          <w:lang w:eastAsia="zh-CN"/>
        </w:rPr>
        <w:t xml:space="preserve">the </w:t>
      </w:r>
      <w:r w:rsidRPr="00C4060F">
        <w:rPr>
          <w:color w:val="auto"/>
          <w:highlight w:val="yellow"/>
          <w:lang w:eastAsia="zh-CN"/>
        </w:rPr>
        <w:t xml:space="preserve">96 well plate (round bottom), wash 3 times in </w:t>
      </w:r>
      <w:r w:rsidR="00FD2299">
        <w:rPr>
          <w:color w:val="auto"/>
          <w:highlight w:val="yellow"/>
          <w:lang w:eastAsia="zh-CN"/>
        </w:rPr>
        <w:t xml:space="preserve">a </w:t>
      </w:r>
      <w:r w:rsidRPr="00C4060F">
        <w:rPr>
          <w:color w:val="auto"/>
          <w:highlight w:val="yellow"/>
          <w:lang w:eastAsia="zh-CN"/>
        </w:rPr>
        <w:t>plate</w:t>
      </w:r>
      <w:r w:rsidR="00B51BB3" w:rsidRPr="00C4060F">
        <w:rPr>
          <w:color w:val="auto"/>
          <w:highlight w:val="yellow"/>
          <w:lang w:eastAsia="zh-CN"/>
        </w:rPr>
        <w:t xml:space="preserve"> (</w:t>
      </w:r>
      <w:r w:rsidR="00D80C86" w:rsidRPr="00C4060F">
        <w:rPr>
          <w:color w:val="auto"/>
          <w:highlight w:val="yellow"/>
          <w:lang w:eastAsia="zh-CN"/>
        </w:rPr>
        <w:t>550</w:t>
      </w:r>
      <w:r w:rsidR="00B51BB3" w:rsidRPr="00C4060F">
        <w:rPr>
          <w:color w:val="auto"/>
          <w:highlight w:val="yellow"/>
          <w:lang w:eastAsia="zh-CN"/>
        </w:rPr>
        <w:t xml:space="preserve"> × g, 3 min). Use 200 μL of medium for each wash (RPMI 1640 for the first 2 washes, complete culture medium for the last wash)</w:t>
      </w:r>
      <w:r w:rsidRPr="00C4060F">
        <w:rPr>
          <w:color w:val="auto"/>
          <w:highlight w:val="yellow"/>
          <w:lang w:eastAsia="zh-CN"/>
        </w:rPr>
        <w:t xml:space="preserve">. Discard </w:t>
      </w:r>
      <w:r w:rsidR="00FD2299">
        <w:rPr>
          <w:color w:val="auto"/>
          <w:highlight w:val="yellow"/>
          <w:lang w:eastAsia="zh-CN"/>
        </w:rPr>
        <w:t xml:space="preserve">the </w:t>
      </w:r>
      <w:r w:rsidRPr="00C4060F">
        <w:rPr>
          <w:color w:val="auto"/>
          <w:highlight w:val="yellow"/>
          <w:lang w:eastAsia="zh-CN"/>
        </w:rPr>
        <w:t>supernatant</w:t>
      </w:r>
      <w:r w:rsidR="00FD2299">
        <w:rPr>
          <w:color w:val="auto"/>
          <w:lang w:eastAsia="zh-CN"/>
        </w:rPr>
        <w:t>s</w:t>
      </w:r>
      <w:r w:rsidR="00B51BB3" w:rsidRPr="00C4060F">
        <w:rPr>
          <w:color w:val="auto"/>
          <w:lang w:eastAsia="zh-CN"/>
        </w:rPr>
        <w:t>.</w:t>
      </w:r>
    </w:p>
    <w:p w14:paraId="34B8A1E5" w14:textId="77777777" w:rsidR="002D651B" w:rsidRPr="00C4060F" w:rsidRDefault="002D651B" w:rsidP="0001526A">
      <w:pPr>
        <w:rPr>
          <w:color w:val="auto"/>
          <w:lang w:eastAsia="zh-CN"/>
        </w:rPr>
      </w:pPr>
    </w:p>
    <w:p w14:paraId="2A2796F3" w14:textId="07190CBC"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Removal of residual cytokines in the culture by repeated washing could effectively decrease the background in intracellular flow cytometry analysis.</w:t>
      </w:r>
    </w:p>
    <w:p w14:paraId="4BD6AA10" w14:textId="77777777" w:rsidR="002D651B" w:rsidRPr="00C4060F" w:rsidRDefault="002D651B" w:rsidP="0001526A">
      <w:pPr>
        <w:rPr>
          <w:color w:val="auto"/>
          <w:lang w:eastAsia="zh-CN"/>
        </w:rPr>
      </w:pPr>
    </w:p>
    <w:p w14:paraId="05471416" w14:textId="4FD16ACD" w:rsidR="00527A05" w:rsidRPr="00C4060F" w:rsidRDefault="00527A05" w:rsidP="0001526A">
      <w:pPr>
        <w:rPr>
          <w:color w:val="auto"/>
          <w:lang w:eastAsia="zh-CN"/>
        </w:rPr>
      </w:pPr>
      <w:r w:rsidRPr="00C4060F">
        <w:rPr>
          <w:color w:val="auto"/>
          <w:lang w:eastAsia="zh-CN"/>
        </w:rPr>
        <w:t>4.1.2</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For each well of cells stimulated with a specific peptide pool, add 200 μL of complete culture medium supplemented with the same peptide pools (2 μg/mL for each single peptide). For the well of background control, add complete culture medium supplemented with </w:t>
      </w:r>
      <w:r w:rsidR="00706D74" w:rsidRPr="00C4060F">
        <w:rPr>
          <w:color w:val="auto"/>
          <w:highlight w:val="yellow"/>
          <w:lang w:eastAsia="zh-CN"/>
        </w:rPr>
        <w:t xml:space="preserve">1 μL/mL of </w:t>
      </w:r>
      <w:r w:rsidRPr="00C4060F">
        <w:rPr>
          <w:color w:val="auto"/>
          <w:highlight w:val="yellow"/>
          <w:lang w:eastAsia="zh-CN"/>
        </w:rPr>
        <w:t xml:space="preserve">DMSO. For the well of positive control, add complete culture medium supplemented with </w:t>
      </w:r>
      <w:r w:rsidR="00706D74" w:rsidRPr="00C4060F">
        <w:rPr>
          <w:color w:val="auto"/>
          <w:highlight w:val="yellow"/>
          <w:lang w:eastAsia="zh-CN"/>
        </w:rPr>
        <w:t xml:space="preserve">1 μL/mL of </w:t>
      </w:r>
      <w:r w:rsidRPr="00C4060F">
        <w:rPr>
          <w:color w:val="auto"/>
          <w:highlight w:val="yellow"/>
          <w:lang w:eastAsia="zh-CN"/>
        </w:rPr>
        <w:t>DMSO, 150 ng/mL of phorbol 12-myristate 13-acetate (PMA)</w:t>
      </w:r>
      <w:r w:rsidR="00567622" w:rsidRPr="00C4060F">
        <w:rPr>
          <w:color w:val="auto"/>
          <w:highlight w:val="yellow"/>
          <w:lang w:eastAsia="zh-CN"/>
        </w:rPr>
        <w:t>,</w:t>
      </w:r>
      <w:r w:rsidRPr="00C4060F">
        <w:rPr>
          <w:color w:val="auto"/>
          <w:highlight w:val="yellow"/>
          <w:lang w:eastAsia="zh-CN"/>
        </w:rPr>
        <w:t xml:space="preserve"> and 1 μmol/L of ionomycin</w:t>
      </w:r>
      <w:r w:rsidRPr="00C4060F">
        <w:rPr>
          <w:color w:val="auto"/>
          <w:lang w:eastAsia="zh-CN"/>
        </w:rPr>
        <w:t>.</w:t>
      </w:r>
    </w:p>
    <w:p w14:paraId="12DA5587" w14:textId="77777777" w:rsidR="002D651B" w:rsidRPr="00C4060F" w:rsidRDefault="002D651B" w:rsidP="0001526A">
      <w:pPr>
        <w:rPr>
          <w:color w:val="auto"/>
          <w:lang w:eastAsia="zh-CN"/>
        </w:rPr>
      </w:pPr>
    </w:p>
    <w:p w14:paraId="5D0FE519" w14:textId="7D888F1B"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High dose of DMSO will block the cytokine secretion of T cells (most significant for TNF-α). Dose of DMSO higher than 5 μL/mL is not recommended. Generally, </w:t>
      </w:r>
      <w:r w:rsidR="00706D74" w:rsidRPr="00C4060F">
        <w:rPr>
          <w:color w:val="auto"/>
          <w:lang w:eastAsia="zh-CN"/>
        </w:rPr>
        <w:t xml:space="preserve">the dose of DMSO </w:t>
      </w:r>
      <w:r w:rsidR="00527A05" w:rsidRPr="00C4060F">
        <w:rPr>
          <w:color w:val="auto"/>
          <w:lang w:eastAsia="zh-CN"/>
        </w:rPr>
        <w:t>in our experiment does not exceed 1 μL/mL.</w:t>
      </w:r>
    </w:p>
    <w:p w14:paraId="45D4CDBE" w14:textId="77777777" w:rsidR="002D651B" w:rsidRPr="00C4060F" w:rsidRDefault="002D651B" w:rsidP="0001526A">
      <w:pPr>
        <w:rPr>
          <w:color w:val="auto"/>
          <w:lang w:eastAsia="zh-CN"/>
        </w:rPr>
      </w:pPr>
    </w:p>
    <w:p w14:paraId="0FE5CDD0" w14:textId="77777777" w:rsidR="00527A05" w:rsidRPr="00C4060F" w:rsidRDefault="00527A05" w:rsidP="0001526A">
      <w:pPr>
        <w:rPr>
          <w:color w:val="auto"/>
          <w:lang w:eastAsia="zh-CN"/>
        </w:rPr>
      </w:pPr>
      <w:r w:rsidRPr="00C4060F">
        <w:rPr>
          <w:color w:val="auto"/>
          <w:lang w:eastAsia="zh-CN"/>
        </w:rPr>
        <w:t>4.1.3</w:t>
      </w:r>
      <w:r w:rsidR="002D651B" w:rsidRPr="00C4060F">
        <w:rPr>
          <w:color w:val="auto"/>
          <w:lang w:eastAsia="zh-CN"/>
        </w:rPr>
        <w:t>.</w:t>
      </w:r>
      <w:r w:rsidRPr="00C4060F">
        <w:rPr>
          <w:color w:val="auto"/>
          <w:lang w:eastAsia="zh-CN"/>
        </w:rPr>
        <w:t xml:space="preserve"> </w:t>
      </w:r>
      <w:r w:rsidRPr="00C4060F">
        <w:rPr>
          <w:color w:val="auto"/>
          <w:highlight w:val="yellow"/>
          <w:lang w:eastAsia="zh-CN"/>
        </w:rPr>
        <w:t>Incubate at 37 °C and 5% CO</w:t>
      </w:r>
      <w:r w:rsidRPr="00FD2299">
        <w:rPr>
          <w:color w:val="auto"/>
          <w:highlight w:val="yellow"/>
          <w:vertAlign w:val="subscript"/>
          <w:lang w:eastAsia="zh-CN"/>
        </w:rPr>
        <w:t>2</w:t>
      </w:r>
      <w:r w:rsidRPr="00C4060F">
        <w:rPr>
          <w:color w:val="auto"/>
          <w:highlight w:val="yellow"/>
          <w:lang w:eastAsia="zh-CN"/>
        </w:rPr>
        <w:t xml:space="preserve"> for 6 h.</w:t>
      </w:r>
    </w:p>
    <w:p w14:paraId="7E156B97" w14:textId="77777777" w:rsidR="002D651B" w:rsidRPr="00C4060F" w:rsidRDefault="002D651B" w:rsidP="0001526A">
      <w:pPr>
        <w:rPr>
          <w:color w:val="auto"/>
          <w:lang w:eastAsia="zh-CN"/>
        </w:rPr>
      </w:pPr>
    </w:p>
    <w:p w14:paraId="16CD878E" w14:textId="7E2184B5" w:rsidR="00527A05" w:rsidRPr="00C4060F" w:rsidRDefault="00527A05" w:rsidP="0001526A">
      <w:pPr>
        <w:rPr>
          <w:color w:val="auto"/>
          <w:lang w:eastAsia="zh-CN"/>
        </w:rPr>
      </w:pPr>
      <w:r w:rsidRPr="00C4060F">
        <w:rPr>
          <w:color w:val="auto"/>
          <w:lang w:eastAsia="zh-CN"/>
        </w:rPr>
        <w:t>4.1.4</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After 1 h of incubation, add </w:t>
      </w:r>
      <w:proofErr w:type="spellStart"/>
      <w:r w:rsidR="00567622" w:rsidRPr="00C4060F">
        <w:rPr>
          <w:color w:val="auto"/>
          <w:highlight w:val="yellow"/>
          <w:lang w:eastAsia="zh-CN"/>
        </w:rPr>
        <w:t>Monensin</w:t>
      </w:r>
      <w:proofErr w:type="spellEnd"/>
      <w:r w:rsidRPr="00C4060F">
        <w:rPr>
          <w:color w:val="auto"/>
          <w:highlight w:val="yellow"/>
          <w:lang w:eastAsia="zh-CN"/>
        </w:rPr>
        <w:t xml:space="preserve"> </w:t>
      </w:r>
      <w:r w:rsidR="00086352" w:rsidRPr="00C4060F">
        <w:rPr>
          <w:color w:val="auto"/>
          <w:highlight w:val="yellow"/>
          <w:lang w:eastAsia="zh-CN"/>
        </w:rPr>
        <w:t>(</w:t>
      </w:r>
      <w:r w:rsidR="00890042" w:rsidRPr="00C4060F">
        <w:rPr>
          <w:color w:val="auto"/>
          <w:highlight w:val="yellow"/>
          <w:lang w:eastAsia="zh-CN"/>
        </w:rPr>
        <w:t>1.37 μg/mL</w:t>
      </w:r>
      <w:r w:rsidR="00086352" w:rsidRPr="00C4060F">
        <w:rPr>
          <w:color w:val="auto"/>
          <w:highlight w:val="yellow"/>
          <w:lang w:eastAsia="zh-CN"/>
        </w:rPr>
        <w:t>)</w:t>
      </w:r>
      <w:r w:rsidR="00022036" w:rsidRPr="00C4060F">
        <w:rPr>
          <w:color w:val="auto"/>
          <w:highlight w:val="yellow"/>
          <w:lang w:eastAsia="zh-CN"/>
        </w:rPr>
        <w:t xml:space="preserve"> </w:t>
      </w:r>
      <w:r w:rsidRPr="00C4060F">
        <w:rPr>
          <w:color w:val="auto"/>
          <w:highlight w:val="yellow"/>
          <w:lang w:eastAsia="zh-CN"/>
        </w:rPr>
        <w:t>to the culture.</w:t>
      </w:r>
    </w:p>
    <w:p w14:paraId="65D60443" w14:textId="77777777" w:rsidR="002D651B" w:rsidRPr="00C4060F" w:rsidRDefault="002D651B" w:rsidP="0001526A">
      <w:pPr>
        <w:rPr>
          <w:color w:val="auto"/>
          <w:lang w:eastAsia="zh-CN"/>
        </w:rPr>
      </w:pPr>
    </w:p>
    <w:p w14:paraId="5E6E6896" w14:textId="77777777" w:rsidR="00527A05" w:rsidRPr="00C4060F" w:rsidRDefault="00527A05" w:rsidP="0001526A">
      <w:pPr>
        <w:rPr>
          <w:color w:val="auto"/>
          <w:lang w:eastAsia="zh-CN"/>
        </w:rPr>
      </w:pPr>
      <w:r w:rsidRPr="00C4060F">
        <w:rPr>
          <w:color w:val="auto"/>
          <w:lang w:eastAsia="zh-CN"/>
        </w:rPr>
        <w:t>4.2</w:t>
      </w:r>
      <w:r w:rsidR="002D651B" w:rsidRPr="00C4060F">
        <w:rPr>
          <w:color w:val="auto"/>
          <w:lang w:eastAsia="zh-CN"/>
        </w:rPr>
        <w:t>.</w:t>
      </w:r>
      <w:r w:rsidRPr="00C4060F">
        <w:rPr>
          <w:color w:val="auto"/>
          <w:lang w:eastAsia="zh-CN"/>
        </w:rPr>
        <w:t xml:space="preserve"> Flow cytometry</w:t>
      </w:r>
    </w:p>
    <w:p w14:paraId="4CAF320F" w14:textId="77777777" w:rsidR="002D651B" w:rsidRPr="00C4060F" w:rsidRDefault="002D651B" w:rsidP="0001526A">
      <w:pPr>
        <w:rPr>
          <w:color w:val="auto"/>
          <w:lang w:eastAsia="zh-CN"/>
        </w:rPr>
      </w:pPr>
    </w:p>
    <w:p w14:paraId="7820550B" w14:textId="22D7E0F1" w:rsidR="00527A05" w:rsidRPr="00C4060F" w:rsidRDefault="00527A05" w:rsidP="0001526A">
      <w:pPr>
        <w:rPr>
          <w:color w:val="auto"/>
          <w:lang w:eastAsia="zh-CN"/>
        </w:rPr>
      </w:pPr>
      <w:r w:rsidRPr="00C4060F">
        <w:rPr>
          <w:color w:val="auto"/>
          <w:lang w:eastAsia="zh-CN"/>
        </w:rPr>
        <w:t>4.2.1</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After 6 h of incubation. </w:t>
      </w:r>
      <w:r w:rsidR="00890042" w:rsidRPr="00C4060F">
        <w:rPr>
          <w:color w:val="auto"/>
          <w:highlight w:val="yellow"/>
          <w:lang w:eastAsia="zh-CN"/>
        </w:rPr>
        <w:t>Remove supernatant after centrifugation (550 × g, 3 min), w</w:t>
      </w:r>
      <w:r w:rsidRPr="00C4060F">
        <w:rPr>
          <w:color w:val="auto"/>
          <w:highlight w:val="yellow"/>
          <w:lang w:eastAsia="zh-CN"/>
        </w:rPr>
        <w:t>ash cell</w:t>
      </w:r>
      <w:r w:rsidR="00890042" w:rsidRPr="00C4060F">
        <w:rPr>
          <w:color w:val="auto"/>
          <w:highlight w:val="yellow"/>
          <w:lang w:eastAsia="zh-CN"/>
        </w:rPr>
        <w:t>s</w:t>
      </w:r>
      <w:r w:rsidRPr="00C4060F">
        <w:rPr>
          <w:color w:val="auto"/>
          <w:highlight w:val="yellow"/>
          <w:lang w:eastAsia="zh-CN"/>
        </w:rPr>
        <w:t xml:space="preserve"> once with </w:t>
      </w:r>
      <w:r w:rsidR="00890042" w:rsidRPr="00C4060F">
        <w:rPr>
          <w:color w:val="auto"/>
          <w:highlight w:val="yellow"/>
          <w:lang w:eastAsia="zh-CN"/>
        </w:rPr>
        <w:t xml:space="preserve">200 μL of </w:t>
      </w:r>
      <w:r w:rsidRPr="00C4060F">
        <w:rPr>
          <w:color w:val="auto"/>
          <w:highlight w:val="yellow"/>
          <w:lang w:eastAsia="zh-CN"/>
        </w:rPr>
        <w:t>DPBS</w:t>
      </w:r>
      <w:r w:rsidR="00890042" w:rsidRPr="00C4060F">
        <w:rPr>
          <w:color w:val="auto"/>
          <w:highlight w:val="yellow"/>
          <w:lang w:eastAsia="zh-CN"/>
        </w:rPr>
        <w:t xml:space="preserve"> (550 × g, 3 min)</w:t>
      </w:r>
      <w:r w:rsidRPr="00C4060F">
        <w:rPr>
          <w:color w:val="auto"/>
          <w:highlight w:val="yellow"/>
          <w:lang w:eastAsia="zh-CN"/>
        </w:rPr>
        <w:t xml:space="preserve">, stain surface markers </w:t>
      </w:r>
      <w:r w:rsidR="00C079C2" w:rsidRPr="00C4060F">
        <w:rPr>
          <w:color w:val="auto"/>
          <w:highlight w:val="yellow"/>
          <w:lang w:eastAsia="zh-CN"/>
        </w:rPr>
        <w:t xml:space="preserve">(CD3, CD4, and CD8) </w:t>
      </w:r>
      <w:r w:rsidRPr="00C4060F">
        <w:rPr>
          <w:color w:val="auto"/>
          <w:highlight w:val="yellow"/>
          <w:lang w:eastAsia="zh-CN"/>
        </w:rPr>
        <w:t xml:space="preserve">and viability marker </w:t>
      </w:r>
      <w:r w:rsidR="00C079C2" w:rsidRPr="00C4060F">
        <w:rPr>
          <w:color w:val="auto"/>
          <w:highlight w:val="yellow"/>
          <w:lang w:eastAsia="zh-CN"/>
        </w:rPr>
        <w:t xml:space="preserve">(using Fixable Viability Dye) </w:t>
      </w:r>
      <w:r w:rsidRPr="00C4060F">
        <w:rPr>
          <w:color w:val="auto"/>
          <w:highlight w:val="yellow"/>
          <w:lang w:eastAsia="zh-CN"/>
        </w:rPr>
        <w:t xml:space="preserve">in </w:t>
      </w:r>
      <w:r w:rsidR="004302DB">
        <w:rPr>
          <w:color w:val="auto"/>
          <w:highlight w:val="yellow"/>
          <w:lang w:eastAsia="zh-CN"/>
        </w:rPr>
        <w:t xml:space="preserve">a </w:t>
      </w:r>
      <w:r w:rsidRPr="00C4060F">
        <w:rPr>
          <w:color w:val="auto"/>
          <w:highlight w:val="yellow"/>
          <w:lang w:eastAsia="zh-CN"/>
        </w:rPr>
        <w:t>4</w:t>
      </w:r>
      <w:r w:rsidR="00C4060F" w:rsidRPr="00C4060F">
        <w:rPr>
          <w:color w:val="auto"/>
          <w:highlight w:val="yellow"/>
          <w:lang w:eastAsia="zh-CN"/>
        </w:rPr>
        <w:t xml:space="preserve"> </w:t>
      </w:r>
      <w:r w:rsidR="00C4060F" w:rsidRPr="00C4060F">
        <w:rPr>
          <w:rFonts w:asciiTheme="minorHAnsi" w:hAnsiTheme="minorHAnsi" w:cstheme="minorHAnsi"/>
          <w:color w:val="auto"/>
          <w:lang w:eastAsia="zh-CN"/>
        </w:rPr>
        <w:t>°C</w:t>
      </w:r>
      <w:r w:rsidR="00C4060F" w:rsidRPr="00C4060F">
        <w:rPr>
          <w:color w:val="auto"/>
          <w:highlight w:val="yellow"/>
          <w:lang w:eastAsia="zh-CN"/>
        </w:rPr>
        <w:t xml:space="preserve"> r</w:t>
      </w:r>
      <w:r w:rsidRPr="00C4060F">
        <w:rPr>
          <w:color w:val="auto"/>
          <w:highlight w:val="yellow"/>
          <w:lang w:eastAsia="zh-CN"/>
        </w:rPr>
        <w:t>efrigerator for 30 min.</w:t>
      </w:r>
    </w:p>
    <w:p w14:paraId="0B6B80E8" w14:textId="77777777" w:rsidR="002D651B" w:rsidRPr="00C4060F" w:rsidRDefault="002D651B" w:rsidP="0001526A">
      <w:pPr>
        <w:rPr>
          <w:color w:val="auto"/>
          <w:lang w:eastAsia="zh-CN"/>
        </w:rPr>
      </w:pPr>
    </w:p>
    <w:p w14:paraId="363D0C23" w14:textId="69BAA3E9" w:rsidR="00527A05" w:rsidRPr="00C4060F" w:rsidRDefault="00527A05" w:rsidP="0001526A">
      <w:pPr>
        <w:rPr>
          <w:color w:val="auto"/>
          <w:lang w:eastAsia="zh-CN"/>
        </w:rPr>
      </w:pPr>
      <w:r w:rsidRPr="00C4060F">
        <w:rPr>
          <w:color w:val="auto"/>
          <w:lang w:eastAsia="zh-CN"/>
        </w:rPr>
        <w:t>4.2.2</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Wash once with </w:t>
      </w:r>
      <w:r w:rsidR="00890042" w:rsidRPr="00C4060F">
        <w:rPr>
          <w:color w:val="auto"/>
          <w:highlight w:val="yellow"/>
          <w:lang w:eastAsia="zh-CN"/>
        </w:rPr>
        <w:t xml:space="preserve">200 μL of </w:t>
      </w:r>
      <w:r w:rsidRPr="00C4060F">
        <w:rPr>
          <w:color w:val="auto"/>
          <w:highlight w:val="yellow"/>
          <w:lang w:eastAsia="zh-CN"/>
        </w:rPr>
        <w:t>DPBS</w:t>
      </w:r>
      <w:r w:rsidR="00890042" w:rsidRPr="00C4060F">
        <w:rPr>
          <w:color w:val="auto"/>
          <w:highlight w:val="yellow"/>
          <w:lang w:eastAsia="zh-CN"/>
        </w:rPr>
        <w:t xml:space="preserve"> (550 × g, 3 min)</w:t>
      </w:r>
      <w:r w:rsidRPr="00C4060F">
        <w:rPr>
          <w:color w:val="auto"/>
          <w:highlight w:val="yellow"/>
          <w:lang w:eastAsia="zh-CN"/>
        </w:rPr>
        <w:t xml:space="preserve">. Fixate and permeabilize cells, </w:t>
      </w:r>
      <w:r w:rsidRPr="00C4060F">
        <w:rPr>
          <w:color w:val="auto"/>
          <w:highlight w:val="yellow"/>
          <w:lang w:eastAsia="zh-CN"/>
        </w:rPr>
        <w:lastRenderedPageBreak/>
        <w:t xml:space="preserve">and </w:t>
      </w:r>
      <w:r w:rsidR="00022036" w:rsidRPr="00C4060F">
        <w:rPr>
          <w:color w:val="auto"/>
          <w:highlight w:val="yellow"/>
          <w:lang w:eastAsia="zh-CN"/>
        </w:rPr>
        <w:t>s</w:t>
      </w:r>
      <w:r w:rsidRPr="00C4060F">
        <w:rPr>
          <w:color w:val="auto"/>
          <w:highlight w:val="yellow"/>
          <w:lang w:eastAsia="zh-CN"/>
        </w:rPr>
        <w:t>tain intracellular cytokines</w:t>
      </w:r>
      <w:r w:rsidR="00890042" w:rsidRPr="00C4060F">
        <w:rPr>
          <w:color w:val="auto"/>
          <w:highlight w:val="yellow"/>
          <w:lang w:eastAsia="zh-CN"/>
        </w:rPr>
        <w:t xml:space="preserve"> (TNF-α and IFN-γ)</w:t>
      </w:r>
      <w:r w:rsidRPr="00C4060F">
        <w:rPr>
          <w:color w:val="auto"/>
          <w:highlight w:val="yellow"/>
          <w:lang w:eastAsia="zh-CN"/>
        </w:rPr>
        <w:t xml:space="preserve"> in </w:t>
      </w:r>
      <w:r w:rsidR="004302DB">
        <w:rPr>
          <w:color w:val="auto"/>
          <w:highlight w:val="yellow"/>
          <w:lang w:eastAsia="zh-CN"/>
        </w:rPr>
        <w:t xml:space="preserve">a </w:t>
      </w:r>
      <w:r w:rsidRPr="00C4060F">
        <w:rPr>
          <w:color w:val="auto"/>
          <w:highlight w:val="yellow"/>
          <w:lang w:eastAsia="zh-CN"/>
        </w:rPr>
        <w:t>4</w:t>
      </w:r>
      <w:r w:rsidR="00C4060F" w:rsidRPr="00C4060F">
        <w:rPr>
          <w:color w:val="auto"/>
          <w:highlight w:val="yellow"/>
          <w:lang w:eastAsia="zh-CN"/>
        </w:rPr>
        <w:t xml:space="preserve"> </w:t>
      </w:r>
      <w:r w:rsidR="00C4060F" w:rsidRPr="00C4060F">
        <w:rPr>
          <w:rFonts w:asciiTheme="minorHAnsi" w:hAnsiTheme="minorHAnsi" w:cstheme="minorHAnsi"/>
          <w:color w:val="auto"/>
          <w:highlight w:val="yellow"/>
          <w:lang w:eastAsia="zh-CN"/>
        </w:rPr>
        <w:t>°C</w:t>
      </w:r>
      <w:r w:rsidRPr="00C4060F">
        <w:rPr>
          <w:color w:val="auto"/>
          <w:highlight w:val="yellow"/>
          <w:lang w:eastAsia="zh-CN"/>
        </w:rPr>
        <w:t xml:space="preserve"> refrigerator for 45 min.</w:t>
      </w:r>
      <w:r w:rsidRPr="00C4060F">
        <w:rPr>
          <w:color w:val="auto"/>
          <w:lang w:eastAsia="zh-CN"/>
        </w:rPr>
        <w:t xml:space="preserve"> </w:t>
      </w:r>
    </w:p>
    <w:p w14:paraId="5F077BF8" w14:textId="77777777" w:rsidR="002D651B" w:rsidRPr="00C4060F" w:rsidRDefault="002D651B" w:rsidP="0001526A">
      <w:pPr>
        <w:rPr>
          <w:color w:val="auto"/>
          <w:lang w:eastAsia="zh-CN"/>
        </w:rPr>
      </w:pPr>
    </w:p>
    <w:p w14:paraId="3D2BD074" w14:textId="77777777" w:rsidR="00527A05" w:rsidRPr="00C4060F" w:rsidRDefault="00527A05" w:rsidP="0001526A">
      <w:pPr>
        <w:rPr>
          <w:color w:val="auto"/>
          <w:lang w:eastAsia="zh-CN"/>
        </w:rPr>
      </w:pPr>
      <w:r w:rsidRPr="00C4060F">
        <w:rPr>
          <w:color w:val="auto"/>
          <w:lang w:eastAsia="zh-CN"/>
        </w:rPr>
        <w:t>4.2.3</w:t>
      </w:r>
      <w:r w:rsidR="002D651B" w:rsidRPr="00C4060F">
        <w:rPr>
          <w:color w:val="auto"/>
          <w:lang w:eastAsia="zh-CN"/>
        </w:rPr>
        <w:t>.</w:t>
      </w:r>
      <w:r w:rsidRPr="00C4060F">
        <w:rPr>
          <w:color w:val="auto"/>
          <w:lang w:eastAsia="zh-CN"/>
        </w:rPr>
        <w:t xml:space="preserve"> </w:t>
      </w:r>
      <w:r w:rsidRPr="00C4060F">
        <w:rPr>
          <w:color w:val="auto"/>
          <w:highlight w:val="yellow"/>
          <w:lang w:eastAsia="zh-CN"/>
        </w:rPr>
        <w:t>After the final wash in intracellular staining, resuspend cells in 150 μL of flow cytometry buffer (DPBS + 0.5% BSA).</w:t>
      </w:r>
    </w:p>
    <w:p w14:paraId="54E8D98A" w14:textId="77777777" w:rsidR="002D651B" w:rsidRPr="00C4060F" w:rsidRDefault="002D651B" w:rsidP="0001526A">
      <w:pPr>
        <w:rPr>
          <w:color w:val="auto"/>
          <w:lang w:eastAsia="zh-CN"/>
        </w:rPr>
      </w:pPr>
    </w:p>
    <w:p w14:paraId="03EE7674" w14:textId="2A05A432" w:rsidR="00527A05" w:rsidRPr="00C4060F" w:rsidRDefault="00527A05" w:rsidP="0001526A">
      <w:pPr>
        <w:rPr>
          <w:color w:val="auto"/>
          <w:lang w:eastAsia="zh-CN"/>
        </w:rPr>
      </w:pPr>
      <w:r w:rsidRPr="00C4060F">
        <w:rPr>
          <w:color w:val="auto"/>
          <w:lang w:eastAsia="zh-CN"/>
        </w:rPr>
        <w:t>4.2.4</w:t>
      </w:r>
      <w:r w:rsidR="002D651B" w:rsidRPr="00C4060F">
        <w:rPr>
          <w:color w:val="auto"/>
          <w:lang w:eastAsia="zh-CN"/>
        </w:rPr>
        <w:t>.</w:t>
      </w:r>
      <w:r w:rsidRPr="00C4060F">
        <w:rPr>
          <w:color w:val="auto"/>
          <w:lang w:eastAsia="zh-CN"/>
        </w:rPr>
        <w:t xml:space="preserve"> </w:t>
      </w:r>
      <w:r w:rsidR="007E6239" w:rsidRPr="00C4060F">
        <w:rPr>
          <w:color w:val="auto"/>
          <w:highlight w:val="yellow"/>
          <w:lang w:eastAsia="zh-CN"/>
        </w:rPr>
        <w:t>Acquire flow cytometry data on a flow cytometer.</w:t>
      </w:r>
    </w:p>
    <w:p w14:paraId="6E42E228" w14:textId="77777777" w:rsidR="002D651B" w:rsidRPr="00C4060F" w:rsidRDefault="002D651B" w:rsidP="0001526A">
      <w:pPr>
        <w:rPr>
          <w:color w:val="auto"/>
          <w:lang w:eastAsia="zh-CN"/>
        </w:rPr>
      </w:pPr>
    </w:p>
    <w:p w14:paraId="16EB0435" w14:textId="77777777" w:rsidR="00527A05" w:rsidRPr="00C4060F" w:rsidRDefault="00527A05" w:rsidP="0001526A">
      <w:pPr>
        <w:rPr>
          <w:color w:val="auto"/>
          <w:lang w:eastAsia="zh-CN"/>
        </w:rPr>
      </w:pPr>
      <w:r w:rsidRPr="00C4060F">
        <w:rPr>
          <w:color w:val="auto"/>
          <w:lang w:eastAsia="zh-CN"/>
        </w:rPr>
        <w:t>4.3</w:t>
      </w:r>
      <w:r w:rsidR="002D651B" w:rsidRPr="00C4060F">
        <w:rPr>
          <w:color w:val="auto"/>
          <w:lang w:eastAsia="zh-CN"/>
        </w:rPr>
        <w:t>.</w:t>
      </w:r>
      <w:r w:rsidRPr="00C4060F">
        <w:rPr>
          <w:color w:val="auto"/>
          <w:lang w:eastAsia="zh-CN"/>
        </w:rPr>
        <w:t xml:space="preserve"> Analysis of flow cytometry results</w:t>
      </w:r>
    </w:p>
    <w:p w14:paraId="510D197A" w14:textId="77777777" w:rsidR="002D651B" w:rsidRPr="00C4060F" w:rsidRDefault="002D651B" w:rsidP="0001526A">
      <w:pPr>
        <w:rPr>
          <w:color w:val="auto"/>
          <w:lang w:eastAsia="zh-CN"/>
        </w:rPr>
      </w:pPr>
    </w:p>
    <w:p w14:paraId="7E974E4F" w14:textId="10BD3BA9" w:rsidR="00527A05" w:rsidRPr="00C4060F" w:rsidRDefault="00527A05" w:rsidP="0001526A">
      <w:pPr>
        <w:rPr>
          <w:color w:val="auto"/>
          <w:lang w:eastAsia="zh-CN"/>
        </w:rPr>
      </w:pPr>
      <w:r w:rsidRPr="00C4060F">
        <w:rPr>
          <w:color w:val="auto"/>
          <w:lang w:eastAsia="zh-CN"/>
        </w:rPr>
        <w:t>4.3.1</w:t>
      </w:r>
      <w:r w:rsidR="002D651B" w:rsidRPr="00C4060F">
        <w:rPr>
          <w:color w:val="auto"/>
          <w:lang w:eastAsia="zh-CN"/>
        </w:rPr>
        <w:t>.</w:t>
      </w:r>
      <w:r w:rsidRPr="00C4060F">
        <w:rPr>
          <w:color w:val="auto"/>
          <w:lang w:eastAsia="zh-CN"/>
        </w:rPr>
        <w:t xml:space="preserve"> Definition of positive well: consider a well as positive if they have </w:t>
      </w:r>
      <w:r w:rsidR="004302DB">
        <w:rPr>
          <w:color w:val="auto"/>
          <w:lang w:eastAsia="zh-CN"/>
        </w:rPr>
        <w:t xml:space="preserve">a </w:t>
      </w:r>
      <w:r w:rsidRPr="00C4060F">
        <w:rPr>
          <w:color w:val="auto"/>
          <w:lang w:eastAsia="zh-CN"/>
        </w:rPr>
        <w:t xml:space="preserve">frequency of cytokine secreting T cells at least two times of the background control well </w:t>
      </w:r>
      <w:r w:rsidR="00061546" w:rsidRPr="00C4060F">
        <w:rPr>
          <w:color w:val="auto"/>
          <w:lang w:eastAsia="zh-CN"/>
        </w:rPr>
        <w:t>(</w:t>
      </w:r>
      <w:r w:rsidR="00061546" w:rsidRPr="004302DB">
        <w:rPr>
          <w:b/>
          <w:bCs/>
          <w:color w:val="auto"/>
          <w:lang w:eastAsia="zh-CN"/>
        </w:rPr>
        <w:t>Figure 1</w:t>
      </w:r>
      <w:r w:rsidRPr="00C4060F">
        <w:rPr>
          <w:color w:val="auto"/>
          <w:lang w:eastAsia="zh-CN"/>
        </w:rPr>
        <w:t>).</w:t>
      </w:r>
    </w:p>
    <w:p w14:paraId="0DA4299C" w14:textId="77777777" w:rsidR="002D651B" w:rsidRPr="00C4060F" w:rsidRDefault="002D651B" w:rsidP="0001526A">
      <w:pPr>
        <w:rPr>
          <w:color w:val="auto"/>
          <w:lang w:eastAsia="zh-CN"/>
        </w:rPr>
      </w:pPr>
    </w:p>
    <w:p w14:paraId="6DDCF15A" w14:textId="77777777" w:rsidR="00527A05" w:rsidRPr="00C4060F" w:rsidRDefault="00527A05" w:rsidP="0001526A">
      <w:pPr>
        <w:rPr>
          <w:color w:val="auto"/>
          <w:lang w:eastAsia="zh-CN"/>
        </w:rPr>
      </w:pPr>
      <w:r w:rsidRPr="00C4060F">
        <w:rPr>
          <w:color w:val="auto"/>
          <w:lang w:eastAsia="zh-CN"/>
        </w:rPr>
        <w:t>4.3.2</w:t>
      </w:r>
      <w:r w:rsidR="002D651B" w:rsidRPr="00C4060F">
        <w:rPr>
          <w:color w:val="auto"/>
          <w:lang w:eastAsia="zh-CN"/>
        </w:rPr>
        <w:t>.</w:t>
      </w:r>
      <w:r w:rsidRPr="00C4060F">
        <w:rPr>
          <w:color w:val="auto"/>
          <w:lang w:eastAsia="zh-CN"/>
        </w:rPr>
        <w:t xml:space="preserve"> According to the following formula, calculate the response rate for each cytokine analyzed (</w:t>
      </w:r>
      <w:r w:rsidRPr="004302DB">
        <w:rPr>
          <w:b/>
          <w:bCs/>
          <w:color w:val="auto"/>
          <w:lang w:eastAsia="zh-CN"/>
        </w:rPr>
        <w:t xml:space="preserve">Figure </w:t>
      </w:r>
      <w:r w:rsidR="00301823" w:rsidRPr="004302DB">
        <w:rPr>
          <w:b/>
          <w:bCs/>
          <w:color w:val="auto"/>
          <w:lang w:eastAsia="zh-CN"/>
        </w:rPr>
        <w:t>2</w:t>
      </w:r>
      <w:r w:rsidRPr="00C4060F">
        <w:rPr>
          <w:color w:val="auto"/>
          <w:lang w:eastAsia="zh-CN"/>
        </w:rPr>
        <w:t>):</w:t>
      </w:r>
    </w:p>
    <w:p w14:paraId="502405ED" w14:textId="77777777" w:rsidR="00527A05" w:rsidRPr="00C4060F" w:rsidRDefault="00527A05" w:rsidP="0001526A">
      <w:pPr>
        <w:rPr>
          <w:color w:val="auto"/>
          <w:sz w:val="20"/>
          <w:szCs w:val="20"/>
          <w:lang w:eastAsia="zh-CN"/>
        </w:rPr>
      </w:pPr>
      <m:oMathPara>
        <m:oMath>
          <m:r>
            <m:rPr>
              <m:sty m:val="p"/>
            </m:rPr>
            <w:rPr>
              <w:rFonts w:ascii="Cambria Math" w:hAnsi="Cambria Math"/>
              <w:color w:val="auto"/>
              <w:sz w:val="20"/>
              <w:szCs w:val="20"/>
              <w:lang w:eastAsia="zh-CN"/>
            </w:rPr>
            <m:t>Reponse rate=</m:t>
          </m:r>
          <m:f>
            <m:fPr>
              <m:ctrlPr>
                <w:rPr>
                  <w:rFonts w:ascii="Cambria Math" w:eastAsia="Cambria Math" w:hAnsi="Cambria Math"/>
                  <w:i/>
                  <w:color w:val="auto"/>
                  <w:sz w:val="20"/>
                  <w:szCs w:val="20"/>
                  <w:lang w:eastAsia="zh-CN"/>
                </w:rPr>
              </m:ctrlPr>
            </m:fPr>
            <m:num>
              <m:r>
                <w:rPr>
                  <w:rFonts w:ascii="Cambria Math" w:hAnsi="Cambria Math"/>
                  <w:color w:val="auto"/>
                  <w:sz w:val="20"/>
                  <w:szCs w:val="20"/>
                  <w:lang w:eastAsia="zh-CN"/>
                </w:rPr>
                <m:t>∑</m:t>
              </m:r>
              <m:d>
                <m:dPr>
                  <m:ctrlPr>
                    <w:rPr>
                      <w:rFonts w:ascii="Cambria Math" w:hAnsi="Cambria Math"/>
                      <w:color w:val="auto"/>
                      <w:sz w:val="20"/>
                      <w:szCs w:val="20"/>
                      <w:lang w:eastAsia="zh-CN"/>
                    </w:rPr>
                  </m:ctrlPr>
                </m:dPr>
                <m:e>
                  <m:r>
                    <m:rPr>
                      <m:sty m:val="p"/>
                    </m:rPr>
                    <w:rPr>
                      <w:rFonts w:ascii="Cambria Math" w:hAnsi="Cambria Math"/>
                      <w:color w:val="auto"/>
                      <w:sz w:val="20"/>
                      <w:szCs w:val="20"/>
                      <w:lang w:eastAsia="zh-CN"/>
                    </w:rPr>
                    <m:t>frequency of cytokine secreting cells in postive well</m:t>
                  </m:r>
                  <m:r>
                    <m:rPr>
                      <m:sty m:val="p"/>
                    </m:rPr>
                    <w:rPr>
                      <w:rFonts w:ascii="Cambria Math" w:eastAsia="MS Gothic" w:hAnsi="Cambria Math"/>
                      <w:color w:val="auto"/>
                      <w:sz w:val="20"/>
                      <w:szCs w:val="20"/>
                      <w:lang w:eastAsia="zh-CN"/>
                    </w:rPr>
                    <m:t>-</m:t>
                  </m:r>
                  <m:r>
                    <m:rPr>
                      <m:sty m:val="p"/>
                    </m:rPr>
                    <w:rPr>
                      <w:rFonts w:ascii="Cambria Math" w:hAnsi="Cambria Math"/>
                      <w:color w:val="auto"/>
                      <w:sz w:val="20"/>
                      <w:szCs w:val="20"/>
                      <w:lang w:eastAsia="zh-CN"/>
                    </w:rPr>
                    <m:t xml:space="preserve"> background</m:t>
                  </m:r>
                </m:e>
              </m:d>
            </m:num>
            <m:den>
              <m:r>
                <w:rPr>
                  <w:rFonts w:ascii="Cambria Math" w:eastAsia="Cambria Math" w:hAnsi="Cambria Math"/>
                  <w:color w:val="auto"/>
                  <w:sz w:val="20"/>
                  <w:szCs w:val="20"/>
                  <w:lang w:eastAsia="zh-CN"/>
                </w:rPr>
                <m:t>2</m:t>
              </m:r>
            </m:den>
          </m:f>
        </m:oMath>
      </m:oMathPara>
    </w:p>
    <w:p w14:paraId="1104353C" w14:textId="77777777" w:rsidR="002D651B" w:rsidRPr="00C4060F" w:rsidRDefault="002D651B" w:rsidP="0001526A">
      <w:pPr>
        <w:rPr>
          <w:color w:val="auto"/>
          <w:lang w:eastAsia="zh-CN"/>
        </w:rPr>
      </w:pPr>
    </w:p>
    <w:p w14:paraId="697AF3FE" w14:textId="22C229AA"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The row </w:t>
      </w:r>
      <w:r w:rsidR="006E32C1">
        <w:rPr>
          <w:color w:val="auto"/>
          <w:lang w:eastAsia="zh-CN"/>
        </w:rPr>
        <w:t>peptide pool</w:t>
      </w:r>
      <w:r w:rsidR="00527A05" w:rsidRPr="00C4060F">
        <w:rPr>
          <w:color w:val="auto"/>
          <w:lang w:eastAsia="zh-CN"/>
        </w:rPr>
        <w:t xml:space="preserve"> and the column </w:t>
      </w:r>
      <w:r w:rsidR="006E32C1">
        <w:rPr>
          <w:color w:val="auto"/>
          <w:lang w:eastAsia="zh-CN"/>
        </w:rPr>
        <w:t>peptide pools</w:t>
      </w:r>
      <w:r w:rsidR="00527A05" w:rsidRPr="00C4060F">
        <w:rPr>
          <w:color w:val="auto"/>
          <w:lang w:eastAsia="zh-CN"/>
        </w:rPr>
        <w:t xml:space="preserve"> in the matrix represent 2 separate formations of HBV core antigen, so the final response rate should be divided by 2.</w:t>
      </w:r>
    </w:p>
    <w:p w14:paraId="2CEF5621" w14:textId="77777777" w:rsidR="00F610CC" w:rsidRPr="00C4060F" w:rsidRDefault="00F610CC" w:rsidP="0001526A">
      <w:pPr>
        <w:rPr>
          <w:color w:val="auto"/>
          <w:lang w:eastAsia="zh-CN"/>
        </w:rPr>
      </w:pPr>
    </w:p>
    <w:p w14:paraId="74C7F751" w14:textId="77777777" w:rsidR="00527A05" w:rsidRPr="00C4060F" w:rsidRDefault="00527A05" w:rsidP="0001526A">
      <w:pPr>
        <w:rPr>
          <w:b/>
          <w:color w:val="auto"/>
          <w:lang w:eastAsia="zh-CN"/>
        </w:rPr>
      </w:pPr>
      <w:r w:rsidRPr="00C4060F">
        <w:rPr>
          <w:b/>
          <w:color w:val="auto"/>
          <w:lang w:eastAsia="zh-CN"/>
        </w:rPr>
        <w:t>5.</w:t>
      </w:r>
      <w:r w:rsidR="006008E3" w:rsidRPr="00C4060F">
        <w:rPr>
          <w:b/>
          <w:color w:val="auto"/>
          <w:lang w:eastAsia="zh-CN"/>
        </w:rPr>
        <w:t xml:space="preserve"> </w:t>
      </w:r>
      <w:r w:rsidRPr="00C4060F">
        <w:rPr>
          <w:b/>
          <w:color w:val="auto"/>
          <w:lang w:eastAsia="zh-CN"/>
        </w:rPr>
        <w:t>Identification of HBV-specific HLA-DR Restricted CD4 T-cell Epitopes</w:t>
      </w:r>
    </w:p>
    <w:p w14:paraId="3667DBA2" w14:textId="77777777" w:rsidR="00F610CC" w:rsidRPr="00C4060F" w:rsidRDefault="00F610CC" w:rsidP="0001526A">
      <w:pPr>
        <w:rPr>
          <w:color w:val="auto"/>
          <w:lang w:eastAsia="zh-CN"/>
        </w:rPr>
      </w:pPr>
    </w:p>
    <w:p w14:paraId="49619D68" w14:textId="451C378A" w:rsidR="00527A05" w:rsidRPr="00C4060F" w:rsidRDefault="00527A05" w:rsidP="0001526A">
      <w:pPr>
        <w:rPr>
          <w:color w:val="auto"/>
          <w:lang w:eastAsia="zh-CN"/>
        </w:rPr>
      </w:pPr>
      <w:r w:rsidRPr="00C4060F">
        <w:rPr>
          <w:color w:val="auto"/>
          <w:lang w:eastAsia="zh-CN"/>
        </w:rPr>
        <w:t>5.1</w:t>
      </w:r>
      <w:r w:rsidR="002D651B" w:rsidRPr="00C4060F">
        <w:rPr>
          <w:color w:val="auto"/>
          <w:lang w:eastAsia="zh-CN"/>
        </w:rPr>
        <w:t>.</w:t>
      </w:r>
      <w:r w:rsidRPr="00C4060F">
        <w:rPr>
          <w:color w:val="auto"/>
          <w:lang w:eastAsia="zh-CN"/>
        </w:rPr>
        <w:t xml:space="preserve"> </w:t>
      </w:r>
      <w:r w:rsidRPr="00C4060F">
        <w:rPr>
          <w:color w:val="auto"/>
          <w:highlight w:val="yellow"/>
          <w:lang w:eastAsia="zh-CN"/>
        </w:rPr>
        <w:t xml:space="preserve">Thaw and maintain allogenic B lymphoblastoid cell lines (BLCLs) in </w:t>
      </w:r>
      <w:r w:rsidR="00EF47E9" w:rsidRPr="00C4060F">
        <w:rPr>
          <w:color w:val="auto"/>
          <w:highlight w:val="yellow"/>
          <w:lang w:eastAsia="zh-CN"/>
        </w:rPr>
        <w:t>T</w:t>
      </w:r>
      <w:r w:rsidR="004302DB">
        <w:rPr>
          <w:color w:val="auto"/>
          <w:highlight w:val="yellow"/>
          <w:lang w:eastAsia="zh-CN"/>
        </w:rPr>
        <w:t>-</w:t>
      </w:r>
      <w:r w:rsidR="00EF47E9" w:rsidRPr="00C4060F">
        <w:rPr>
          <w:color w:val="auto"/>
          <w:highlight w:val="yellow"/>
          <w:lang w:eastAsia="zh-CN"/>
        </w:rPr>
        <w:t>75 flask (</w:t>
      </w:r>
      <w:r w:rsidR="00281103" w:rsidRPr="00C4060F">
        <w:rPr>
          <w:color w:val="auto"/>
          <w:highlight w:val="yellow"/>
          <w:lang w:eastAsia="zh-CN"/>
        </w:rPr>
        <w:t>5-20 ×10</w:t>
      </w:r>
      <w:r w:rsidR="00281103" w:rsidRPr="00C4060F">
        <w:rPr>
          <w:color w:val="auto"/>
          <w:highlight w:val="yellow"/>
          <w:vertAlign w:val="superscript"/>
          <w:lang w:eastAsia="zh-CN"/>
        </w:rPr>
        <w:t>6</w:t>
      </w:r>
      <w:r w:rsidR="00281103" w:rsidRPr="00C4060F">
        <w:rPr>
          <w:color w:val="auto"/>
          <w:highlight w:val="yellow"/>
          <w:lang w:eastAsia="zh-CN"/>
        </w:rPr>
        <w:t xml:space="preserve"> cells, 20 mL </w:t>
      </w:r>
      <w:r w:rsidR="004302DB">
        <w:rPr>
          <w:color w:val="auto"/>
          <w:highlight w:val="yellow"/>
          <w:lang w:eastAsia="zh-CN"/>
        </w:rPr>
        <w:t xml:space="preserve">of </w:t>
      </w:r>
      <w:r w:rsidR="00B3337E" w:rsidRPr="00C4060F">
        <w:rPr>
          <w:color w:val="auto"/>
          <w:highlight w:val="yellow"/>
          <w:lang w:eastAsia="zh-CN"/>
        </w:rPr>
        <w:t>complete culture medium</w:t>
      </w:r>
      <w:r w:rsidR="00281103" w:rsidRPr="00C4060F">
        <w:rPr>
          <w:color w:val="auto"/>
          <w:highlight w:val="yellow"/>
          <w:lang w:eastAsia="zh-CN"/>
        </w:rPr>
        <w:t>)</w:t>
      </w:r>
      <w:r w:rsidR="00EF47E9" w:rsidRPr="00C4060F">
        <w:rPr>
          <w:color w:val="auto"/>
          <w:highlight w:val="yellow"/>
          <w:lang w:eastAsia="zh-CN"/>
        </w:rPr>
        <w:t>.</w:t>
      </w:r>
    </w:p>
    <w:p w14:paraId="40E08A87" w14:textId="77777777" w:rsidR="00F610CC" w:rsidRPr="00C4060F" w:rsidRDefault="00F610CC" w:rsidP="0001526A">
      <w:pPr>
        <w:rPr>
          <w:color w:val="auto"/>
          <w:lang w:eastAsia="zh-CN"/>
        </w:rPr>
      </w:pPr>
    </w:p>
    <w:p w14:paraId="012F3E87" w14:textId="50613C0E"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To guarantee the good state of BLCLs, this step should be initiated 2 weeks before thawing of patients’ PBMCs.</w:t>
      </w:r>
      <w:r w:rsidR="00EF47E9" w:rsidRPr="00C4060F">
        <w:rPr>
          <w:color w:val="auto"/>
          <w:lang w:eastAsia="zh-CN"/>
        </w:rPr>
        <w:t xml:space="preserve"> BLCLs must be </w:t>
      </w:r>
      <w:r w:rsidR="004302DB">
        <w:rPr>
          <w:color w:val="auto"/>
          <w:lang w:eastAsia="zh-CN"/>
        </w:rPr>
        <w:t>h</w:t>
      </w:r>
      <w:r w:rsidR="00EF47E9" w:rsidRPr="00C4060F">
        <w:rPr>
          <w:color w:val="auto"/>
          <w:lang w:eastAsia="zh-CN"/>
        </w:rPr>
        <w:t>omozygous in HLA-DRB1 allele. According to the genotyping result, patients should share the same HLA-DRB1 allele as BLCLs.</w:t>
      </w:r>
    </w:p>
    <w:p w14:paraId="0C7E8096" w14:textId="77777777" w:rsidR="00F610CC" w:rsidRPr="00C4060F" w:rsidRDefault="00F610CC" w:rsidP="0001526A">
      <w:pPr>
        <w:rPr>
          <w:color w:val="auto"/>
          <w:lang w:eastAsia="zh-CN"/>
        </w:rPr>
      </w:pPr>
    </w:p>
    <w:p w14:paraId="6C17AF2A" w14:textId="7AB2FBAA" w:rsidR="00527A05" w:rsidRPr="00C4060F" w:rsidRDefault="00527A05" w:rsidP="0001526A">
      <w:pPr>
        <w:rPr>
          <w:color w:val="auto"/>
          <w:lang w:eastAsia="zh-CN"/>
        </w:rPr>
      </w:pPr>
      <w:r w:rsidRPr="00C4060F">
        <w:rPr>
          <w:color w:val="auto"/>
          <w:lang w:eastAsia="zh-CN"/>
        </w:rPr>
        <w:t>5.2</w:t>
      </w:r>
      <w:r w:rsidR="00F610CC" w:rsidRPr="00C4060F">
        <w:rPr>
          <w:color w:val="auto"/>
          <w:lang w:eastAsia="zh-CN"/>
        </w:rPr>
        <w:t>.</w:t>
      </w:r>
      <w:r w:rsidRPr="00C4060F">
        <w:rPr>
          <w:color w:val="auto"/>
          <w:lang w:eastAsia="zh-CN"/>
        </w:rPr>
        <w:t xml:space="preserve"> Screening of candidate peptides for identification (</w:t>
      </w:r>
      <w:r w:rsidRPr="004302DB">
        <w:rPr>
          <w:b/>
          <w:bCs/>
          <w:color w:val="auto"/>
          <w:lang w:eastAsia="zh-CN"/>
        </w:rPr>
        <w:t xml:space="preserve">Figure </w:t>
      </w:r>
      <w:r w:rsidR="00301823" w:rsidRPr="004302DB">
        <w:rPr>
          <w:b/>
          <w:bCs/>
          <w:color w:val="auto"/>
          <w:lang w:eastAsia="zh-CN"/>
        </w:rPr>
        <w:t>3</w:t>
      </w:r>
      <w:r w:rsidRPr="00C4060F">
        <w:rPr>
          <w:color w:val="auto"/>
          <w:lang w:eastAsia="zh-CN"/>
        </w:rPr>
        <w:t>)</w:t>
      </w:r>
    </w:p>
    <w:p w14:paraId="63A7DE32" w14:textId="77777777" w:rsidR="00F610CC" w:rsidRPr="00C4060F" w:rsidRDefault="00F610CC" w:rsidP="0001526A">
      <w:pPr>
        <w:rPr>
          <w:color w:val="auto"/>
          <w:lang w:eastAsia="zh-CN"/>
        </w:rPr>
      </w:pPr>
    </w:p>
    <w:p w14:paraId="3A041708" w14:textId="2460E101" w:rsidR="00527A05" w:rsidRPr="00C4060F" w:rsidRDefault="00527A05" w:rsidP="0001526A">
      <w:pPr>
        <w:rPr>
          <w:color w:val="auto"/>
          <w:lang w:eastAsia="zh-CN"/>
        </w:rPr>
      </w:pPr>
      <w:r w:rsidRPr="00C4060F">
        <w:rPr>
          <w:color w:val="auto"/>
          <w:lang w:eastAsia="zh-CN"/>
        </w:rPr>
        <w:t>5.2.1</w:t>
      </w:r>
      <w:r w:rsidR="00F610CC" w:rsidRPr="00C4060F">
        <w:rPr>
          <w:color w:val="auto"/>
          <w:lang w:eastAsia="zh-CN"/>
        </w:rPr>
        <w:t>.</w:t>
      </w:r>
      <w:r w:rsidRPr="00C4060F">
        <w:rPr>
          <w:color w:val="auto"/>
          <w:lang w:eastAsia="zh-CN"/>
        </w:rPr>
        <w:t xml:space="preserve"> </w:t>
      </w:r>
      <w:proofErr w:type="gramStart"/>
      <w:r w:rsidRPr="00C4060F">
        <w:rPr>
          <w:color w:val="auto"/>
          <w:lang w:eastAsia="zh-CN"/>
        </w:rPr>
        <w:t>According</w:t>
      </w:r>
      <w:proofErr w:type="gramEnd"/>
      <w:r w:rsidRPr="00C4060F">
        <w:rPr>
          <w:color w:val="auto"/>
          <w:lang w:eastAsia="zh-CN"/>
        </w:rPr>
        <w:t xml:space="preserve"> the T-cell response rate results at day 10, screen out 2 </w:t>
      </w:r>
      <w:r w:rsidR="006E32C1">
        <w:rPr>
          <w:color w:val="auto"/>
          <w:lang w:eastAsia="zh-CN"/>
        </w:rPr>
        <w:t>peptide pools</w:t>
      </w:r>
      <w:r w:rsidRPr="00C4060F">
        <w:rPr>
          <w:color w:val="auto"/>
          <w:lang w:eastAsia="zh-CN"/>
        </w:rPr>
        <w:t xml:space="preserve"> with the highest response rate (1 row </w:t>
      </w:r>
      <w:r w:rsidR="006E32C1">
        <w:rPr>
          <w:color w:val="auto"/>
          <w:lang w:eastAsia="zh-CN"/>
        </w:rPr>
        <w:t>peptide pool</w:t>
      </w:r>
      <w:r w:rsidRPr="00C4060F">
        <w:rPr>
          <w:color w:val="auto"/>
          <w:lang w:eastAsia="zh-CN"/>
        </w:rPr>
        <w:t xml:space="preserve"> and 1 column </w:t>
      </w:r>
      <w:r w:rsidR="006E32C1">
        <w:rPr>
          <w:color w:val="auto"/>
          <w:lang w:eastAsia="zh-CN"/>
        </w:rPr>
        <w:t>peptide pool</w:t>
      </w:r>
      <w:r w:rsidRPr="00C4060F">
        <w:rPr>
          <w:color w:val="auto"/>
          <w:lang w:eastAsia="zh-CN"/>
        </w:rPr>
        <w:t>).</w:t>
      </w:r>
    </w:p>
    <w:p w14:paraId="49F452D7" w14:textId="77777777" w:rsidR="00F610CC" w:rsidRPr="00C4060F" w:rsidRDefault="00F610CC" w:rsidP="0001526A">
      <w:pPr>
        <w:rPr>
          <w:color w:val="auto"/>
          <w:lang w:eastAsia="zh-CN"/>
        </w:rPr>
      </w:pPr>
    </w:p>
    <w:p w14:paraId="3D1AE024" w14:textId="6CF5FAC3" w:rsidR="00527A05" w:rsidRPr="00C4060F" w:rsidRDefault="00527A05" w:rsidP="0001526A">
      <w:pPr>
        <w:rPr>
          <w:color w:val="auto"/>
          <w:lang w:eastAsia="zh-CN"/>
        </w:rPr>
      </w:pPr>
      <w:r w:rsidRPr="00C4060F">
        <w:rPr>
          <w:color w:val="auto"/>
          <w:lang w:eastAsia="zh-CN"/>
        </w:rPr>
        <w:t>5.2.2</w:t>
      </w:r>
      <w:r w:rsidR="00F610CC" w:rsidRPr="00C4060F">
        <w:rPr>
          <w:color w:val="auto"/>
          <w:lang w:eastAsia="zh-CN"/>
        </w:rPr>
        <w:t>.</w:t>
      </w:r>
      <w:r w:rsidRPr="00C4060F">
        <w:rPr>
          <w:color w:val="auto"/>
          <w:lang w:eastAsia="zh-CN"/>
        </w:rPr>
        <w:t xml:space="preserve"> Set the peptide in those 2 pools as a candidate peptide if the other peptide pool containing this </w:t>
      </w:r>
      <w:r w:rsidR="00F3542D" w:rsidRPr="00C4060F">
        <w:rPr>
          <w:color w:val="auto"/>
          <w:lang w:eastAsia="zh-CN"/>
        </w:rPr>
        <w:t xml:space="preserve">peptide </w:t>
      </w:r>
      <w:r w:rsidRPr="00C4060F">
        <w:rPr>
          <w:color w:val="auto"/>
          <w:lang w:eastAsia="zh-CN"/>
        </w:rPr>
        <w:t xml:space="preserve">also shows </w:t>
      </w:r>
      <w:r w:rsidR="004302DB">
        <w:rPr>
          <w:color w:val="auto"/>
          <w:lang w:eastAsia="zh-CN"/>
        </w:rPr>
        <w:t xml:space="preserve">a </w:t>
      </w:r>
      <w:r w:rsidRPr="00C4060F">
        <w:rPr>
          <w:color w:val="auto"/>
          <w:lang w:eastAsia="zh-CN"/>
        </w:rPr>
        <w:t xml:space="preserve">positive result in T-cell response analysis. </w:t>
      </w:r>
      <w:r w:rsidR="004302DB">
        <w:rPr>
          <w:color w:val="auto"/>
          <w:lang w:eastAsia="zh-CN"/>
        </w:rPr>
        <w:t>Use t</w:t>
      </w:r>
      <w:r w:rsidRPr="00C4060F">
        <w:rPr>
          <w:color w:val="auto"/>
          <w:lang w:eastAsia="zh-CN"/>
        </w:rPr>
        <w:t>he PBMCs expanded with the other peptide pool for epitope identification later.</w:t>
      </w:r>
    </w:p>
    <w:p w14:paraId="4B159D58" w14:textId="77777777" w:rsidR="00F610CC" w:rsidRPr="00C4060F" w:rsidRDefault="00F610CC" w:rsidP="0001526A">
      <w:pPr>
        <w:rPr>
          <w:color w:val="auto"/>
          <w:lang w:eastAsia="zh-CN"/>
        </w:rPr>
      </w:pPr>
    </w:p>
    <w:p w14:paraId="174211C3" w14:textId="7BB1D45E" w:rsidR="00527A05" w:rsidRPr="00C4060F" w:rsidRDefault="00527A05" w:rsidP="0001526A">
      <w:pPr>
        <w:rPr>
          <w:color w:val="auto"/>
          <w:lang w:eastAsia="zh-CN"/>
        </w:rPr>
      </w:pPr>
      <w:r w:rsidRPr="00C4060F">
        <w:rPr>
          <w:color w:val="auto"/>
          <w:lang w:eastAsia="zh-CN"/>
        </w:rPr>
        <w:lastRenderedPageBreak/>
        <w:t>5.3</w:t>
      </w:r>
      <w:r w:rsidR="00F610CC" w:rsidRPr="00C4060F">
        <w:rPr>
          <w:color w:val="auto"/>
          <w:lang w:eastAsia="zh-CN"/>
        </w:rPr>
        <w:t>.</w:t>
      </w:r>
      <w:r w:rsidRPr="00C4060F">
        <w:rPr>
          <w:color w:val="auto"/>
          <w:lang w:eastAsia="zh-CN"/>
        </w:rPr>
        <w:t xml:space="preserve"> Pulsing BLCLs with peptide</w:t>
      </w:r>
    </w:p>
    <w:p w14:paraId="5CB022AE" w14:textId="77777777" w:rsidR="00F610CC" w:rsidRPr="00C4060F" w:rsidRDefault="00F610CC" w:rsidP="0001526A">
      <w:pPr>
        <w:rPr>
          <w:color w:val="auto"/>
          <w:lang w:eastAsia="zh-CN"/>
        </w:rPr>
      </w:pPr>
    </w:p>
    <w:p w14:paraId="6C2F59EE" w14:textId="2CE7FB3E" w:rsidR="00527A05" w:rsidRPr="00C4060F" w:rsidRDefault="00527A05" w:rsidP="0001526A">
      <w:pPr>
        <w:rPr>
          <w:color w:val="auto"/>
          <w:lang w:eastAsia="zh-CN"/>
        </w:rPr>
      </w:pPr>
      <w:r w:rsidRPr="00C4060F">
        <w:rPr>
          <w:color w:val="auto"/>
          <w:lang w:eastAsia="zh-CN"/>
        </w:rPr>
        <w:t>5.3.1</w:t>
      </w:r>
      <w:r w:rsidR="00F610CC" w:rsidRPr="00C4060F">
        <w:rPr>
          <w:color w:val="auto"/>
          <w:lang w:eastAsia="zh-CN"/>
        </w:rPr>
        <w:t>.</w:t>
      </w:r>
      <w:r w:rsidRPr="00C4060F">
        <w:rPr>
          <w:color w:val="auto"/>
          <w:lang w:eastAsia="zh-CN"/>
        </w:rPr>
        <w:t xml:space="preserve"> </w:t>
      </w:r>
      <w:r w:rsidRPr="00C4060F">
        <w:rPr>
          <w:color w:val="auto"/>
          <w:highlight w:val="yellow"/>
          <w:lang w:eastAsia="zh-CN"/>
        </w:rPr>
        <w:t xml:space="preserve">At day 12, count </w:t>
      </w:r>
      <w:r w:rsidR="006130AA" w:rsidRPr="00C4060F">
        <w:rPr>
          <w:color w:val="auto"/>
          <w:highlight w:val="yellow"/>
          <w:lang w:eastAsia="zh-CN"/>
        </w:rPr>
        <w:t>the number of viable BLCLs</w:t>
      </w:r>
      <w:r w:rsidRPr="00C4060F">
        <w:rPr>
          <w:color w:val="auto"/>
          <w:highlight w:val="yellow"/>
          <w:lang w:eastAsia="zh-CN"/>
        </w:rPr>
        <w:t xml:space="preserve">, </w:t>
      </w:r>
      <w:r w:rsidR="00D80F2C" w:rsidRPr="00C4060F">
        <w:rPr>
          <w:color w:val="auto"/>
          <w:highlight w:val="yellow"/>
          <w:lang w:eastAsia="zh-CN"/>
        </w:rPr>
        <w:t>t</w:t>
      </w:r>
      <w:r w:rsidR="002C284B" w:rsidRPr="00C4060F">
        <w:rPr>
          <w:color w:val="auto"/>
          <w:highlight w:val="yellow"/>
          <w:lang w:eastAsia="zh-CN"/>
        </w:rPr>
        <w:t>ransfer cells to 15 m</w:t>
      </w:r>
      <w:r w:rsidR="004302DB">
        <w:rPr>
          <w:color w:val="auto"/>
          <w:highlight w:val="yellow"/>
          <w:lang w:eastAsia="zh-CN"/>
        </w:rPr>
        <w:t>L</w:t>
      </w:r>
      <w:r w:rsidR="002C284B" w:rsidRPr="00C4060F">
        <w:rPr>
          <w:color w:val="auto"/>
          <w:highlight w:val="yellow"/>
          <w:lang w:eastAsia="zh-CN"/>
        </w:rPr>
        <w:t xml:space="preserve"> centrifuge tube</w:t>
      </w:r>
      <w:r w:rsidR="00D80F2C" w:rsidRPr="00C4060F">
        <w:rPr>
          <w:color w:val="auto"/>
          <w:highlight w:val="yellow"/>
          <w:lang w:eastAsia="zh-CN"/>
        </w:rPr>
        <w:t>s</w:t>
      </w:r>
      <w:r w:rsidR="002C284B" w:rsidRPr="00C4060F">
        <w:rPr>
          <w:color w:val="auto"/>
          <w:highlight w:val="yellow"/>
          <w:lang w:eastAsia="zh-CN"/>
        </w:rPr>
        <w:t xml:space="preserve">, </w:t>
      </w:r>
      <w:r w:rsidR="00114965" w:rsidRPr="00C4060F">
        <w:rPr>
          <w:color w:val="auto"/>
          <w:highlight w:val="yellow"/>
          <w:lang w:eastAsia="zh-CN"/>
        </w:rPr>
        <w:t>centrifuge (350</w:t>
      </w:r>
      <w:r w:rsidR="002C284B" w:rsidRPr="00C4060F">
        <w:rPr>
          <w:color w:val="auto"/>
          <w:highlight w:val="yellow"/>
          <w:lang w:eastAsia="zh-CN"/>
        </w:rPr>
        <w:t xml:space="preserve"> × g, 10 min) and remove </w:t>
      </w:r>
      <w:r w:rsidR="004302DB">
        <w:rPr>
          <w:color w:val="auto"/>
          <w:highlight w:val="yellow"/>
          <w:lang w:eastAsia="zh-CN"/>
        </w:rPr>
        <w:t xml:space="preserve">the </w:t>
      </w:r>
      <w:r w:rsidR="002C284B" w:rsidRPr="00C4060F">
        <w:rPr>
          <w:color w:val="auto"/>
          <w:highlight w:val="yellow"/>
          <w:lang w:eastAsia="zh-CN"/>
        </w:rPr>
        <w:t>supernatant</w:t>
      </w:r>
      <w:r w:rsidR="004302DB">
        <w:rPr>
          <w:color w:val="auto"/>
          <w:highlight w:val="yellow"/>
          <w:lang w:eastAsia="zh-CN"/>
        </w:rPr>
        <w:t>. R</w:t>
      </w:r>
      <w:r w:rsidR="00D80F2C" w:rsidRPr="00C4060F">
        <w:rPr>
          <w:color w:val="auto"/>
          <w:highlight w:val="yellow"/>
          <w:lang w:eastAsia="zh-CN"/>
        </w:rPr>
        <w:t xml:space="preserve">esuspend </w:t>
      </w:r>
      <w:r w:rsidR="004302DB">
        <w:rPr>
          <w:color w:val="auto"/>
          <w:highlight w:val="yellow"/>
          <w:lang w:eastAsia="zh-CN"/>
        </w:rPr>
        <w:t xml:space="preserve">the </w:t>
      </w:r>
      <w:r w:rsidR="00D80F2C" w:rsidRPr="00C4060F">
        <w:rPr>
          <w:color w:val="auto"/>
          <w:highlight w:val="yellow"/>
          <w:lang w:eastAsia="zh-CN"/>
        </w:rPr>
        <w:t xml:space="preserve">cell pellet in complete culture medium, </w:t>
      </w:r>
      <w:r w:rsidR="004302DB">
        <w:rPr>
          <w:color w:val="auto"/>
          <w:highlight w:val="yellow"/>
          <w:lang w:eastAsia="zh-CN"/>
        </w:rPr>
        <w:t xml:space="preserve">and </w:t>
      </w:r>
      <w:r w:rsidRPr="00C4060F">
        <w:rPr>
          <w:color w:val="auto"/>
          <w:highlight w:val="yellow"/>
          <w:lang w:eastAsia="zh-CN"/>
        </w:rPr>
        <w:t xml:space="preserve">aliquot </w:t>
      </w:r>
      <w:r w:rsidR="00D80F2C" w:rsidRPr="00C4060F">
        <w:rPr>
          <w:color w:val="auto"/>
          <w:highlight w:val="yellow"/>
          <w:lang w:eastAsia="zh-CN"/>
        </w:rPr>
        <w:t xml:space="preserve">BLCLs </w:t>
      </w:r>
      <w:r w:rsidRPr="00C4060F">
        <w:rPr>
          <w:color w:val="auto"/>
          <w:highlight w:val="yellow"/>
          <w:lang w:eastAsia="zh-CN"/>
        </w:rPr>
        <w:t>to a 96-well plate (round bottom) at 4×10</w:t>
      </w:r>
      <w:r w:rsidRPr="00C4060F">
        <w:rPr>
          <w:color w:val="auto"/>
          <w:highlight w:val="yellow"/>
          <w:vertAlign w:val="superscript"/>
          <w:lang w:eastAsia="zh-CN"/>
        </w:rPr>
        <w:t>4</w:t>
      </w:r>
      <w:r w:rsidRPr="00C4060F">
        <w:rPr>
          <w:color w:val="auto"/>
          <w:highlight w:val="yellow"/>
          <w:lang w:eastAsia="zh-CN"/>
        </w:rPr>
        <w:t xml:space="preserve"> cells/well in </w:t>
      </w:r>
      <w:r w:rsidR="000C5AD7" w:rsidRPr="00C4060F">
        <w:rPr>
          <w:color w:val="auto"/>
          <w:highlight w:val="yellow"/>
          <w:lang w:eastAsia="zh-CN"/>
        </w:rPr>
        <w:t>8</w:t>
      </w:r>
      <w:r w:rsidR="00966AC1" w:rsidRPr="00C4060F">
        <w:rPr>
          <w:color w:val="auto"/>
          <w:highlight w:val="yellow"/>
          <w:lang w:eastAsia="zh-CN"/>
        </w:rPr>
        <w:t xml:space="preserve">0 μL </w:t>
      </w:r>
      <w:r w:rsidRPr="00C4060F">
        <w:rPr>
          <w:color w:val="auto"/>
          <w:highlight w:val="yellow"/>
          <w:lang w:eastAsia="zh-CN"/>
        </w:rPr>
        <w:t>complete culture medium.</w:t>
      </w:r>
    </w:p>
    <w:p w14:paraId="6F99EECD" w14:textId="77777777" w:rsidR="00F610CC" w:rsidRPr="00C4060F" w:rsidRDefault="00F610CC" w:rsidP="0001526A">
      <w:pPr>
        <w:rPr>
          <w:color w:val="auto"/>
          <w:lang w:eastAsia="zh-CN"/>
        </w:rPr>
      </w:pPr>
    </w:p>
    <w:p w14:paraId="7F6B2BAD" w14:textId="7165A1C6" w:rsidR="00527A05" w:rsidRPr="00C4060F" w:rsidRDefault="00527A05" w:rsidP="0001526A">
      <w:pPr>
        <w:rPr>
          <w:color w:val="auto"/>
          <w:lang w:eastAsia="zh-CN"/>
        </w:rPr>
      </w:pPr>
      <w:r w:rsidRPr="00C4060F">
        <w:rPr>
          <w:color w:val="auto"/>
          <w:lang w:eastAsia="zh-CN"/>
        </w:rPr>
        <w:t>5.3.2</w:t>
      </w:r>
      <w:r w:rsidR="00F610CC" w:rsidRPr="00C4060F">
        <w:rPr>
          <w:color w:val="auto"/>
          <w:lang w:eastAsia="zh-CN"/>
        </w:rPr>
        <w:t>.</w:t>
      </w:r>
      <w:r w:rsidRPr="00C4060F">
        <w:rPr>
          <w:color w:val="auto"/>
          <w:lang w:eastAsia="zh-CN"/>
        </w:rPr>
        <w:t xml:space="preserve"> </w:t>
      </w:r>
      <w:r w:rsidRPr="00C4060F">
        <w:rPr>
          <w:color w:val="auto"/>
          <w:highlight w:val="yellow"/>
          <w:lang w:eastAsia="zh-CN"/>
        </w:rPr>
        <w:t>Add</w:t>
      </w:r>
      <w:r w:rsidR="004302DB">
        <w:rPr>
          <w:color w:val="auto"/>
          <w:highlight w:val="yellow"/>
          <w:lang w:eastAsia="zh-CN"/>
        </w:rPr>
        <w:t xml:space="preserve"> a</w:t>
      </w:r>
      <w:r w:rsidRPr="00C4060F">
        <w:rPr>
          <w:color w:val="auto"/>
          <w:highlight w:val="yellow"/>
          <w:lang w:eastAsia="zh-CN"/>
        </w:rPr>
        <w:t xml:space="preserve"> single peptide (10 μg/mL), incubate at 37 °C and 5% CO</w:t>
      </w:r>
      <w:r w:rsidRPr="004302DB">
        <w:rPr>
          <w:color w:val="auto"/>
          <w:highlight w:val="yellow"/>
          <w:vertAlign w:val="subscript"/>
          <w:lang w:eastAsia="zh-CN"/>
        </w:rPr>
        <w:t>2</w:t>
      </w:r>
      <w:r w:rsidRPr="00C4060F">
        <w:rPr>
          <w:color w:val="auto"/>
          <w:highlight w:val="yellow"/>
          <w:lang w:eastAsia="zh-CN"/>
        </w:rPr>
        <w:t xml:space="preserve"> for 2 </w:t>
      </w:r>
      <w:r w:rsidR="00A53AAA" w:rsidRPr="00C4060F">
        <w:rPr>
          <w:color w:val="auto"/>
          <w:highlight w:val="yellow"/>
          <w:lang w:eastAsia="zh-CN"/>
        </w:rPr>
        <w:t>h</w:t>
      </w:r>
      <w:r w:rsidRPr="00C4060F">
        <w:rPr>
          <w:color w:val="auto"/>
          <w:highlight w:val="yellow"/>
          <w:lang w:eastAsia="zh-CN"/>
        </w:rPr>
        <w:t>. Set 2 background control: peptide pulsing with HLA-DR blocking (pretreatment with anti-HLA-DR</w:t>
      </w:r>
      <w:r w:rsidR="00A53AAA" w:rsidRPr="00C4060F">
        <w:rPr>
          <w:color w:val="auto"/>
          <w:highlight w:val="yellow"/>
          <w:lang w:eastAsia="zh-CN"/>
        </w:rPr>
        <w:t xml:space="preserve"> (10 μg/mL)</w:t>
      </w:r>
      <w:r w:rsidRPr="00C4060F">
        <w:rPr>
          <w:color w:val="auto"/>
          <w:highlight w:val="yellow"/>
          <w:lang w:eastAsia="zh-CN"/>
        </w:rPr>
        <w:t xml:space="preserve"> for 1 </w:t>
      </w:r>
      <w:r w:rsidR="00A53AAA" w:rsidRPr="00C4060F">
        <w:rPr>
          <w:color w:val="auto"/>
          <w:highlight w:val="yellow"/>
          <w:lang w:eastAsia="zh-CN"/>
        </w:rPr>
        <w:t>h</w:t>
      </w:r>
      <w:r w:rsidRPr="00C4060F">
        <w:rPr>
          <w:color w:val="auto"/>
          <w:highlight w:val="yellow"/>
          <w:lang w:eastAsia="zh-CN"/>
        </w:rPr>
        <w:t xml:space="preserve">); DMSO </w:t>
      </w:r>
      <w:r w:rsidR="00A53AAA" w:rsidRPr="00C4060F">
        <w:rPr>
          <w:color w:val="auto"/>
          <w:highlight w:val="yellow"/>
          <w:lang w:eastAsia="zh-CN"/>
        </w:rPr>
        <w:t xml:space="preserve">(1 μL/mL) </w:t>
      </w:r>
      <w:r w:rsidRPr="00C4060F">
        <w:rPr>
          <w:color w:val="auto"/>
          <w:highlight w:val="yellow"/>
          <w:lang w:eastAsia="zh-CN"/>
        </w:rPr>
        <w:t>pulsing.</w:t>
      </w:r>
      <w:r w:rsidR="000C5AD7" w:rsidRPr="00C4060F">
        <w:rPr>
          <w:color w:val="auto"/>
          <w:highlight w:val="yellow"/>
          <w:lang w:eastAsia="zh-CN"/>
        </w:rPr>
        <w:t xml:space="preserve"> The final volume of complete culture medium in each well is 100 μL</w:t>
      </w:r>
      <w:r w:rsidR="002000CE" w:rsidRPr="00C4060F">
        <w:rPr>
          <w:color w:val="auto"/>
          <w:lang w:eastAsia="zh-CN"/>
        </w:rPr>
        <w:t>.</w:t>
      </w:r>
    </w:p>
    <w:p w14:paraId="4D7779C4" w14:textId="77777777" w:rsidR="00F610CC" w:rsidRPr="00C4060F" w:rsidRDefault="00F610CC" w:rsidP="0001526A">
      <w:pPr>
        <w:rPr>
          <w:color w:val="auto"/>
          <w:lang w:eastAsia="zh-CN"/>
        </w:rPr>
      </w:pPr>
    </w:p>
    <w:p w14:paraId="7B874006" w14:textId="312FD30C" w:rsidR="00527A05" w:rsidRPr="00C4060F" w:rsidRDefault="00527A05" w:rsidP="0001526A">
      <w:pPr>
        <w:rPr>
          <w:color w:val="auto"/>
          <w:lang w:eastAsia="zh-CN"/>
        </w:rPr>
      </w:pPr>
      <w:r w:rsidRPr="00C4060F">
        <w:rPr>
          <w:color w:val="auto"/>
          <w:lang w:eastAsia="zh-CN"/>
        </w:rPr>
        <w:t>5.3.3</w:t>
      </w:r>
      <w:r w:rsidR="00F610CC" w:rsidRPr="00C4060F">
        <w:rPr>
          <w:color w:val="auto"/>
          <w:lang w:eastAsia="zh-CN"/>
        </w:rPr>
        <w:t>.</w:t>
      </w:r>
      <w:r w:rsidRPr="00C4060F">
        <w:rPr>
          <w:color w:val="auto"/>
          <w:lang w:eastAsia="zh-CN"/>
        </w:rPr>
        <w:t xml:space="preserve"> </w:t>
      </w:r>
      <w:r w:rsidRPr="00C4060F">
        <w:rPr>
          <w:color w:val="auto"/>
          <w:highlight w:val="yellow"/>
          <w:lang w:eastAsia="zh-CN"/>
        </w:rPr>
        <w:t>Add mitomycin C (100 μg/mL), incubate at 37 °C and 5% CO</w:t>
      </w:r>
      <w:r w:rsidRPr="004302DB">
        <w:rPr>
          <w:color w:val="auto"/>
          <w:highlight w:val="yellow"/>
          <w:vertAlign w:val="subscript"/>
          <w:lang w:eastAsia="zh-CN"/>
        </w:rPr>
        <w:t>2</w:t>
      </w:r>
      <w:r w:rsidRPr="00C4060F">
        <w:rPr>
          <w:color w:val="auto"/>
          <w:highlight w:val="yellow"/>
          <w:lang w:eastAsia="zh-CN"/>
        </w:rPr>
        <w:t xml:space="preserve"> for 1 </w:t>
      </w:r>
      <w:r w:rsidR="002000CE" w:rsidRPr="00C4060F">
        <w:rPr>
          <w:color w:val="auto"/>
          <w:highlight w:val="yellow"/>
          <w:lang w:eastAsia="zh-CN"/>
        </w:rPr>
        <w:t>h</w:t>
      </w:r>
      <w:r w:rsidRPr="00C4060F">
        <w:rPr>
          <w:color w:val="auto"/>
          <w:highlight w:val="yellow"/>
          <w:lang w:eastAsia="zh-CN"/>
        </w:rPr>
        <w:t>.</w:t>
      </w:r>
    </w:p>
    <w:p w14:paraId="0EB00EA2" w14:textId="77777777" w:rsidR="00F610CC" w:rsidRPr="00C4060F" w:rsidRDefault="00F610CC" w:rsidP="0001526A">
      <w:pPr>
        <w:rPr>
          <w:color w:val="auto"/>
          <w:lang w:eastAsia="zh-CN"/>
        </w:rPr>
      </w:pPr>
    </w:p>
    <w:p w14:paraId="132E186C" w14:textId="32A3D269" w:rsidR="00527A05" w:rsidRPr="00C4060F" w:rsidRDefault="00527A05" w:rsidP="0001526A">
      <w:pPr>
        <w:rPr>
          <w:color w:val="auto"/>
          <w:lang w:eastAsia="zh-CN"/>
        </w:rPr>
      </w:pPr>
      <w:r w:rsidRPr="00C4060F">
        <w:rPr>
          <w:color w:val="auto"/>
          <w:lang w:eastAsia="zh-CN"/>
        </w:rPr>
        <w:t>5.3.4</w:t>
      </w:r>
      <w:r w:rsidR="00F610CC" w:rsidRPr="00C4060F">
        <w:rPr>
          <w:color w:val="auto"/>
          <w:lang w:eastAsia="zh-CN"/>
        </w:rPr>
        <w:t>.</w:t>
      </w:r>
      <w:r w:rsidRPr="00C4060F">
        <w:rPr>
          <w:color w:val="auto"/>
          <w:lang w:eastAsia="zh-CN"/>
        </w:rPr>
        <w:t xml:space="preserve"> </w:t>
      </w:r>
      <w:r w:rsidRPr="00C4060F">
        <w:rPr>
          <w:color w:val="auto"/>
          <w:highlight w:val="yellow"/>
          <w:lang w:eastAsia="zh-CN"/>
        </w:rPr>
        <w:t xml:space="preserve">Wash 3 times with </w:t>
      </w:r>
      <w:r w:rsidR="00957984" w:rsidRPr="00C4060F">
        <w:rPr>
          <w:color w:val="auto"/>
          <w:highlight w:val="yellow"/>
          <w:lang w:eastAsia="zh-CN"/>
        </w:rPr>
        <w:t xml:space="preserve">200 μL of </w:t>
      </w:r>
      <w:r w:rsidRPr="00C4060F">
        <w:rPr>
          <w:color w:val="auto"/>
          <w:highlight w:val="yellow"/>
          <w:lang w:eastAsia="zh-CN"/>
        </w:rPr>
        <w:t xml:space="preserve">RPMI 1640 </w:t>
      </w:r>
      <w:r w:rsidR="00957984" w:rsidRPr="00C4060F">
        <w:rPr>
          <w:color w:val="auto"/>
          <w:highlight w:val="yellow"/>
          <w:lang w:eastAsia="zh-CN"/>
        </w:rPr>
        <w:t>(</w:t>
      </w:r>
      <w:r w:rsidR="003E07FC" w:rsidRPr="00C4060F">
        <w:rPr>
          <w:color w:val="auto"/>
          <w:highlight w:val="yellow"/>
          <w:lang w:eastAsia="zh-CN"/>
        </w:rPr>
        <w:t>550</w:t>
      </w:r>
      <w:r w:rsidR="00957984" w:rsidRPr="00C4060F">
        <w:rPr>
          <w:color w:val="auto"/>
          <w:highlight w:val="yellow"/>
          <w:lang w:eastAsia="zh-CN"/>
        </w:rPr>
        <w:t xml:space="preserve"> × g, 3 min) </w:t>
      </w:r>
      <w:r w:rsidR="0084605D" w:rsidRPr="00C4060F">
        <w:rPr>
          <w:color w:val="auto"/>
          <w:highlight w:val="yellow"/>
          <w:lang w:eastAsia="zh-CN"/>
        </w:rPr>
        <w:t xml:space="preserve">in </w:t>
      </w:r>
      <w:r w:rsidR="004302DB">
        <w:rPr>
          <w:color w:val="auto"/>
          <w:highlight w:val="yellow"/>
          <w:lang w:eastAsia="zh-CN"/>
        </w:rPr>
        <w:t xml:space="preserve">a </w:t>
      </w:r>
      <w:r w:rsidR="0084605D" w:rsidRPr="00C4060F">
        <w:rPr>
          <w:color w:val="auto"/>
          <w:highlight w:val="yellow"/>
          <w:lang w:eastAsia="zh-CN"/>
        </w:rPr>
        <w:t xml:space="preserve">plate </w:t>
      </w:r>
      <w:r w:rsidRPr="00C4060F">
        <w:rPr>
          <w:color w:val="auto"/>
          <w:highlight w:val="yellow"/>
          <w:lang w:eastAsia="zh-CN"/>
        </w:rPr>
        <w:t>to remove un-pulsed peptide and mitomycin C.</w:t>
      </w:r>
      <w:r w:rsidR="00957984" w:rsidRPr="00C4060F">
        <w:rPr>
          <w:color w:val="auto"/>
          <w:highlight w:val="yellow"/>
          <w:lang w:eastAsia="zh-CN"/>
        </w:rPr>
        <w:t xml:space="preserve"> For the first wash, supplement the </w:t>
      </w:r>
      <w:r w:rsidR="00691C26" w:rsidRPr="00C4060F">
        <w:rPr>
          <w:color w:val="auto"/>
          <w:highlight w:val="yellow"/>
          <w:lang w:eastAsia="zh-CN"/>
        </w:rPr>
        <w:t xml:space="preserve">incubation </w:t>
      </w:r>
      <w:r w:rsidR="00957984" w:rsidRPr="00C4060F">
        <w:rPr>
          <w:color w:val="auto"/>
          <w:highlight w:val="yellow"/>
          <w:lang w:eastAsia="zh-CN"/>
        </w:rPr>
        <w:t>culture with 100 μL of RPMI 1640.</w:t>
      </w:r>
    </w:p>
    <w:p w14:paraId="6A6BAA38" w14:textId="77777777" w:rsidR="00F610CC" w:rsidRPr="00C4060F" w:rsidRDefault="00F610CC" w:rsidP="0001526A">
      <w:pPr>
        <w:rPr>
          <w:color w:val="auto"/>
          <w:lang w:eastAsia="zh-CN"/>
        </w:rPr>
      </w:pPr>
    </w:p>
    <w:p w14:paraId="3F6E0F05" w14:textId="5849ED88" w:rsidR="00527A05" w:rsidRPr="00C4060F" w:rsidRDefault="00527A05" w:rsidP="0001526A">
      <w:pPr>
        <w:rPr>
          <w:color w:val="auto"/>
          <w:lang w:eastAsia="zh-CN"/>
        </w:rPr>
      </w:pPr>
      <w:r w:rsidRPr="00C4060F">
        <w:rPr>
          <w:color w:val="auto"/>
          <w:lang w:eastAsia="zh-CN"/>
        </w:rPr>
        <w:t>5.3.5</w:t>
      </w:r>
      <w:r w:rsidR="00F610CC" w:rsidRPr="00C4060F">
        <w:rPr>
          <w:color w:val="auto"/>
          <w:lang w:eastAsia="zh-CN"/>
        </w:rPr>
        <w:t>.</w:t>
      </w:r>
      <w:r w:rsidRPr="00C4060F">
        <w:rPr>
          <w:color w:val="auto"/>
          <w:lang w:eastAsia="zh-CN"/>
        </w:rPr>
        <w:t xml:space="preserve"> </w:t>
      </w:r>
      <w:r w:rsidRPr="00C4060F">
        <w:rPr>
          <w:color w:val="auto"/>
          <w:highlight w:val="yellow"/>
          <w:lang w:eastAsia="zh-CN"/>
        </w:rPr>
        <w:t>Resuspend cell</w:t>
      </w:r>
      <w:r w:rsidR="00BC6E6B" w:rsidRPr="00C4060F">
        <w:rPr>
          <w:color w:val="auto"/>
          <w:highlight w:val="yellow"/>
          <w:lang w:eastAsia="zh-CN"/>
        </w:rPr>
        <w:t>s</w:t>
      </w:r>
      <w:r w:rsidRPr="00C4060F">
        <w:rPr>
          <w:color w:val="auto"/>
          <w:highlight w:val="yellow"/>
          <w:lang w:eastAsia="zh-CN"/>
        </w:rPr>
        <w:t xml:space="preserve"> in 120 μL </w:t>
      </w:r>
      <w:r w:rsidR="004302DB">
        <w:rPr>
          <w:color w:val="auto"/>
          <w:highlight w:val="yellow"/>
          <w:lang w:eastAsia="zh-CN"/>
        </w:rPr>
        <w:t xml:space="preserve">of </w:t>
      </w:r>
      <w:r w:rsidRPr="00C4060F">
        <w:rPr>
          <w:color w:val="auto"/>
          <w:highlight w:val="yellow"/>
          <w:lang w:eastAsia="zh-CN"/>
        </w:rPr>
        <w:t>complete culture medium.</w:t>
      </w:r>
    </w:p>
    <w:p w14:paraId="7C430323" w14:textId="77777777" w:rsidR="00F610CC" w:rsidRPr="00C4060F" w:rsidRDefault="00F610CC" w:rsidP="0001526A">
      <w:pPr>
        <w:rPr>
          <w:color w:val="auto"/>
          <w:lang w:eastAsia="zh-CN"/>
        </w:rPr>
      </w:pPr>
    </w:p>
    <w:p w14:paraId="31DC4B21" w14:textId="77777777" w:rsidR="00527A05" w:rsidRPr="00C4060F" w:rsidRDefault="00527A05" w:rsidP="0001526A">
      <w:pPr>
        <w:rPr>
          <w:color w:val="auto"/>
          <w:lang w:eastAsia="zh-CN"/>
        </w:rPr>
      </w:pPr>
      <w:r w:rsidRPr="00C4060F">
        <w:rPr>
          <w:color w:val="auto"/>
          <w:lang w:eastAsia="zh-CN"/>
        </w:rPr>
        <w:t>5.4</w:t>
      </w:r>
      <w:r w:rsidR="00F610CC" w:rsidRPr="00C4060F">
        <w:rPr>
          <w:color w:val="auto"/>
          <w:lang w:eastAsia="zh-CN"/>
        </w:rPr>
        <w:t>.</w:t>
      </w:r>
      <w:r w:rsidRPr="00C4060F">
        <w:rPr>
          <w:color w:val="auto"/>
          <w:lang w:eastAsia="zh-CN"/>
        </w:rPr>
        <w:t xml:space="preserve"> Stimulating PBMCs with peptide pulsed BLCLs.</w:t>
      </w:r>
    </w:p>
    <w:p w14:paraId="6B3AFCBD" w14:textId="77777777" w:rsidR="00F610CC" w:rsidRPr="00C4060F" w:rsidRDefault="00F610CC" w:rsidP="0001526A">
      <w:pPr>
        <w:rPr>
          <w:color w:val="auto"/>
          <w:lang w:eastAsia="zh-CN"/>
        </w:rPr>
      </w:pPr>
    </w:p>
    <w:p w14:paraId="50FED100" w14:textId="77777777" w:rsidR="00527A05" w:rsidRPr="00C4060F" w:rsidRDefault="00527A05" w:rsidP="0001526A">
      <w:pPr>
        <w:rPr>
          <w:color w:val="auto"/>
          <w:lang w:eastAsia="zh-CN"/>
        </w:rPr>
      </w:pPr>
      <w:r w:rsidRPr="00C4060F">
        <w:rPr>
          <w:color w:val="auto"/>
          <w:lang w:eastAsia="zh-CN"/>
        </w:rPr>
        <w:t>5.4.1</w:t>
      </w:r>
      <w:r w:rsidR="00F610CC" w:rsidRPr="00C4060F">
        <w:rPr>
          <w:color w:val="auto"/>
          <w:lang w:eastAsia="zh-CN"/>
        </w:rPr>
        <w:t>.</w:t>
      </w:r>
      <w:r w:rsidRPr="00C4060F">
        <w:rPr>
          <w:color w:val="auto"/>
          <w:lang w:eastAsia="zh-CN"/>
        </w:rPr>
        <w:t xml:space="preserve"> </w:t>
      </w:r>
      <w:r w:rsidRPr="00C4060F">
        <w:rPr>
          <w:color w:val="auto"/>
          <w:highlight w:val="yellow"/>
          <w:lang w:eastAsia="zh-CN"/>
        </w:rPr>
        <w:t>At day 12, transfer PBMCs to a 96-well plate (round bottom).</w:t>
      </w:r>
    </w:p>
    <w:p w14:paraId="5AA4CE08" w14:textId="77777777" w:rsidR="00F610CC" w:rsidRPr="00C4060F" w:rsidRDefault="00F610CC" w:rsidP="0001526A">
      <w:pPr>
        <w:rPr>
          <w:color w:val="auto"/>
          <w:lang w:eastAsia="zh-CN"/>
        </w:rPr>
      </w:pPr>
    </w:p>
    <w:p w14:paraId="7F80EB5C" w14:textId="7E085846" w:rsidR="00527A05" w:rsidRPr="00C4060F" w:rsidRDefault="00527A05" w:rsidP="0001526A">
      <w:pPr>
        <w:rPr>
          <w:color w:val="auto"/>
          <w:lang w:eastAsia="zh-CN"/>
        </w:rPr>
      </w:pPr>
      <w:r w:rsidRPr="00C4060F">
        <w:rPr>
          <w:color w:val="auto"/>
          <w:lang w:eastAsia="zh-CN"/>
        </w:rPr>
        <w:t>5.4.2</w:t>
      </w:r>
      <w:r w:rsidR="00F610CC" w:rsidRPr="00C4060F">
        <w:rPr>
          <w:color w:val="auto"/>
          <w:lang w:eastAsia="zh-CN"/>
        </w:rPr>
        <w:t>.</w:t>
      </w:r>
      <w:r w:rsidRPr="00C4060F">
        <w:rPr>
          <w:color w:val="auto"/>
          <w:lang w:eastAsia="zh-CN"/>
        </w:rPr>
        <w:t xml:space="preserve"> </w:t>
      </w:r>
      <w:r w:rsidR="003E07FC" w:rsidRPr="00C4060F">
        <w:rPr>
          <w:color w:val="auto"/>
          <w:highlight w:val="yellow"/>
          <w:lang w:eastAsia="zh-CN"/>
        </w:rPr>
        <w:t>Remove</w:t>
      </w:r>
      <w:r w:rsidR="004302DB">
        <w:rPr>
          <w:color w:val="auto"/>
          <w:highlight w:val="yellow"/>
          <w:lang w:eastAsia="zh-CN"/>
        </w:rPr>
        <w:t xml:space="preserve"> the</w:t>
      </w:r>
      <w:r w:rsidR="003E07FC" w:rsidRPr="00C4060F">
        <w:rPr>
          <w:color w:val="auto"/>
          <w:highlight w:val="yellow"/>
          <w:lang w:eastAsia="zh-CN"/>
        </w:rPr>
        <w:t xml:space="preserve"> supernatant after centrifugation (550 × g, 3 min) in </w:t>
      </w:r>
      <w:r w:rsidR="004302DB">
        <w:rPr>
          <w:color w:val="auto"/>
          <w:highlight w:val="yellow"/>
          <w:lang w:eastAsia="zh-CN"/>
        </w:rPr>
        <w:t xml:space="preserve">a </w:t>
      </w:r>
      <w:r w:rsidR="003E07FC" w:rsidRPr="00C4060F">
        <w:rPr>
          <w:color w:val="auto"/>
          <w:highlight w:val="yellow"/>
          <w:lang w:eastAsia="zh-CN"/>
        </w:rPr>
        <w:t xml:space="preserve">plate, </w:t>
      </w:r>
      <w:proofErr w:type="gramStart"/>
      <w:r w:rsidR="004302DB">
        <w:rPr>
          <w:color w:val="auto"/>
          <w:highlight w:val="yellow"/>
          <w:lang w:eastAsia="zh-CN"/>
        </w:rPr>
        <w:t>an</w:t>
      </w:r>
      <w:proofErr w:type="gramEnd"/>
      <w:r w:rsidR="004302DB">
        <w:rPr>
          <w:color w:val="auto"/>
          <w:highlight w:val="yellow"/>
          <w:lang w:eastAsia="zh-CN"/>
        </w:rPr>
        <w:t xml:space="preserve"> </w:t>
      </w:r>
      <w:r w:rsidR="003E07FC" w:rsidRPr="00C4060F">
        <w:rPr>
          <w:color w:val="auto"/>
          <w:highlight w:val="yellow"/>
          <w:lang w:eastAsia="zh-CN"/>
        </w:rPr>
        <w:t xml:space="preserve">wash twice with 200 μL of RPMI 1640 (550 × g, 3 min) in </w:t>
      </w:r>
      <w:r w:rsidR="004302DB">
        <w:rPr>
          <w:color w:val="auto"/>
          <w:highlight w:val="yellow"/>
          <w:lang w:eastAsia="zh-CN"/>
        </w:rPr>
        <w:t xml:space="preserve">a </w:t>
      </w:r>
      <w:r w:rsidR="003E07FC" w:rsidRPr="00C4060F">
        <w:rPr>
          <w:color w:val="auto"/>
          <w:highlight w:val="yellow"/>
          <w:lang w:eastAsia="zh-CN"/>
        </w:rPr>
        <w:t>plate.</w:t>
      </w:r>
    </w:p>
    <w:p w14:paraId="0FD21C30" w14:textId="77777777" w:rsidR="00F610CC" w:rsidRPr="00C4060F" w:rsidRDefault="00F610CC" w:rsidP="0001526A">
      <w:pPr>
        <w:rPr>
          <w:color w:val="auto"/>
          <w:lang w:eastAsia="zh-CN"/>
        </w:rPr>
      </w:pPr>
    </w:p>
    <w:p w14:paraId="0A902958" w14:textId="6F8D0C30"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Removal of residual cytokines and peptides in the culture by repeated washing is the key step to decrease the background in intracellular flow cytometry analysis. Especially for residual peptides, it will bind to BLCLs and significantly increase the background.</w:t>
      </w:r>
    </w:p>
    <w:p w14:paraId="578EC885" w14:textId="77777777" w:rsidR="00F610CC" w:rsidRPr="00C4060F" w:rsidRDefault="00F610CC" w:rsidP="0001526A">
      <w:pPr>
        <w:rPr>
          <w:color w:val="auto"/>
          <w:lang w:eastAsia="zh-CN"/>
        </w:rPr>
      </w:pPr>
    </w:p>
    <w:p w14:paraId="1BAF6EF6" w14:textId="77777777" w:rsidR="00527A05" w:rsidRPr="00C4060F" w:rsidRDefault="00527A05" w:rsidP="0001526A">
      <w:pPr>
        <w:rPr>
          <w:color w:val="auto"/>
          <w:lang w:eastAsia="zh-CN"/>
        </w:rPr>
      </w:pPr>
      <w:r w:rsidRPr="00C4060F">
        <w:rPr>
          <w:color w:val="auto"/>
          <w:lang w:eastAsia="zh-CN"/>
        </w:rPr>
        <w:t>5.4.3</w:t>
      </w:r>
      <w:r w:rsidR="00F610CC" w:rsidRPr="00C4060F">
        <w:rPr>
          <w:color w:val="auto"/>
          <w:lang w:eastAsia="zh-CN"/>
        </w:rPr>
        <w:t>.</w:t>
      </w:r>
      <w:r w:rsidRPr="00C4060F">
        <w:rPr>
          <w:color w:val="auto"/>
          <w:lang w:eastAsia="zh-CN"/>
        </w:rPr>
        <w:t xml:space="preserve"> </w:t>
      </w:r>
      <w:r w:rsidRPr="00C4060F">
        <w:rPr>
          <w:color w:val="auto"/>
          <w:highlight w:val="yellow"/>
          <w:lang w:eastAsia="zh-CN"/>
        </w:rPr>
        <w:t>Resuspend PBMCs at each well with 210 μL of complete culture medium.</w:t>
      </w:r>
    </w:p>
    <w:p w14:paraId="34408246" w14:textId="77777777" w:rsidR="00F610CC" w:rsidRPr="00C4060F" w:rsidRDefault="00F610CC" w:rsidP="0001526A">
      <w:pPr>
        <w:rPr>
          <w:color w:val="auto"/>
          <w:lang w:eastAsia="zh-CN"/>
        </w:rPr>
      </w:pPr>
    </w:p>
    <w:p w14:paraId="29D28608" w14:textId="2E850BBF" w:rsidR="00527A05" w:rsidRPr="00C4060F" w:rsidRDefault="00527A05" w:rsidP="0001526A">
      <w:pPr>
        <w:rPr>
          <w:color w:val="auto"/>
          <w:lang w:eastAsia="zh-CN"/>
        </w:rPr>
      </w:pPr>
      <w:r w:rsidRPr="00C4060F">
        <w:rPr>
          <w:color w:val="auto"/>
          <w:lang w:eastAsia="zh-CN"/>
        </w:rPr>
        <w:t>5.4.4</w:t>
      </w:r>
      <w:r w:rsidR="00F610CC" w:rsidRPr="00C4060F">
        <w:rPr>
          <w:color w:val="auto"/>
          <w:lang w:eastAsia="zh-CN"/>
        </w:rPr>
        <w:t>.</w:t>
      </w:r>
      <w:r w:rsidRPr="00C4060F">
        <w:rPr>
          <w:color w:val="auto"/>
          <w:lang w:eastAsia="zh-CN"/>
        </w:rPr>
        <w:t xml:space="preserve"> </w:t>
      </w:r>
      <w:r w:rsidRPr="00C4060F">
        <w:rPr>
          <w:color w:val="auto"/>
          <w:highlight w:val="yellow"/>
          <w:lang w:eastAsia="zh-CN"/>
        </w:rPr>
        <w:t xml:space="preserve">For the well of PBMCs chosen for epitope identification, aliquot </w:t>
      </w:r>
      <w:proofErr w:type="spellStart"/>
      <w:r w:rsidR="004302DB">
        <w:rPr>
          <w:color w:val="auto"/>
          <w:highlight w:val="yellow"/>
          <w:lang w:eastAsia="zh-CN"/>
        </w:rPr>
        <w:t>th</w:t>
      </w:r>
      <w:proofErr w:type="spellEnd"/>
      <w:r w:rsidR="004302DB">
        <w:rPr>
          <w:color w:val="auto"/>
          <w:highlight w:val="yellow"/>
          <w:lang w:eastAsia="zh-CN"/>
        </w:rPr>
        <w:t xml:space="preserve"> </w:t>
      </w:r>
      <w:r w:rsidRPr="00C4060F">
        <w:rPr>
          <w:color w:val="auto"/>
          <w:highlight w:val="yellow"/>
          <w:lang w:eastAsia="zh-CN"/>
        </w:rPr>
        <w:t>cell suspension (70 μL each) and mix with peptide pulsed BLCLs (3 wells, including 2 background controls).</w:t>
      </w:r>
    </w:p>
    <w:p w14:paraId="0C6CA924" w14:textId="77777777" w:rsidR="00F610CC" w:rsidRPr="00C4060F" w:rsidRDefault="00F610CC" w:rsidP="0001526A">
      <w:pPr>
        <w:rPr>
          <w:color w:val="auto"/>
          <w:lang w:eastAsia="zh-CN"/>
        </w:rPr>
      </w:pPr>
    </w:p>
    <w:p w14:paraId="3FA18173" w14:textId="03D52738" w:rsidR="00527A05" w:rsidRPr="00C4060F" w:rsidRDefault="00C4060F" w:rsidP="0001526A">
      <w:pPr>
        <w:rPr>
          <w:color w:val="auto"/>
          <w:lang w:eastAsia="zh-CN"/>
        </w:rPr>
      </w:pPr>
      <w:r w:rsidRPr="00C4060F">
        <w:rPr>
          <w:color w:val="auto"/>
          <w:lang w:eastAsia="zh-CN"/>
        </w:rPr>
        <w:t>NOTE:</w:t>
      </w:r>
      <w:r w:rsidR="00527A05" w:rsidRPr="00C4060F">
        <w:rPr>
          <w:color w:val="auto"/>
          <w:lang w:eastAsia="zh-CN"/>
        </w:rPr>
        <w:t xml:space="preserve"> </w:t>
      </w:r>
      <w:r w:rsidR="004302DB">
        <w:rPr>
          <w:color w:val="auto"/>
          <w:lang w:eastAsia="zh-CN"/>
        </w:rPr>
        <w:t>A</w:t>
      </w:r>
      <w:r w:rsidR="00527A05" w:rsidRPr="00C4060F">
        <w:rPr>
          <w:color w:val="auto"/>
          <w:lang w:eastAsia="zh-CN"/>
        </w:rPr>
        <w:t>t day 12, the number of peptide</w:t>
      </w:r>
      <w:r w:rsidR="004302DB">
        <w:rPr>
          <w:color w:val="auto"/>
          <w:lang w:eastAsia="zh-CN"/>
        </w:rPr>
        <w:t xml:space="preserve"> </w:t>
      </w:r>
      <w:r w:rsidR="00527A05" w:rsidRPr="00C4060F">
        <w:rPr>
          <w:color w:val="auto"/>
          <w:lang w:eastAsia="zh-CN"/>
        </w:rPr>
        <w:t xml:space="preserve">pools expanded PBMCs will usually reach to above </w:t>
      </w:r>
      <w:r w:rsidR="0099047C" w:rsidRPr="00C4060F">
        <w:rPr>
          <w:color w:val="auto"/>
          <w:lang w:eastAsia="zh-CN"/>
        </w:rPr>
        <w:t>5</w:t>
      </w:r>
      <w:r w:rsidR="00527A05" w:rsidRPr="00C4060F">
        <w:rPr>
          <w:color w:val="auto"/>
          <w:lang w:eastAsia="zh-CN"/>
        </w:rPr>
        <w:t>-</w:t>
      </w:r>
      <w:r w:rsidR="0099047C" w:rsidRPr="00C4060F">
        <w:rPr>
          <w:color w:val="auto"/>
          <w:lang w:eastAsia="zh-CN"/>
        </w:rPr>
        <w:t>7</w:t>
      </w:r>
      <w:r w:rsidR="00527A05" w:rsidRPr="00C4060F">
        <w:rPr>
          <w:color w:val="auto"/>
          <w:lang w:eastAsia="zh-CN"/>
        </w:rPr>
        <w:t>×10</w:t>
      </w:r>
      <w:r w:rsidR="00527A05" w:rsidRPr="00C4060F">
        <w:rPr>
          <w:color w:val="auto"/>
          <w:vertAlign w:val="superscript"/>
          <w:lang w:eastAsia="zh-CN"/>
        </w:rPr>
        <w:t>5</w:t>
      </w:r>
      <w:r w:rsidR="00527A05" w:rsidRPr="00C4060F">
        <w:rPr>
          <w:color w:val="auto"/>
          <w:lang w:eastAsia="zh-CN"/>
        </w:rPr>
        <w:t xml:space="preserve"> per well, so the ratio of </w:t>
      </w:r>
      <w:r w:rsidR="00BF0FD3" w:rsidRPr="00C4060F">
        <w:rPr>
          <w:color w:val="auto"/>
          <w:lang w:eastAsia="zh-CN"/>
        </w:rPr>
        <w:t xml:space="preserve">PBMCs/BLCLs </w:t>
      </w:r>
      <w:r w:rsidR="00527A05" w:rsidRPr="00C4060F">
        <w:rPr>
          <w:color w:val="auto"/>
          <w:lang w:eastAsia="zh-CN"/>
        </w:rPr>
        <w:t xml:space="preserve">is about </w:t>
      </w:r>
      <w:r w:rsidR="0099047C" w:rsidRPr="00C4060F">
        <w:rPr>
          <w:color w:val="auto"/>
          <w:lang w:eastAsia="zh-CN"/>
        </w:rPr>
        <w:t>6/1 to 4</w:t>
      </w:r>
      <w:r w:rsidR="00527A05" w:rsidRPr="00C4060F">
        <w:rPr>
          <w:color w:val="auto"/>
          <w:lang w:eastAsia="zh-CN"/>
        </w:rPr>
        <w:t>/1.</w:t>
      </w:r>
    </w:p>
    <w:p w14:paraId="31EFFB89" w14:textId="77777777" w:rsidR="00F610CC" w:rsidRPr="00C4060F" w:rsidRDefault="00F610CC" w:rsidP="0001526A">
      <w:pPr>
        <w:rPr>
          <w:color w:val="auto"/>
          <w:lang w:eastAsia="zh-CN"/>
        </w:rPr>
      </w:pPr>
    </w:p>
    <w:p w14:paraId="5E9179AE" w14:textId="775A10FB" w:rsidR="00527A05" w:rsidRPr="00C4060F" w:rsidRDefault="00527A05" w:rsidP="0001526A">
      <w:pPr>
        <w:rPr>
          <w:color w:val="auto"/>
          <w:lang w:eastAsia="zh-CN"/>
        </w:rPr>
      </w:pPr>
      <w:r w:rsidRPr="00C4060F">
        <w:rPr>
          <w:color w:val="auto"/>
          <w:lang w:eastAsia="zh-CN"/>
        </w:rPr>
        <w:t>5.4.5</w:t>
      </w:r>
      <w:r w:rsidR="00F610CC" w:rsidRPr="00C4060F">
        <w:rPr>
          <w:color w:val="auto"/>
          <w:lang w:eastAsia="zh-CN"/>
        </w:rPr>
        <w:t>.</w:t>
      </w:r>
      <w:r w:rsidRPr="00C4060F">
        <w:rPr>
          <w:color w:val="auto"/>
          <w:lang w:eastAsia="zh-CN"/>
        </w:rPr>
        <w:t xml:space="preserve"> </w:t>
      </w:r>
      <w:r w:rsidRPr="00C4060F">
        <w:rPr>
          <w:color w:val="auto"/>
          <w:highlight w:val="yellow"/>
          <w:lang w:eastAsia="zh-CN"/>
        </w:rPr>
        <w:t>Incubate at 37 °C and 5% CO</w:t>
      </w:r>
      <w:r w:rsidRPr="004302DB">
        <w:rPr>
          <w:color w:val="auto"/>
          <w:highlight w:val="yellow"/>
          <w:vertAlign w:val="subscript"/>
          <w:lang w:eastAsia="zh-CN"/>
        </w:rPr>
        <w:t>2</w:t>
      </w:r>
      <w:r w:rsidRPr="00C4060F">
        <w:rPr>
          <w:color w:val="auto"/>
          <w:highlight w:val="yellow"/>
          <w:lang w:eastAsia="zh-CN"/>
        </w:rPr>
        <w:t xml:space="preserve"> for 6 </w:t>
      </w:r>
      <w:r w:rsidR="00086352" w:rsidRPr="00C4060F">
        <w:rPr>
          <w:color w:val="auto"/>
          <w:highlight w:val="yellow"/>
          <w:lang w:eastAsia="zh-CN"/>
        </w:rPr>
        <w:t>h</w:t>
      </w:r>
      <w:r w:rsidRPr="00C4060F">
        <w:rPr>
          <w:color w:val="auto"/>
          <w:highlight w:val="yellow"/>
          <w:lang w:eastAsia="zh-CN"/>
        </w:rPr>
        <w:t>.</w:t>
      </w:r>
    </w:p>
    <w:p w14:paraId="0DF5E9EC" w14:textId="77777777" w:rsidR="00F610CC" w:rsidRPr="00C4060F" w:rsidRDefault="00F610CC" w:rsidP="0001526A">
      <w:pPr>
        <w:rPr>
          <w:color w:val="auto"/>
          <w:lang w:eastAsia="zh-CN"/>
        </w:rPr>
      </w:pPr>
    </w:p>
    <w:p w14:paraId="2E1BB0D1" w14:textId="1862C008" w:rsidR="00527A05" w:rsidRPr="00C4060F" w:rsidRDefault="00527A05" w:rsidP="0001526A">
      <w:pPr>
        <w:rPr>
          <w:color w:val="auto"/>
          <w:lang w:eastAsia="zh-CN"/>
        </w:rPr>
      </w:pPr>
      <w:r w:rsidRPr="00C4060F">
        <w:rPr>
          <w:color w:val="auto"/>
          <w:lang w:eastAsia="zh-CN"/>
        </w:rPr>
        <w:t>5.4.6</w:t>
      </w:r>
      <w:r w:rsidR="00F610CC" w:rsidRPr="00C4060F">
        <w:rPr>
          <w:color w:val="auto"/>
          <w:lang w:eastAsia="zh-CN"/>
        </w:rPr>
        <w:t>.</w:t>
      </w:r>
      <w:r w:rsidRPr="00C4060F">
        <w:rPr>
          <w:color w:val="auto"/>
          <w:lang w:eastAsia="zh-CN"/>
        </w:rPr>
        <w:t xml:space="preserve"> </w:t>
      </w:r>
      <w:r w:rsidRPr="00C4060F">
        <w:rPr>
          <w:color w:val="auto"/>
          <w:highlight w:val="yellow"/>
          <w:lang w:eastAsia="zh-CN"/>
        </w:rPr>
        <w:t xml:space="preserve">After 1 </w:t>
      </w:r>
      <w:r w:rsidR="00086352" w:rsidRPr="00C4060F">
        <w:rPr>
          <w:color w:val="auto"/>
          <w:highlight w:val="yellow"/>
          <w:lang w:eastAsia="zh-CN"/>
        </w:rPr>
        <w:t xml:space="preserve">h </w:t>
      </w:r>
      <w:r w:rsidRPr="00C4060F">
        <w:rPr>
          <w:color w:val="auto"/>
          <w:highlight w:val="yellow"/>
          <w:lang w:eastAsia="zh-CN"/>
        </w:rPr>
        <w:t xml:space="preserve">of incubation, add </w:t>
      </w:r>
      <w:proofErr w:type="spellStart"/>
      <w:r w:rsidR="00DF3262" w:rsidRPr="00C4060F">
        <w:rPr>
          <w:color w:val="auto"/>
          <w:highlight w:val="yellow"/>
          <w:lang w:eastAsia="zh-CN"/>
        </w:rPr>
        <w:t>Monensin</w:t>
      </w:r>
      <w:proofErr w:type="spellEnd"/>
      <w:r w:rsidR="00DF3262" w:rsidRPr="00C4060F">
        <w:rPr>
          <w:color w:val="auto"/>
          <w:highlight w:val="yellow"/>
          <w:lang w:eastAsia="zh-CN"/>
        </w:rPr>
        <w:t xml:space="preserve"> (1.37 μg/mL)</w:t>
      </w:r>
      <w:r w:rsidR="00086352" w:rsidRPr="00C4060F">
        <w:rPr>
          <w:color w:val="auto"/>
          <w:highlight w:val="yellow"/>
          <w:lang w:eastAsia="zh-CN"/>
        </w:rPr>
        <w:t xml:space="preserve"> </w:t>
      </w:r>
      <w:r w:rsidRPr="00C4060F">
        <w:rPr>
          <w:color w:val="auto"/>
          <w:highlight w:val="yellow"/>
          <w:lang w:eastAsia="zh-CN"/>
        </w:rPr>
        <w:t>to the culture.</w:t>
      </w:r>
      <w:r w:rsidR="00086352" w:rsidRPr="00C4060F">
        <w:rPr>
          <w:color w:val="auto"/>
          <w:highlight w:val="yellow"/>
          <w:lang w:eastAsia="zh-CN"/>
        </w:rPr>
        <w:t xml:space="preserve"> The final volume of complete culture medium in each well is 200 μL</w:t>
      </w:r>
      <w:r w:rsidR="00086352" w:rsidRPr="00C4060F">
        <w:rPr>
          <w:color w:val="auto"/>
          <w:lang w:eastAsia="zh-CN"/>
        </w:rPr>
        <w:t>.</w:t>
      </w:r>
    </w:p>
    <w:p w14:paraId="775B1099" w14:textId="77777777" w:rsidR="00F610CC" w:rsidRPr="00C4060F" w:rsidRDefault="00F610CC" w:rsidP="0001526A">
      <w:pPr>
        <w:rPr>
          <w:color w:val="auto"/>
          <w:lang w:eastAsia="zh-CN"/>
        </w:rPr>
      </w:pPr>
    </w:p>
    <w:p w14:paraId="7B98B324" w14:textId="358EFA36" w:rsidR="00527A05" w:rsidRDefault="00527A05" w:rsidP="0001526A">
      <w:pPr>
        <w:rPr>
          <w:color w:val="auto"/>
          <w:lang w:eastAsia="zh-CN"/>
        </w:rPr>
      </w:pPr>
      <w:r w:rsidRPr="00C4060F">
        <w:rPr>
          <w:color w:val="auto"/>
          <w:lang w:eastAsia="zh-CN"/>
        </w:rPr>
        <w:t>5.5. Flow cytometry</w:t>
      </w:r>
    </w:p>
    <w:p w14:paraId="4921BA77" w14:textId="77777777" w:rsidR="004302DB" w:rsidRPr="00C4060F" w:rsidRDefault="004302DB" w:rsidP="0001526A">
      <w:pPr>
        <w:rPr>
          <w:color w:val="auto"/>
          <w:lang w:eastAsia="zh-CN"/>
        </w:rPr>
      </w:pPr>
    </w:p>
    <w:p w14:paraId="2C1D6C22" w14:textId="2AF7463B" w:rsidR="00527A05" w:rsidRPr="00C4060F" w:rsidRDefault="004302DB" w:rsidP="0001526A">
      <w:pPr>
        <w:rPr>
          <w:color w:val="auto"/>
          <w:lang w:eastAsia="zh-CN"/>
        </w:rPr>
      </w:pPr>
      <w:r>
        <w:rPr>
          <w:color w:val="auto"/>
          <w:lang w:eastAsia="zh-CN"/>
        </w:rPr>
        <w:t>5.5.1. Repeat t</w:t>
      </w:r>
      <w:r w:rsidR="00527A05" w:rsidRPr="00C4060F">
        <w:rPr>
          <w:color w:val="auto"/>
          <w:lang w:eastAsia="zh-CN"/>
        </w:rPr>
        <w:t xml:space="preserve">he </w:t>
      </w:r>
      <w:r>
        <w:rPr>
          <w:color w:val="auto"/>
          <w:lang w:eastAsia="zh-CN"/>
        </w:rPr>
        <w:t xml:space="preserve">same </w:t>
      </w:r>
      <w:r w:rsidR="00527A05" w:rsidRPr="00C4060F">
        <w:rPr>
          <w:color w:val="auto"/>
          <w:lang w:eastAsia="zh-CN"/>
        </w:rPr>
        <w:t>operations as in step 4.2.</w:t>
      </w:r>
    </w:p>
    <w:p w14:paraId="7FCA1828" w14:textId="77777777" w:rsidR="00E5125B" w:rsidRPr="00C4060F" w:rsidRDefault="00E5125B" w:rsidP="0001526A">
      <w:pPr>
        <w:rPr>
          <w:color w:val="auto"/>
          <w:lang w:eastAsia="zh-CN"/>
        </w:rPr>
      </w:pPr>
    </w:p>
    <w:p w14:paraId="0319CFE4" w14:textId="55847B74" w:rsidR="00C4060F" w:rsidRPr="00C4060F" w:rsidRDefault="00527A05" w:rsidP="0001526A">
      <w:pPr>
        <w:rPr>
          <w:color w:val="auto"/>
          <w:lang w:eastAsia="zh-CN"/>
        </w:rPr>
      </w:pPr>
      <w:r w:rsidRPr="00C4060F">
        <w:rPr>
          <w:color w:val="auto"/>
          <w:lang w:eastAsia="zh-CN"/>
        </w:rPr>
        <w:t>5.6</w:t>
      </w:r>
      <w:r w:rsidR="00E5125B" w:rsidRPr="00C4060F">
        <w:rPr>
          <w:color w:val="auto"/>
          <w:lang w:eastAsia="zh-CN"/>
        </w:rPr>
        <w:t>.</w:t>
      </w:r>
      <w:r w:rsidRPr="00C4060F">
        <w:rPr>
          <w:color w:val="auto"/>
          <w:lang w:eastAsia="zh-CN"/>
        </w:rPr>
        <w:t xml:space="preserve"> Analysis of flow cytometry results</w:t>
      </w:r>
    </w:p>
    <w:p w14:paraId="56810162" w14:textId="77777777" w:rsidR="00C4060F" w:rsidRPr="00C4060F" w:rsidRDefault="00C4060F" w:rsidP="0001526A">
      <w:pPr>
        <w:rPr>
          <w:color w:val="auto"/>
          <w:lang w:eastAsia="zh-CN"/>
        </w:rPr>
      </w:pPr>
    </w:p>
    <w:p w14:paraId="365E627E" w14:textId="426DC1F8" w:rsidR="00527A05" w:rsidRPr="00C4060F" w:rsidRDefault="004302DB" w:rsidP="0001526A">
      <w:pPr>
        <w:rPr>
          <w:color w:val="auto"/>
          <w:lang w:eastAsia="zh-CN"/>
        </w:rPr>
      </w:pPr>
      <w:r>
        <w:rPr>
          <w:color w:val="auto"/>
          <w:lang w:eastAsia="zh-CN"/>
        </w:rPr>
        <w:t>5.6.1. Verify a</w:t>
      </w:r>
      <w:r w:rsidR="00527A05" w:rsidRPr="00C4060F">
        <w:rPr>
          <w:color w:val="auto"/>
          <w:lang w:eastAsia="zh-CN"/>
        </w:rPr>
        <w:t xml:space="preserve"> peptide as </w:t>
      </w:r>
      <w:r w:rsidR="0081258B" w:rsidRPr="00C4060F">
        <w:rPr>
          <w:color w:val="auto"/>
          <w:lang w:eastAsia="zh-CN"/>
        </w:rPr>
        <w:t>a</w:t>
      </w:r>
      <w:r>
        <w:rPr>
          <w:color w:val="auto"/>
          <w:lang w:eastAsia="zh-CN"/>
        </w:rPr>
        <w:t>n</w:t>
      </w:r>
      <w:r w:rsidR="0081258B" w:rsidRPr="00C4060F">
        <w:rPr>
          <w:color w:val="auto"/>
          <w:lang w:eastAsia="zh-CN"/>
        </w:rPr>
        <w:t xml:space="preserve"> </w:t>
      </w:r>
      <w:r w:rsidR="00527A05" w:rsidRPr="00C4060F">
        <w:rPr>
          <w:color w:val="auto"/>
          <w:lang w:eastAsia="zh-CN"/>
        </w:rPr>
        <w:t xml:space="preserve">HLA-DR restricted CD4 T-cells </w:t>
      </w:r>
      <w:r w:rsidR="0081258B" w:rsidRPr="00C4060F">
        <w:rPr>
          <w:color w:val="auto"/>
          <w:lang w:eastAsia="zh-CN"/>
        </w:rPr>
        <w:t xml:space="preserve">epitope </w:t>
      </w:r>
      <w:r w:rsidR="00527A05" w:rsidRPr="00C4060F">
        <w:rPr>
          <w:color w:val="auto"/>
          <w:lang w:eastAsia="zh-CN"/>
        </w:rPr>
        <w:t xml:space="preserve">if PBMCs incubated with </w:t>
      </w:r>
      <w:r w:rsidR="00C8782F" w:rsidRPr="00C4060F">
        <w:rPr>
          <w:color w:val="auto"/>
          <w:lang w:eastAsia="zh-CN"/>
        </w:rPr>
        <w:t xml:space="preserve">this </w:t>
      </w:r>
      <w:r w:rsidR="00527A05" w:rsidRPr="00C4060F">
        <w:rPr>
          <w:color w:val="auto"/>
          <w:lang w:eastAsia="zh-CN"/>
        </w:rPr>
        <w:t>peptide pulsed BLCLs show</w:t>
      </w:r>
      <w:r>
        <w:rPr>
          <w:color w:val="auto"/>
          <w:lang w:eastAsia="zh-CN"/>
        </w:rPr>
        <w:t xml:space="preserve"> a</w:t>
      </w:r>
      <w:r w:rsidR="00527A05" w:rsidRPr="00C4060F">
        <w:rPr>
          <w:color w:val="auto"/>
          <w:lang w:eastAsia="zh-CN"/>
        </w:rPr>
        <w:t xml:space="preserve"> frequency of cytokine secreting CD4 T cells at least two times of the PBMCs incubated with background controls (peptide pulsing with HLA-DR pre-blocking; DMSO pulsing) (</w:t>
      </w:r>
      <w:r w:rsidR="00527A05" w:rsidRPr="004302DB">
        <w:rPr>
          <w:b/>
          <w:bCs/>
          <w:color w:val="auto"/>
          <w:lang w:eastAsia="zh-CN"/>
        </w:rPr>
        <w:t xml:space="preserve">Figure </w:t>
      </w:r>
      <w:r w:rsidR="00FF1702" w:rsidRPr="004302DB">
        <w:rPr>
          <w:b/>
          <w:bCs/>
          <w:color w:val="auto"/>
          <w:lang w:eastAsia="zh-CN"/>
        </w:rPr>
        <w:t>4</w:t>
      </w:r>
      <w:r w:rsidR="00527A05" w:rsidRPr="00C4060F">
        <w:rPr>
          <w:color w:val="auto"/>
          <w:lang w:eastAsia="zh-CN"/>
        </w:rPr>
        <w:t>).</w:t>
      </w:r>
    </w:p>
    <w:p w14:paraId="5DF54EF1" w14:textId="77777777" w:rsidR="00E5125B" w:rsidRPr="00C4060F" w:rsidRDefault="00E5125B" w:rsidP="0001526A">
      <w:pPr>
        <w:pStyle w:val="NormalWeb"/>
        <w:spacing w:before="0" w:beforeAutospacing="0" w:after="0" w:afterAutospacing="0"/>
        <w:rPr>
          <w:b/>
          <w:color w:val="auto"/>
          <w:lang w:eastAsia="zh-CN"/>
        </w:rPr>
      </w:pPr>
    </w:p>
    <w:p w14:paraId="26E26538" w14:textId="77777777" w:rsidR="00527A05" w:rsidRPr="00C4060F" w:rsidRDefault="00527A05" w:rsidP="0001526A">
      <w:pPr>
        <w:pStyle w:val="NormalWeb"/>
        <w:spacing w:before="0" w:beforeAutospacing="0" w:after="0" w:afterAutospacing="0"/>
        <w:rPr>
          <w:color w:val="auto"/>
          <w:lang w:eastAsia="zh-CN"/>
        </w:rPr>
      </w:pPr>
      <w:r w:rsidRPr="00C4060F">
        <w:rPr>
          <w:b/>
          <w:color w:val="auto"/>
        </w:rPr>
        <w:t>REPRESENTATIVE RESULTS:</w:t>
      </w:r>
    </w:p>
    <w:p w14:paraId="5651DDE0" w14:textId="10D24B89" w:rsidR="00527A05" w:rsidRPr="00C4060F" w:rsidRDefault="00527A05" w:rsidP="0001526A">
      <w:pPr>
        <w:rPr>
          <w:color w:val="auto"/>
          <w:lang w:eastAsia="zh-CN"/>
        </w:rPr>
      </w:pPr>
      <w:r w:rsidRPr="00C4060F">
        <w:rPr>
          <w:color w:val="auto"/>
          <w:lang w:eastAsia="zh-CN"/>
        </w:rPr>
        <w:t xml:space="preserve">The frequency of cytokine secreting CD4 T cells are calculated as the sum of both single producers and double producers. As demonstrated in </w:t>
      </w:r>
      <w:r w:rsidRPr="004302DB">
        <w:rPr>
          <w:b/>
          <w:bCs/>
          <w:color w:val="auto"/>
          <w:lang w:eastAsia="zh-CN"/>
        </w:rPr>
        <w:t xml:space="preserve">Figure </w:t>
      </w:r>
      <w:r w:rsidR="00061546" w:rsidRPr="004302DB">
        <w:rPr>
          <w:b/>
          <w:bCs/>
          <w:color w:val="auto"/>
          <w:lang w:eastAsia="zh-CN"/>
        </w:rPr>
        <w:t>1</w:t>
      </w:r>
      <w:r w:rsidRPr="00C4060F">
        <w:rPr>
          <w:color w:val="auto"/>
          <w:lang w:eastAsia="zh-CN"/>
        </w:rPr>
        <w:t>, the frequency of TNF-α secreting CD4 T cells and the frequency of IFN-γ secreting CD4 T cells in background control (DMSO) are 0.154% and 0.013% respectively</w:t>
      </w:r>
      <w:r w:rsidR="004302DB">
        <w:rPr>
          <w:color w:val="auto"/>
          <w:lang w:eastAsia="zh-CN"/>
        </w:rPr>
        <w:t>. T</w:t>
      </w:r>
      <w:r w:rsidRPr="00C4060F">
        <w:rPr>
          <w:color w:val="auto"/>
          <w:lang w:eastAsia="zh-CN"/>
        </w:rPr>
        <w:t>he frequency of TNF-α secreting CD4 T cells and the frequency of IFN-γ secreting CD4 T cells specific for peptide</w:t>
      </w:r>
      <w:r w:rsidR="004302DB">
        <w:rPr>
          <w:color w:val="auto"/>
          <w:lang w:eastAsia="zh-CN"/>
        </w:rPr>
        <w:t xml:space="preserve"> </w:t>
      </w:r>
      <w:r w:rsidRPr="00C4060F">
        <w:rPr>
          <w:color w:val="auto"/>
          <w:lang w:eastAsia="zh-CN"/>
        </w:rPr>
        <w:t xml:space="preserve">pool Core11 are 0.206 and 0.017 respectively, so both TNF-α secreting CD4 T-cell response and IFN-γ secreting CD4 T-cell response for this </w:t>
      </w:r>
      <w:r w:rsidR="006E32C1">
        <w:rPr>
          <w:color w:val="auto"/>
          <w:lang w:eastAsia="zh-CN"/>
        </w:rPr>
        <w:t>peptide pool</w:t>
      </w:r>
      <w:r w:rsidRPr="00C4060F">
        <w:rPr>
          <w:color w:val="auto"/>
          <w:lang w:eastAsia="zh-CN"/>
        </w:rPr>
        <w:t xml:space="preserve"> are considered as negative</w:t>
      </w:r>
      <w:r w:rsidR="004302DB">
        <w:rPr>
          <w:color w:val="auto"/>
          <w:lang w:eastAsia="zh-CN"/>
        </w:rPr>
        <w:t>. T</w:t>
      </w:r>
      <w:r w:rsidRPr="00C4060F">
        <w:rPr>
          <w:color w:val="auto"/>
          <w:lang w:eastAsia="zh-CN"/>
        </w:rPr>
        <w:t xml:space="preserve">he frequency of TNF-α secreting CD4 T cells and the frequency of IFN-γ secreting CD4 T cells specific for </w:t>
      </w:r>
      <w:r w:rsidR="006E32C1">
        <w:rPr>
          <w:color w:val="auto"/>
          <w:lang w:eastAsia="zh-CN"/>
        </w:rPr>
        <w:t>peptide pool</w:t>
      </w:r>
      <w:r w:rsidRPr="00C4060F">
        <w:rPr>
          <w:color w:val="auto"/>
          <w:lang w:eastAsia="zh-CN"/>
        </w:rPr>
        <w:t xml:space="preserve"> Core09 are 2.715% and 0.973% respectively, so both TNF-α secreting CD4 T-cell response and IFN-γ secreting CD4 T-cell response for this </w:t>
      </w:r>
      <w:r w:rsidR="006E32C1">
        <w:rPr>
          <w:color w:val="auto"/>
          <w:lang w:eastAsia="zh-CN"/>
        </w:rPr>
        <w:t>peptide pool</w:t>
      </w:r>
      <w:r w:rsidRPr="00C4060F">
        <w:rPr>
          <w:color w:val="auto"/>
          <w:lang w:eastAsia="zh-CN"/>
        </w:rPr>
        <w:t xml:space="preserve"> are considered as positive.</w:t>
      </w:r>
    </w:p>
    <w:p w14:paraId="1DB9AD9F" w14:textId="77777777" w:rsidR="00E5125B" w:rsidRPr="00C4060F" w:rsidRDefault="00E5125B" w:rsidP="0001526A">
      <w:pPr>
        <w:rPr>
          <w:color w:val="auto"/>
          <w:lang w:eastAsia="zh-CN"/>
        </w:rPr>
      </w:pPr>
    </w:p>
    <w:p w14:paraId="77467F08" w14:textId="57D678EF" w:rsidR="00527A05" w:rsidRPr="00C4060F" w:rsidRDefault="00527A05" w:rsidP="0001526A">
      <w:pPr>
        <w:rPr>
          <w:color w:val="auto"/>
          <w:lang w:eastAsia="zh-CN"/>
        </w:rPr>
      </w:pPr>
      <w:r w:rsidRPr="00C4060F">
        <w:rPr>
          <w:color w:val="auto"/>
          <w:lang w:eastAsia="zh-CN"/>
        </w:rPr>
        <w:t>As demon</w:t>
      </w:r>
      <w:r w:rsidR="00D87CEE" w:rsidRPr="00C4060F">
        <w:rPr>
          <w:color w:val="auto"/>
          <w:lang w:eastAsia="zh-CN"/>
        </w:rPr>
        <w:t xml:space="preserve">strated in </w:t>
      </w:r>
      <w:r w:rsidR="00D87CEE" w:rsidRPr="004302DB">
        <w:rPr>
          <w:b/>
          <w:bCs/>
          <w:color w:val="auto"/>
          <w:lang w:eastAsia="zh-CN"/>
        </w:rPr>
        <w:t>Figure 2</w:t>
      </w:r>
      <w:r w:rsidRPr="00C4060F">
        <w:rPr>
          <w:color w:val="auto"/>
          <w:lang w:eastAsia="zh-CN"/>
        </w:rPr>
        <w:t xml:space="preserve">, positive wells are indicated with gray background. When calculating HBV core-specific TNF-α secreting CD4 T-cell response rate, data of </w:t>
      </w:r>
      <w:r w:rsidR="006E32C1">
        <w:rPr>
          <w:color w:val="auto"/>
          <w:lang w:eastAsia="zh-CN"/>
        </w:rPr>
        <w:t>peptide pools</w:t>
      </w:r>
      <w:r w:rsidRPr="00C4060F">
        <w:rPr>
          <w:color w:val="auto"/>
          <w:lang w:eastAsia="zh-CN"/>
        </w:rPr>
        <w:t xml:space="preserve"> Core01, Core02, Core04, Core05, Core06, Core07, Core08, Core09, and Core10 should be included</w:t>
      </w:r>
      <w:r w:rsidR="004302DB">
        <w:rPr>
          <w:color w:val="auto"/>
          <w:lang w:eastAsia="zh-CN"/>
        </w:rPr>
        <w:t>. W</w:t>
      </w:r>
      <w:r w:rsidRPr="00C4060F">
        <w:rPr>
          <w:color w:val="auto"/>
          <w:lang w:eastAsia="zh-CN"/>
        </w:rPr>
        <w:t xml:space="preserve">hen calculating HBV core-specific IFN-γ secreting CD4 T-cell response rate, data of </w:t>
      </w:r>
      <w:r w:rsidR="006E32C1">
        <w:rPr>
          <w:color w:val="auto"/>
          <w:lang w:eastAsia="zh-CN"/>
        </w:rPr>
        <w:t>peptide pools</w:t>
      </w:r>
      <w:r w:rsidRPr="00C4060F">
        <w:rPr>
          <w:color w:val="auto"/>
          <w:lang w:eastAsia="zh-CN"/>
        </w:rPr>
        <w:t xml:space="preserve"> Core01, Core02, Core03, Core04, Core05, Core06, Core07, Core08, Core09, and Core10 </w:t>
      </w:r>
      <w:r w:rsidR="00D87CEE" w:rsidRPr="00C4060F">
        <w:rPr>
          <w:color w:val="auto"/>
          <w:lang w:eastAsia="zh-CN"/>
        </w:rPr>
        <w:t>are</w:t>
      </w:r>
      <w:r w:rsidRPr="00C4060F">
        <w:rPr>
          <w:color w:val="auto"/>
          <w:lang w:eastAsia="zh-CN"/>
        </w:rPr>
        <w:t xml:space="preserve"> included.</w:t>
      </w:r>
    </w:p>
    <w:p w14:paraId="668440AD" w14:textId="77777777" w:rsidR="00E5125B" w:rsidRPr="00C4060F" w:rsidRDefault="00E5125B" w:rsidP="0001526A">
      <w:pPr>
        <w:rPr>
          <w:color w:val="auto"/>
          <w:lang w:eastAsia="zh-CN"/>
        </w:rPr>
      </w:pPr>
    </w:p>
    <w:p w14:paraId="7AB226E7" w14:textId="3CD59534" w:rsidR="00527A05" w:rsidRPr="00C4060F" w:rsidRDefault="00527A05" w:rsidP="0001526A">
      <w:pPr>
        <w:rPr>
          <w:color w:val="auto"/>
          <w:lang w:eastAsia="zh-CN"/>
        </w:rPr>
      </w:pPr>
      <w:r w:rsidRPr="00C4060F">
        <w:rPr>
          <w:color w:val="auto"/>
          <w:lang w:eastAsia="zh-CN"/>
        </w:rPr>
        <w:t xml:space="preserve">As demonstrated in </w:t>
      </w:r>
      <w:r w:rsidRPr="004302DB">
        <w:rPr>
          <w:b/>
          <w:bCs/>
          <w:color w:val="auto"/>
          <w:lang w:eastAsia="zh-CN"/>
        </w:rPr>
        <w:t xml:space="preserve">Figure </w:t>
      </w:r>
      <w:r w:rsidR="00EB0E2E" w:rsidRPr="004302DB">
        <w:rPr>
          <w:b/>
          <w:bCs/>
          <w:color w:val="auto"/>
          <w:lang w:eastAsia="zh-CN"/>
        </w:rPr>
        <w:t>3</w:t>
      </w:r>
      <w:r w:rsidRPr="00C4060F">
        <w:rPr>
          <w:color w:val="auto"/>
          <w:lang w:eastAsia="zh-CN"/>
        </w:rPr>
        <w:t xml:space="preserve">, candidate peptides for epitope identification are indicated </w:t>
      </w:r>
      <w:r w:rsidR="006E32C1">
        <w:rPr>
          <w:color w:val="auto"/>
          <w:lang w:eastAsia="zh-CN"/>
        </w:rPr>
        <w:t>in</w:t>
      </w:r>
      <w:r w:rsidRPr="00C4060F">
        <w:rPr>
          <w:color w:val="auto"/>
          <w:lang w:eastAsia="zh-CN"/>
        </w:rPr>
        <w:t xml:space="preserve"> red. Core01 has the highest response rate for both TNF-α secreting CD4 T cells and IFN-γ secreting CD4 T cells in column peptide</w:t>
      </w:r>
      <w:r w:rsidR="006E32C1">
        <w:rPr>
          <w:color w:val="auto"/>
          <w:lang w:eastAsia="zh-CN"/>
        </w:rPr>
        <w:t xml:space="preserve"> </w:t>
      </w:r>
      <w:r w:rsidRPr="00C4060F">
        <w:rPr>
          <w:color w:val="auto"/>
          <w:lang w:eastAsia="zh-CN"/>
        </w:rPr>
        <w:t>pools</w:t>
      </w:r>
      <w:r w:rsidR="006E32C1">
        <w:rPr>
          <w:color w:val="auto"/>
          <w:lang w:eastAsia="zh-CN"/>
        </w:rPr>
        <w:t>. P</w:t>
      </w:r>
      <w:r w:rsidRPr="00C4060F">
        <w:rPr>
          <w:color w:val="auto"/>
          <w:lang w:eastAsia="zh-CN"/>
        </w:rPr>
        <w:t>eptides C1-15, C31-45, C61-75, and C91-105 in this peptide</w:t>
      </w:r>
      <w:r w:rsidR="004302DB">
        <w:rPr>
          <w:color w:val="auto"/>
          <w:lang w:eastAsia="zh-CN"/>
        </w:rPr>
        <w:t xml:space="preserve"> </w:t>
      </w:r>
      <w:r w:rsidRPr="00C4060F">
        <w:rPr>
          <w:color w:val="auto"/>
          <w:lang w:eastAsia="zh-CN"/>
        </w:rPr>
        <w:t>pool are set as candidate peptides as the row peptide</w:t>
      </w:r>
      <w:r w:rsidR="006E32C1">
        <w:rPr>
          <w:color w:val="auto"/>
          <w:lang w:eastAsia="zh-CN"/>
        </w:rPr>
        <w:t xml:space="preserve"> </w:t>
      </w:r>
      <w:r w:rsidRPr="00C4060F">
        <w:rPr>
          <w:color w:val="auto"/>
          <w:lang w:eastAsia="zh-CN"/>
        </w:rPr>
        <w:t>pools containing those peptides also shows positive result</w:t>
      </w:r>
      <w:r w:rsidR="006E32C1">
        <w:rPr>
          <w:color w:val="auto"/>
          <w:lang w:eastAsia="zh-CN"/>
        </w:rPr>
        <w:t>s</w:t>
      </w:r>
      <w:r w:rsidRPr="00C4060F">
        <w:rPr>
          <w:color w:val="auto"/>
          <w:lang w:eastAsia="zh-CN"/>
        </w:rPr>
        <w:t xml:space="preserve"> in T-cell response</w:t>
      </w:r>
      <w:r w:rsidR="006E32C1">
        <w:rPr>
          <w:color w:val="auto"/>
          <w:lang w:eastAsia="zh-CN"/>
        </w:rPr>
        <w:t>. T</w:t>
      </w:r>
      <w:r w:rsidRPr="00C4060F">
        <w:rPr>
          <w:color w:val="auto"/>
          <w:lang w:eastAsia="zh-CN"/>
        </w:rPr>
        <w:t xml:space="preserve">he PBMCs expanded with the </w:t>
      </w:r>
      <w:r w:rsidR="006E32C1">
        <w:rPr>
          <w:color w:val="auto"/>
          <w:lang w:eastAsia="zh-CN"/>
        </w:rPr>
        <w:t>peptide pools</w:t>
      </w:r>
      <w:r w:rsidRPr="00C4060F">
        <w:rPr>
          <w:color w:val="auto"/>
          <w:lang w:eastAsia="zh-CN"/>
        </w:rPr>
        <w:t xml:space="preserve"> Core07, Core08, Core09, and Core10 are used for epitope identification of peptides C1-15, C31-45, C61-75, and </w:t>
      </w:r>
      <w:r w:rsidRPr="00C4060F">
        <w:rPr>
          <w:color w:val="auto"/>
          <w:lang w:eastAsia="zh-CN"/>
        </w:rPr>
        <w:lastRenderedPageBreak/>
        <w:t>C91-105, respectively</w:t>
      </w:r>
      <w:r w:rsidR="006E32C1">
        <w:rPr>
          <w:color w:val="auto"/>
          <w:lang w:eastAsia="zh-CN"/>
        </w:rPr>
        <w:t>.</w:t>
      </w:r>
      <w:r w:rsidRPr="00C4060F">
        <w:rPr>
          <w:color w:val="auto"/>
          <w:lang w:eastAsia="zh-CN"/>
        </w:rPr>
        <w:t xml:space="preserve"> Core09 has the highest response rate for both TNF-α secreting CD4 T cells and IFN-γ secreting CD4 T cells in row peptide pools</w:t>
      </w:r>
      <w:r w:rsidR="006E32C1">
        <w:rPr>
          <w:color w:val="auto"/>
          <w:lang w:eastAsia="zh-CN"/>
        </w:rPr>
        <w:t>. P</w:t>
      </w:r>
      <w:r w:rsidRPr="00C4060F">
        <w:rPr>
          <w:color w:val="auto"/>
          <w:lang w:eastAsia="zh-CN"/>
        </w:rPr>
        <w:t>eptides C61-75, C66-80, C71-85, C76-90, C81-95, and C86-100 in this peptide</w:t>
      </w:r>
      <w:r w:rsidR="006E32C1">
        <w:rPr>
          <w:color w:val="auto"/>
          <w:lang w:eastAsia="zh-CN"/>
        </w:rPr>
        <w:t xml:space="preserve"> </w:t>
      </w:r>
      <w:r w:rsidRPr="00C4060F">
        <w:rPr>
          <w:color w:val="auto"/>
          <w:lang w:eastAsia="zh-CN"/>
        </w:rPr>
        <w:t>pool are set as candidate peptides as the column peptide</w:t>
      </w:r>
      <w:r w:rsidR="006E32C1">
        <w:rPr>
          <w:color w:val="auto"/>
          <w:lang w:eastAsia="zh-CN"/>
        </w:rPr>
        <w:t xml:space="preserve"> </w:t>
      </w:r>
      <w:r w:rsidRPr="00C4060F">
        <w:rPr>
          <w:color w:val="auto"/>
          <w:lang w:eastAsia="zh-CN"/>
        </w:rPr>
        <w:t>pools containing those peptides also shows positive result in T-cell response</w:t>
      </w:r>
      <w:r w:rsidR="006E32C1">
        <w:rPr>
          <w:color w:val="auto"/>
          <w:lang w:eastAsia="zh-CN"/>
        </w:rPr>
        <w:t>. The</w:t>
      </w:r>
      <w:r w:rsidRPr="00C4060F">
        <w:rPr>
          <w:color w:val="auto"/>
          <w:lang w:eastAsia="zh-CN"/>
        </w:rPr>
        <w:t xml:space="preserve"> PBMCs expanded with the </w:t>
      </w:r>
      <w:r w:rsidR="006E32C1">
        <w:rPr>
          <w:color w:val="auto"/>
          <w:lang w:eastAsia="zh-CN"/>
        </w:rPr>
        <w:t>peptide pools</w:t>
      </w:r>
      <w:r w:rsidRPr="00C4060F">
        <w:rPr>
          <w:color w:val="auto"/>
          <w:lang w:eastAsia="zh-CN"/>
        </w:rPr>
        <w:t xml:space="preserve"> Core01, Core02, Core03, Core04, Core05, and Core06 are used for epitope identification of peptides C61-75, C66-80, C71-85, C76-90, C81-</w:t>
      </w:r>
      <w:proofErr w:type="gramStart"/>
      <w:r w:rsidRPr="00C4060F">
        <w:rPr>
          <w:color w:val="auto"/>
          <w:lang w:eastAsia="zh-CN"/>
        </w:rPr>
        <w:t>95</w:t>
      </w:r>
      <w:proofErr w:type="gramEnd"/>
      <w:r w:rsidRPr="00C4060F">
        <w:rPr>
          <w:color w:val="auto"/>
          <w:lang w:eastAsia="zh-CN"/>
        </w:rPr>
        <w:t xml:space="preserve"> and C86-100, respectively.</w:t>
      </w:r>
    </w:p>
    <w:p w14:paraId="1F8B6800" w14:textId="77777777" w:rsidR="00E5125B" w:rsidRPr="00C4060F" w:rsidRDefault="00E5125B" w:rsidP="0001526A">
      <w:pPr>
        <w:rPr>
          <w:color w:val="auto"/>
          <w:lang w:eastAsia="zh-CN"/>
        </w:rPr>
      </w:pPr>
    </w:p>
    <w:p w14:paraId="42219A0C" w14:textId="50E74526" w:rsidR="00527A05" w:rsidRPr="00C4060F" w:rsidRDefault="008D67EF" w:rsidP="0001526A">
      <w:pPr>
        <w:rPr>
          <w:color w:val="auto"/>
          <w:lang w:eastAsia="zh-CN"/>
        </w:rPr>
      </w:pPr>
      <w:r w:rsidRPr="00C4060F">
        <w:rPr>
          <w:color w:val="auto"/>
          <w:lang w:eastAsia="zh-CN"/>
        </w:rPr>
        <w:t xml:space="preserve">As demonstrated in </w:t>
      </w:r>
      <w:r w:rsidRPr="006E32C1">
        <w:rPr>
          <w:b/>
          <w:bCs/>
          <w:color w:val="auto"/>
          <w:lang w:eastAsia="zh-CN"/>
        </w:rPr>
        <w:t>Figure 4</w:t>
      </w:r>
      <w:r w:rsidR="006E32C1">
        <w:rPr>
          <w:color w:val="auto"/>
          <w:lang w:eastAsia="zh-CN"/>
        </w:rPr>
        <w:t>,</w:t>
      </w:r>
      <w:r w:rsidR="00527A05" w:rsidRPr="00C4060F">
        <w:rPr>
          <w:color w:val="auto"/>
          <w:lang w:eastAsia="zh-CN"/>
        </w:rPr>
        <w:t xml:space="preserve"> for peptide</w:t>
      </w:r>
      <w:r w:rsidR="006E32C1">
        <w:rPr>
          <w:color w:val="auto"/>
          <w:lang w:eastAsia="zh-CN"/>
        </w:rPr>
        <w:t xml:space="preserve"> </w:t>
      </w:r>
      <w:r w:rsidR="00527A05" w:rsidRPr="00C4060F">
        <w:rPr>
          <w:color w:val="auto"/>
          <w:lang w:eastAsia="zh-CN"/>
        </w:rPr>
        <w:t>pool Core08 expanded PBMCs, after stimulation with peptide C31-45 pulsed BLCLs, the frequency of TNF-α secreting CD4 T cells and the frequency of IFN-γ secreting CD4 T cells are 0.995% and 0.131% respectively, which are more than 2 times higher than background controls (peptide C31-45 pulsed BLCLs with HLA-DR pre-blocking, DMSO pulsed BLCLs</w:t>
      </w:r>
      <w:r w:rsidR="006E32C1">
        <w:rPr>
          <w:color w:val="auto"/>
          <w:lang w:eastAsia="zh-CN"/>
        </w:rPr>
        <w:t>). Thus,</w:t>
      </w:r>
      <w:r w:rsidR="00527A05" w:rsidRPr="00C4060F">
        <w:rPr>
          <w:color w:val="auto"/>
          <w:lang w:eastAsia="zh-CN"/>
        </w:rPr>
        <w:t xml:space="preserve"> peptide C31-45 is verified as </w:t>
      </w:r>
      <w:proofErr w:type="gramStart"/>
      <w:r w:rsidR="006E32C1">
        <w:rPr>
          <w:color w:val="auto"/>
          <w:lang w:eastAsia="zh-CN"/>
        </w:rPr>
        <w:t>a</w:t>
      </w:r>
      <w:proofErr w:type="gramEnd"/>
      <w:r w:rsidR="006E32C1">
        <w:rPr>
          <w:color w:val="auto"/>
          <w:lang w:eastAsia="zh-CN"/>
        </w:rPr>
        <w:t xml:space="preserve"> </w:t>
      </w:r>
      <w:r w:rsidR="00527A05" w:rsidRPr="00C4060F">
        <w:rPr>
          <w:color w:val="auto"/>
          <w:lang w:eastAsia="zh-CN"/>
        </w:rPr>
        <w:t>HLA-DR restricted CD4 T-cell epitope</w:t>
      </w:r>
      <w:r w:rsidR="006E32C1">
        <w:rPr>
          <w:color w:val="auto"/>
          <w:lang w:eastAsia="zh-CN"/>
        </w:rPr>
        <w:t>. F</w:t>
      </w:r>
      <w:r w:rsidR="00527A05" w:rsidRPr="00C4060F">
        <w:rPr>
          <w:color w:val="auto"/>
          <w:lang w:eastAsia="zh-CN"/>
        </w:rPr>
        <w:t>or peptide</w:t>
      </w:r>
      <w:r w:rsidR="006E32C1">
        <w:rPr>
          <w:color w:val="auto"/>
          <w:lang w:eastAsia="zh-CN"/>
        </w:rPr>
        <w:t xml:space="preserve"> </w:t>
      </w:r>
      <w:r w:rsidR="00527A05" w:rsidRPr="00C4060F">
        <w:rPr>
          <w:color w:val="auto"/>
          <w:lang w:eastAsia="zh-CN"/>
        </w:rPr>
        <w:t>pool Core10 expanded PBMCs, after stimulation with peptide C91-105 pulsed BLCLs, the frequency of TNF-α secreting CD4 T cells and the frequency of IFN-γ secreting CD4 T cells are 0.221% and 0.000% respectively, which do not exceed the 2 times of background controls (peptide C91-45 pulsed BLCLs with HLA-DR pre-blocking, DMSO pulsed BLCLs), so peptide C91-105 is not verified as HLA-DR restricted CD4 T-cell epitope</w:t>
      </w:r>
      <w:r w:rsidR="00E5125B" w:rsidRPr="00C4060F">
        <w:rPr>
          <w:color w:val="auto"/>
          <w:lang w:eastAsia="zh-CN"/>
        </w:rPr>
        <w:t>.</w:t>
      </w:r>
    </w:p>
    <w:p w14:paraId="1E1F943B" w14:textId="77777777" w:rsidR="00E5125B" w:rsidRPr="00C4060F" w:rsidRDefault="00E5125B" w:rsidP="0001526A">
      <w:pPr>
        <w:rPr>
          <w:b/>
          <w:color w:val="auto"/>
          <w:lang w:eastAsia="zh-CN"/>
        </w:rPr>
      </w:pPr>
    </w:p>
    <w:p w14:paraId="3C86550E" w14:textId="77777777" w:rsidR="00527A05" w:rsidRPr="00C4060F" w:rsidRDefault="00527A05" w:rsidP="0001526A">
      <w:pPr>
        <w:rPr>
          <w:bCs/>
          <w:color w:val="auto"/>
          <w:lang w:eastAsia="zh-CN"/>
        </w:rPr>
      </w:pPr>
      <w:r w:rsidRPr="00C4060F">
        <w:rPr>
          <w:b/>
          <w:color w:val="auto"/>
        </w:rPr>
        <w:t>FIGURE AND TABLE LEGENDS:</w:t>
      </w:r>
    </w:p>
    <w:p w14:paraId="0879C7B7" w14:textId="04CC35D2" w:rsidR="00527A05" w:rsidRPr="006E32C1" w:rsidRDefault="00527A05" w:rsidP="0001526A">
      <w:pPr>
        <w:rPr>
          <w:b/>
          <w:bCs/>
          <w:color w:val="auto"/>
          <w:lang w:eastAsia="zh-CN"/>
        </w:rPr>
      </w:pPr>
      <w:r w:rsidRPr="00C4060F">
        <w:rPr>
          <w:b/>
          <w:color w:val="auto"/>
          <w:lang w:eastAsia="zh-CN"/>
        </w:rPr>
        <w:t>Figure 1</w:t>
      </w:r>
      <w:r w:rsidRPr="00C4060F">
        <w:rPr>
          <w:color w:val="auto"/>
          <w:lang w:eastAsia="zh-CN"/>
        </w:rPr>
        <w:t xml:space="preserve">: </w:t>
      </w:r>
      <w:r w:rsidR="008D67EF" w:rsidRPr="006E32C1">
        <w:rPr>
          <w:b/>
          <w:bCs/>
          <w:color w:val="auto"/>
          <w:lang w:eastAsia="zh-CN"/>
        </w:rPr>
        <w:t xml:space="preserve">Flow cytometry demonstration of TNF-α/IFN-γ secreting CD4 T cells in </w:t>
      </w:r>
      <w:r w:rsidR="006E32C1" w:rsidRPr="006E32C1">
        <w:rPr>
          <w:b/>
          <w:bCs/>
          <w:color w:val="auto"/>
          <w:lang w:eastAsia="zh-CN"/>
        </w:rPr>
        <w:t>peptide pools</w:t>
      </w:r>
      <w:r w:rsidR="008D67EF" w:rsidRPr="006E32C1">
        <w:rPr>
          <w:b/>
          <w:bCs/>
          <w:color w:val="auto"/>
          <w:lang w:eastAsia="zh-CN"/>
        </w:rPr>
        <w:t xml:space="preserve"> expanded PBMCs after stimulated with their respective </w:t>
      </w:r>
      <w:r w:rsidR="006E32C1" w:rsidRPr="006E32C1">
        <w:rPr>
          <w:b/>
          <w:bCs/>
          <w:color w:val="auto"/>
          <w:lang w:eastAsia="zh-CN"/>
        </w:rPr>
        <w:t>peptide pools</w:t>
      </w:r>
      <w:r w:rsidR="008D67EF" w:rsidRPr="006E32C1">
        <w:rPr>
          <w:b/>
          <w:bCs/>
          <w:color w:val="auto"/>
          <w:lang w:eastAsia="zh-CN"/>
        </w:rPr>
        <w:t>.</w:t>
      </w:r>
    </w:p>
    <w:p w14:paraId="42EF71DA" w14:textId="77777777" w:rsidR="00E5125B" w:rsidRPr="00C4060F" w:rsidRDefault="00E5125B" w:rsidP="0001526A">
      <w:pPr>
        <w:rPr>
          <w:b/>
          <w:color w:val="auto"/>
          <w:lang w:eastAsia="zh-CN"/>
        </w:rPr>
      </w:pPr>
    </w:p>
    <w:p w14:paraId="76EF7EC6" w14:textId="279A2160" w:rsidR="00527A05" w:rsidRPr="00C4060F" w:rsidRDefault="00527A05" w:rsidP="0001526A">
      <w:pPr>
        <w:rPr>
          <w:color w:val="auto"/>
          <w:lang w:eastAsia="zh-CN"/>
        </w:rPr>
      </w:pPr>
      <w:r w:rsidRPr="00C4060F">
        <w:rPr>
          <w:b/>
          <w:color w:val="auto"/>
          <w:lang w:eastAsia="zh-CN"/>
        </w:rPr>
        <w:t>Figure 2</w:t>
      </w:r>
      <w:r w:rsidRPr="00C4060F">
        <w:rPr>
          <w:color w:val="auto"/>
          <w:lang w:eastAsia="zh-CN"/>
        </w:rPr>
        <w:t xml:space="preserve">: </w:t>
      </w:r>
      <w:r w:rsidR="008D67EF" w:rsidRPr="006E32C1">
        <w:rPr>
          <w:b/>
          <w:bCs/>
          <w:color w:val="auto"/>
          <w:lang w:eastAsia="zh-CN"/>
        </w:rPr>
        <w:t>Demonstration of the analysis HBV core-specific TNF-α/IFN-γ secreting CD4 T cells.</w:t>
      </w:r>
      <w:r w:rsidR="008D67EF" w:rsidRPr="00C4060F">
        <w:rPr>
          <w:color w:val="auto"/>
          <w:lang w:eastAsia="zh-CN"/>
        </w:rPr>
        <w:t xml:space="preserve"> </w:t>
      </w:r>
      <w:r w:rsidR="00C91889" w:rsidRPr="00C4060F">
        <w:rPr>
          <w:color w:val="auto"/>
          <w:lang w:eastAsia="zh-CN"/>
        </w:rPr>
        <w:t>The TNF/DMSO and IFN-Ƴ/DMSO indicate the ratio</w:t>
      </w:r>
      <w:r w:rsidR="009A50D9" w:rsidRPr="00C4060F">
        <w:rPr>
          <w:color w:val="auto"/>
          <w:lang w:eastAsia="zh-CN"/>
        </w:rPr>
        <w:t>s</w:t>
      </w:r>
      <w:r w:rsidR="00C91889" w:rsidRPr="00C4060F">
        <w:rPr>
          <w:color w:val="auto"/>
          <w:lang w:eastAsia="zh-CN"/>
        </w:rPr>
        <w:t xml:space="preserve"> of </w:t>
      </w:r>
      <w:r w:rsidR="009A50D9" w:rsidRPr="00C4060F">
        <w:rPr>
          <w:color w:val="auto"/>
          <w:lang w:eastAsia="zh-CN"/>
        </w:rPr>
        <w:t>the frequencies</w:t>
      </w:r>
      <w:r w:rsidR="00C91889" w:rsidRPr="00C4060F">
        <w:rPr>
          <w:color w:val="auto"/>
          <w:lang w:eastAsia="zh-CN"/>
        </w:rPr>
        <w:t xml:space="preserve"> of TNF-α/IFN-γ secreting CD4 T cells in each well of peptide pool stimulated PBMCs divided by the frequency of TNF-α/IFN-γ secreting CD4 T cells in</w:t>
      </w:r>
      <w:r w:rsidR="009A50D9" w:rsidRPr="00C4060F">
        <w:rPr>
          <w:color w:val="auto"/>
          <w:lang w:eastAsia="zh-CN"/>
        </w:rPr>
        <w:t xml:space="preserve"> </w:t>
      </w:r>
      <w:r w:rsidR="007A13DC" w:rsidRPr="00C4060F">
        <w:rPr>
          <w:color w:val="auto"/>
          <w:lang w:eastAsia="zh-CN"/>
        </w:rPr>
        <w:t xml:space="preserve">the </w:t>
      </w:r>
      <w:r w:rsidR="00C91889" w:rsidRPr="00C4060F">
        <w:rPr>
          <w:color w:val="auto"/>
          <w:lang w:eastAsia="zh-CN"/>
        </w:rPr>
        <w:t xml:space="preserve">well of DMSO control. </w:t>
      </w:r>
      <w:r w:rsidR="008D67EF" w:rsidRPr="00C4060F">
        <w:rPr>
          <w:color w:val="auto"/>
          <w:lang w:eastAsia="zh-CN"/>
        </w:rPr>
        <w:t>Gray background indicates wells with positive CD4 T-cell response judged by comparison with background control.</w:t>
      </w:r>
    </w:p>
    <w:p w14:paraId="5CDF762D" w14:textId="77777777" w:rsidR="00E5125B" w:rsidRPr="00C4060F" w:rsidRDefault="00E5125B" w:rsidP="0001526A">
      <w:pPr>
        <w:rPr>
          <w:b/>
          <w:color w:val="auto"/>
          <w:lang w:eastAsia="zh-CN"/>
        </w:rPr>
      </w:pPr>
    </w:p>
    <w:p w14:paraId="03C58D1E" w14:textId="425EC2CF" w:rsidR="00527A05" w:rsidRPr="00C4060F" w:rsidRDefault="00527A05" w:rsidP="0001526A">
      <w:pPr>
        <w:rPr>
          <w:color w:val="auto"/>
          <w:lang w:eastAsia="zh-CN"/>
        </w:rPr>
      </w:pPr>
      <w:r w:rsidRPr="00C4060F">
        <w:rPr>
          <w:b/>
          <w:color w:val="auto"/>
          <w:lang w:eastAsia="zh-CN"/>
        </w:rPr>
        <w:t>Figure 3</w:t>
      </w:r>
      <w:r w:rsidRPr="00C4060F">
        <w:rPr>
          <w:color w:val="auto"/>
          <w:lang w:eastAsia="zh-CN"/>
        </w:rPr>
        <w:t xml:space="preserve">: </w:t>
      </w:r>
      <w:r w:rsidR="008D67EF" w:rsidRPr="006E32C1">
        <w:rPr>
          <w:b/>
          <w:bCs/>
          <w:color w:val="auto"/>
          <w:lang w:eastAsia="zh-CN"/>
        </w:rPr>
        <w:t>Demonstration of the screening of candidate peptides for epitope identification.</w:t>
      </w:r>
      <w:r w:rsidR="008D67EF" w:rsidRPr="00C4060F">
        <w:rPr>
          <w:color w:val="auto"/>
          <w:lang w:eastAsia="zh-CN"/>
        </w:rPr>
        <w:t xml:space="preserve"> </w:t>
      </w:r>
      <w:r w:rsidR="009A50D9" w:rsidRPr="00C4060F">
        <w:rPr>
          <w:color w:val="auto"/>
          <w:lang w:eastAsia="zh-CN"/>
        </w:rPr>
        <w:t xml:space="preserve">The TNF/DMSO and IFN-Ƴ/DMSO indicate the ratios of the frequencies of TNF-α/IFN-γ secreting CD4 T cells in each well of peptide pool stimulated PBMCs divided by the frequency of TNF-α/IFN-γ secreting CD4 T cells in </w:t>
      </w:r>
      <w:r w:rsidR="007A13DC" w:rsidRPr="00C4060F">
        <w:rPr>
          <w:color w:val="auto"/>
          <w:lang w:eastAsia="zh-CN"/>
        </w:rPr>
        <w:t xml:space="preserve">the </w:t>
      </w:r>
      <w:r w:rsidR="009A50D9" w:rsidRPr="00C4060F">
        <w:rPr>
          <w:color w:val="auto"/>
          <w:lang w:eastAsia="zh-CN"/>
        </w:rPr>
        <w:t xml:space="preserve">well of DMSO control. </w:t>
      </w:r>
      <w:r w:rsidR="008D67EF" w:rsidRPr="00C4060F">
        <w:rPr>
          <w:color w:val="auto"/>
          <w:lang w:eastAsia="zh-CN"/>
        </w:rPr>
        <w:t>Gray background indicates wells with positive CD4 T-cell response judged by comparison with background control. Peptides in red indicate candidate peptides according to the screening criteria.</w:t>
      </w:r>
    </w:p>
    <w:p w14:paraId="4CC37989" w14:textId="77777777" w:rsidR="00E5125B" w:rsidRPr="006E32C1" w:rsidRDefault="00E5125B" w:rsidP="0001526A">
      <w:pPr>
        <w:rPr>
          <w:b/>
          <w:color w:val="auto"/>
          <w:lang w:eastAsia="zh-CN"/>
        </w:rPr>
      </w:pPr>
    </w:p>
    <w:p w14:paraId="021A5B1C" w14:textId="77777777" w:rsidR="00527A05" w:rsidRPr="006E32C1" w:rsidRDefault="00527A05" w:rsidP="0001526A">
      <w:pPr>
        <w:rPr>
          <w:b/>
          <w:color w:val="auto"/>
          <w:lang w:eastAsia="zh-CN"/>
        </w:rPr>
      </w:pPr>
      <w:r w:rsidRPr="006E32C1">
        <w:rPr>
          <w:b/>
          <w:color w:val="auto"/>
          <w:lang w:eastAsia="zh-CN"/>
        </w:rPr>
        <w:lastRenderedPageBreak/>
        <w:t xml:space="preserve">Figure 4: </w:t>
      </w:r>
      <w:r w:rsidR="008D67EF" w:rsidRPr="006E32C1">
        <w:rPr>
          <w:b/>
          <w:color w:val="auto"/>
          <w:lang w:eastAsia="zh-CN"/>
        </w:rPr>
        <w:t>Flow cytometry demonstration of epitope identification results.</w:t>
      </w:r>
    </w:p>
    <w:p w14:paraId="4825E896" w14:textId="77777777" w:rsidR="00E5125B" w:rsidRPr="00C4060F" w:rsidRDefault="00E5125B" w:rsidP="0001526A">
      <w:pPr>
        <w:rPr>
          <w:b/>
          <w:color w:val="auto"/>
          <w:lang w:eastAsia="zh-CN"/>
        </w:rPr>
      </w:pPr>
    </w:p>
    <w:p w14:paraId="71588ACC" w14:textId="77777777" w:rsidR="00527A05" w:rsidRPr="00C4060F" w:rsidRDefault="00527A05" w:rsidP="0001526A">
      <w:pPr>
        <w:rPr>
          <w:b/>
          <w:color w:val="auto"/>
          <w:lang w:eastAsia="zh-CN"/>
        </w:rPr>
      </w:pPr>
      <w:r w:rsidRPr="00C4060F">
        <w:rPr>
          <w:b/>
          <w:color w:val="auto"/>
        </w:rPr>
        <w:t>DISCUSSION</w:t>
      </w:r>
      <w:r w:rsidRPr="00C4060F">
        <w:rPr>
          <w:b/>
          <w:bCs/>
          <w:color w:val="auto"/>
        </w:rPr>
        <w:t>:</w:t>
      </w:r>
    </w:p>
    <w:p w14:paraId="6CD1AFD0" w14:textId="096ED665" w:rsidR="00527A05" w:rsidRPr="00C4060F" w:rsidRDefault="00527A05" w:rsidP="0001526A">
      <w:pPr>
        <w:rPr>
          <w:color w:val="auto"/>
          <w:lang w:eastAsia="zh-CN"/>
        </w:rPr>
      </w:pPr>
      <w:r w:rsidRPr="00C4060F">
        <w:rPr>
          <w:color w:val="auto"/>
          <w:lang w:eastAsia="zh-CN"/>
        </w:rPr>
        <w:t xml:space="preserve">The most critical steps in this protocol are listed as follows: 1) enough PBMCs of high viability to start PBMCs expansion; 2) appropriate environment for PBMCs expansion; </w:t>
      </w:r>
      <w:r w:rsidR="006E32C1">
        <w:rPr>
          <w:color w:val="auto"/>
          <w:lang w:eastAsia="zh-CN"/>
        </w:rPr>
        <w:t xml:space="preserve">and </w:t>
      </w:r>
      <w:r w:rsidRPr="00C4060F">
        <w:rPr>
          <w:color w:val="auto"/>
          <w:lang w:eastAsia="zh-CN"/>
        </w:rPr>
        <w:t xml:space="preserve">3) complete removal of residual </w:t>
      </w:r>
      <w:r w:rsidR="006E32C1">
        <w:rPr>
          <w:color w:val="auto"/>
          <w:lang w:eastAsia="zh-CN"/>
        </w:rPr>
        <w:t>peptide pools</w:t>
      </w:r>
      <w:r w:rsidRPr="00C4060F">
        <w:rPr>
          <w:color w:val="auto"/>
          <w:lang w:eastAsia="zh-CN"/>
        </w:rPr>
        <w:t xml:space="preserve"> in PBMCs culture before epitope ident</w:t>
      </w:r>
      <w:r w:rsidR="00BE516C" w:rsidRPr="00C4060F">
        <w:rPr>
          <w:color w:val="auto"/>
          <w:lang w:eastAsia="zh-CN"/>
        </w:rPr>
        <w:t>ification.</w:t>
      </w:r>
    </w:p>
    <w:p w14:paraId="4352BA92" w14:textId="77777777" w:rsidR="00BE516C" w:rsidRPr="00C4060F" w:rsidRDefault="00BE516C" w:rsidP="0001526A">
      <w:pPr>
        <w:rPr>
          <w:color w:val="auto"/>
          <w:lang w:eastAsia="zh-CN"/>
        </w:rPr>
      </w:pPr>
    </w:p>
    <w:p w14:paraId="57CC3E31" w14:textId="0FC2A46A" w:rsidR="00527A05" w:rsidRPr="00C4060F" w:rsidRDefault="00527A05" w:rsidP="0001526A">
      <w:pPr>
        <w:rPr>
          <w:color w:val="auto"/>
          <w:lang w:eastAsia="zh-CN"/>
        </w:rPr>
      </w:pPr>
      <w:r w:rsidRPr="00C4060F">
        <w:rPr>
          <w:color w:val="auto"/>
          <w:lang w:eastAsia="zh-CN"/>
        </w:rPr>
        <w:t xml:space="preserve">All the analysis in this protocol depends on the robust proliferation of CD4 T cells. In general, the number of PBMCs after 10-day expansion will be 2-3 times of the initial number. The cell number and the viability of PBMCs are 2 key factors in PBMCs expansion. If the purpose is only to analyze HBV-specific CD4 T cells without epitope identification, it is reasonable to reduce the initial PBMCs number, especially when the volume of blood sample is limited. While, in our experience, successful PBMCs expansion </w:t>
      </w:r>
      <w:r w:rsidR="000C7521" w:rsidRPr="00C4060F">
        <w:rPr>
          <w:color w:val="auto"/>
          <w:lang w:eastAsia="zh-CN"/>
        </w:rPr>
        <w:t xml:space="preserve">could </w:t>
      </w:r>
      <w:r w:rsidRPr="00C4060F">
        <w:rPr>
          <w:color w:val="auto"/>
          <w:lang w:eastAsia="zh-CN"/>
        </w:rPr>
        <w:t>barely be obtained if the start number of PBMCs is below 1.5×10</w:t>
      </w:r>
      <w:r w:rsidRPr="00C4060F">
        <w:rPr>
          <w:color w:val="auto"/>
          <w:vertAlign w:val="superscript"/>
          <w:lang w:eastAsia="zh-CN"/>
        </w:rPr>
        <w:t>5</w:t>
      </w:r>
      <w:r w:rsidRPr="00C4060F">
        <w:rPr>
          <w:color w:val="auto"/>
          <w:lang w:eastAsia="zh-CN"/>
        </w:rPr>
        <w:t xml:space="preserve"> cells/well. When using fresh PBMCs for expansion, the cell viability will not be a problem.</w:t>
      </w:r>
      <w:r w:rsidR="006E32C1">
        <w:rPr>
          <w:color w:val="auto"/>
          <w:lang w:eastAsia="zh-CN"/>
        </w:rPr>
        <w:t xml:space="preserve"> </w:t>
      </w:r>
      <w:r w:rsidRPr="00C4060F">
        <w:rPr>
          <w:color w:val="auto"/>
          <w:lang w:eastAsia="zh-CN"/>
        </w:rPr>
        <w:t>While when using cryopreserved PBMCs for expansion, the cryopreservation and thawing of PBMCs should be conducted very carefully to m</w:t>
      </w:r>
      <w:r w:rsidR="00BE516C" w:rsidRPr="00C4060F">
        <w:rPr>
          <w:color w:val="auto"/>
          <w:lang w:eastAsia="zh-CN"/>
        </w:rPr>
        <w:t>aintain the viability of PBMCs.</w:t>
      </w:r>
    </w:p>
    <w:p w14:paraId="517ABEC2" w14:textId="77777777" w:rsidR="00BE516C" w:rsidRPr="00C4060F" w:rsidRDefault="00BE516C" w:rsidP="0001526A">
      <w:pPr>
        <w:rPr>
          <w:color w:val="auto"/>
          <w:lang w:eastAsia="zh-CN"/>
        </w:rPr>
      </w:pPr>
    </w:p>
    <w:p w14:paraId="6CF4F3F6" w14:textId="61B1FB0C" w:rsidR="00527A05" w:rsidRPr="00C4060F" w:rsidRDefault="00527A05" w:rsidP="0001526A">
      <w:pPr>
        <w:rPr>
          <w:color w:val="auto"/>
          <w:lang w:eastAsia="zh-CN"/>
        </w:rPr>
      </w:pPr>
      <w:r w:rsidRPr="00C4060F">
        <w:rPr>
          <w:color w:val="auto"/>
          <w:lang w:eastAsia="zh-CN"/>
        </w:rPr>
        <w:t xml:space="preserve">In functional analysis of HBV-specific T cells, IL-12 is </w:t>
      </w:r>
      <w:r w:rsidR="000C7521" w:rsidRPr="00C4060F">
        <w:rPr>
          <w:color w:val="auto"/>
          <w:lang w:eastAsia="zh-CN"/>
        </w:rPr>
        <w:t xml:space="preserve">usually </w:t>
      </w:r>
      <w:r w:rsidRPr="00C4060F">
        <w:rPr>
          <w:color w:val="auto"/>
          <w:lang w:eastAsia="zh-CN"/>
        </w:rPr>
        <w:t xml:space="preserve">used </w:t>
      </w:r>
      <w:r w:rsidR="00456E08" w:rsidRPr="00C4060F">
        <w:rPr>
          <w:color w:val="auto"/>
          <w:lang w:eastAsia="zh-CN"/>
        </w:rPr>
        <w:t xml:space="preserve">in PBMCs expansion </w:t>
      </w:r>
      <w:r w:rsidRPr="00C4060F">
        <w:rPr>
          <w:color w:val="auto"/>
          <w:lang w:eastAsia="zh-CN"/>
        </w:rPr>
        <w:t>to enhance the function of CD8 T cells. As IL-12 could induce differentiation of CD4 T cells towards CD4 T follicular helper cells, this cytokine should be avoided in functional analysis of HBV-specific CD4 T cells. In our protocol, only IL-2 (for T-cell expansion) and IL-7 (for T-cell survival) are supplemented to maintain the functional profile of HBV-specific CD4 T cells during expansion as intact as possible. We have tested 5 cytokines for functional analysis of HBV-specific CD4 T cells: TNF-α, IFN-γ, IL-4, IL-17, and IL-21. In our analyzed samples, TNF-α and IFN-γ are 2 major cytokines secreted by HBV-specific CD4 T cells</w:t>
      </w:r>
      <w:r w:rsidR="00C66F3D" w:rsidRPr="00C4060F">
        <w:rPr>
          <w:noProof/>
          <w:color w:val="auto"/>
          <w:vertAlign w:val="superscript"/>
          <w:lang w:eastAsia="zh-CN"/>
        </w:rPr>
        <w:t>16</w:t>
      </w:r>
      <w:r w:rsidRPr="00C4060F">
        <w:rPr>
          <w:color w:val="auto"/>
          <w:lang w:eastAsia="zh-CN"/>
        </w:rPr>
        <w:t xml:space="preserve">. In analyzing the functional profile of HBV-specific CD4 T cells, it is recommended to test as many as possible cytokines to obtain the detailed functional profile information. While in epitope identification, it is recommended to analyze only </w:t>
      </w:r>
      <w:r w:rsidR="000C7521" w:rsidRPr="00C4060F">
        <w:rPr>
          <w:color w:val="auto"/>
          <w:lang w:eastAsia="zh-CN"/>
        </w:rPr>
        <w:t xml:space="preserve">TNF-α and IFN-γ, </w:t>
      </w:r>
      <w:r w:rsidRPr="00C4060F">
        <w:rPr>
          <w:color w:val="auto"/>
          <w:lang w:eastAsia="zh-CN"/>
        </w:rPr>
        <w:t>for economic consideration.</w:t>
      </w:r>
    </w:p>
    <w:p w14:paraId="0C401C42" w14:textId="77777777" w:rsidR="00BE516C" w:rsidRPr="00C4060F" w:rsidRDefault="00BE516C" w:rsidP="0001526A">
      <w:pPr>
        <w:rPr>
          <w:color w:val="auto"/>
          <w:lang w:eastAsia="zh-CN"/>
        </w:rPr>
      </w:pPr>
    </w:p>
    <w:p w14:paraId="1288B512" w14:textId="588ECF37" w:rsidR="00527A05" w:rsidRPr="00C4060F" w:rsidRDefault="00527A05" w:rsidP="0001526A">
      <w:pPr>
        <w:rPr>
          <w:color w:val="auto"/>
          <w:lang w:eastAsia="zh-CN"/>
        </w:rPr>
      </w:pPr>
      <w:r w:rsidRPr="00C4060F">
        <w:rPr>
          <w:color w:val="auto"/>
          <w:lang w:eastAsia="zh-CN"/>
        </w:rPr>
        <w:t xml:space="preserve">Enough HBV-specific CD4 T cells </w:t>
      </w:r>
      <w:r w:rsidR="009760DC">
        <w:rPr>
          <w:color w:val="auto"/>
          <w:lang w:eastAsia="zh-CN"/>
        </w:rPr>
        <w:t>are</w:t>
      </w:r>
      <w:r w:rsidRPr="00C4060F">
        <w:rPr>
          <w:color w:val="auto"/>
          <w:lang w:eastAsia="zh-CN"/>
        </w:rPr>
        <w:t xml:space="preserve"> vital for successful epitope identification, so epitope identification should be considered in patients with high HBV-specific CD4 T-cell response, such as hepatitis B flare patients (strong HBV-specific TNF-α secreting CD4 T-cell response) and patients with viral clearance (strong HBV-specific IFN-γ CD4 T-cell response)</w:t>
      </w:r>
      <w:r w:rsidRPr="00C4060F">
        <w:rPr>
          <w:noProof/>
          <w:color w:val="auto"/>
          <w:vertAlign w:val="superscript"/>
          <w:lang w:eastAsia="zh-CN"/>
        </w:rPr>
        <w:t>1</w:t>
      </w:r>
      <w:r w:rsidR="00BC6E6B" w:rsidRPr="00C4060F">
        <w:rPr>
          <w:noProof/>
          <w:color w:val="auto"/>
          <w:vertAlign w:val="superscript"/>
          <w:lang w:eastAsia="zh-CN"/>
        </w:rPr>
        <w:t>6</w:t>
      </w:r>
      <w:r w:rsidRPr="00C4060F">
        <w:rPr>
          <w:color w:val="auto"/>
          <w:lang w:eastAsia="zh-CN"/>
        </w:rPr>
        <w:t xml:space="preserve">. It is very important to remove residual peptides in the </w:t>
      </w:r>
      <w:r w:rsidR="006E32C1">
        <w:rPr>
          <w:color w:val="auto"/>
          <w:lang w:eastAsia="zh-CN"/>
        </w:rPr>
        <w:t>peptide pool</w:t>
      </w:r>
      <w:r w:rsidRPr="00C4060F">
        <w:rPr>
          <w:color w:val="auto"/>
          <w:lang w:eastAsia="zh-CN"/>
        </w:rPr>
        <w:t xml:space="preserve"> expanded PBMCs by repeated washing</w:t>
      </w:r>
      <w:r w:rsidR="009760DC">
        <w:rPr>
          <w:color w:val="auto"/>
          <w:lang w:eastAsia="zh-CN"/>
        </w:rPr>
        <w:t xml:space="preserve"> </w:t>
      </w:r>
      <w:r w:rsidR="00456E08" w:rsidRPr="00C4060F">
        <w:rPr>
          <w:color w:val="auto"/>
          <w:lang w:eastAsia="zh-CN"/>
        </w:rPr>
        <w:t>before incubating the</w:t>
      </w:r>
      <w:r w:rsidRPr="00C4060F">
        <w:rPr>
          <w:color w:val="auto"/>
          <w:lang w:eastAsia="zh-CN"/>
        </w:rPr>
        <w:t xml:space="preserve">se cells with BLCLs for epitope identification. The residual peptides will bind to DMSO pulsed BLCLs, activate </w:t>
      </w:r>
      <w:proofErr w:type="gramStart"/>
      <w:r w:rsidRPr="00C4060F">
        <w:rPr>
          <w:color w:val="auto"/>
          <w:lang w:eastAsia="zh-CN"/>
        </w:rPr>
        <w:t>peptide-specific</w:t>
      </w:r>
      <w:proofErr w:type="gramEnd"/>
      <w:r w:rsidRPr="00C4060F">
        <w:rPr>
          <w:color w:val="auto"/>
          <w:lang w:eastAsia="zh-CN"/>
        </w:rPr>
        <w:t xml:space="preserve"> CD4 T cells, </w:t>
      </w:r>
      <w:r w:rsidR="00CA4647" w:rsidRPr="00C4060F">
        <w:rPr>
          <w:color w:val="auto"/>
          <w:lang w:eastAsia="zh-CN"/>
        </w:rPr>
        <w:t>hereby increase</w:t>
      </w:r>
      <w:r w:rsidRPr="00C4060F">
        <w:rPr>
          <w:color w:val="auto"/>
          <w:lang w:eastAsia="zh-CN"/>
        </w:rPr>
        <w:t xml:space="preserve"> the background </w:t>
      </w:r>
      <w:r w:rsidR="00456E08" w:rsidRPr="00C4060F">
        <w:rPr>
          <w:color w:val="auto"/>
          <w:lang w:eastAsia="zh-CN"/>
        </w:rPr>
        <w:t xml:space="preserve">to a </w:t>
      </w:r>
      <w:r w:rsidRPr="00C4060F">
        <w:rPr>
          <w:color w:val="auto"/>
          <w:lang w:eastAsia="zh-CN"/>
        </w:rPr>
        <w:t>great</w:t>
      </w:r>
      <w:r w:rsidR="00456E08" w:rsidRPr="00C4060F">
        <w:rPr>
          <w:color w:val="auto"/>
          <w:lang w:eastAsia="zh-CN"/>
        </w:rPr>
        <w:t xml:space="preserve"> extent</w:t>
      </w:r>
      <w:r w:rsidRPr="00C4060F">
        <w:rPr>
          <w:color w:val="auto"/>
          <w:lang w:eastAsia="zh-CN"/>
        </w:rPr>
        <w:t>.</w:t>
      </w:r>
    </w:p>
    <w:p w14:paraId="219723A5" w14:textId="77777777" w:rsidR="008400F8" w:rsidRPr="00C4060F" w:rsidRDefault="008400F8" w:rsidP="0001526A">
      <w:pPr>
        <w:rPr>
          <w:color w:val="auto"/>
          <w:lang w:eastAsia="zh-CN"/>
        </w:rPr>
      </w:pPr>
    </w:p>
    <w:p w14:paraId="3E3F3BF2" w14:textId="1BC8EC12" w:rsidR="008400F8" w:rsidRPr="00C4060F" w:rsidRDefault="008400F8" w:rsidP="0001526A">
      <w:pPr>
        <w:rPr>
          <w:color w:val="auto"/>
          <w:lang w:eastAsia="zh-CN"/>
        </w:rPr>
      </w:pPr>
      <w:r w:rsidRPr="00C4060F">
        <w:rPr>
          <w:color w:val="auto"/>
          <w:lang w:eastAsia="zh-CN"/>
        </w:rPr>
        <w:t xml:space="preserve">Some HBV antigen has variable sequences in different HBV genotypes (e.g., HBV surface antigen). A solution is to pre-determine the specific HBV genotypes in patients and design HBV genotype-specific </w:t>
      </w:r>
      <w:r w:rsidR="006E32C1">
        <w:rPr>
          <w:color w:val="auto"/>
          <w:lang w:eastAsia="zh-CN"/>
        </w:rPr>
        <w:t>peptide pools</w:t>
      </w:r>
      <w:r w:rsidRPr="00C4060F">
        <w:rPr>
          <w:color w:val="auto"/>
          <w:lang w:eastAsia="zh-CN"/>
        </w:rPr>
        <w:t xml:space="preserve"> for patients with different HBV genotypes. While</w:t>
      </w:r>
      <w:r w:rsidR="009760DC">
        <w:rPr>
          <w:color w:val="auto"/>
          <w:lang w:eastAsia="zh-CN"/>
        </w:rPr>
        <w:t xml:space="preserve"> the</w:t>
      </w:r>
      <w:r w:rsidRPr="00C4060F">
        <w:rPr>
          <w:color w:val="auto"/>
          <w:lang w:eastAsia="zh-CN"/>
        </w:rPr>
        <w:t xml:space="preserve"> HBV genotype is un-measurable in patients with low HBV viral loads (e.g., </w:t>
      </w:r>
      <w:proofErr w:type="spellStart"/>
      <w:r w:rsidRPr="00C4060F">
        <w:rPr>
          <w:color w:val="auto"/>
          <w:lang w:eastAsia="zh-CN"/>
        </w:rPr>
        <w:t>HBeAg</w:t>
      </w:r>
      <w:proofErr w:type="spellEnd"/>
      <w:r w:rsidRPr="00C4060F">
        <w:rPr>
          <w:color w:val="auto"/>
          <w:lang w:eastAsia="zh-CN"/>
        </w:rPr>
        <w:t xml:space="preserve"> negative patients with regular anti-viral treatment), in this scenario, the solution is to mix peptides from different HBV genotypes together into the same </w:t>
      </w:r>
      <w:r w:rsidR="006E32C1">
        <w:rPr>
          <w:color w:val="auto"/>
          <w:lang w:eastAsia="zh-CN"/>
        </w:rPr>
        <w:t>peptide pools</w:t>
      </w:r>
      <w:r w:rsidRPr="00C4060F">
        <w:rPr>
          <w:color w:val="auto"/>
          <w:lang w:eastAsia="zh-CN"/>
        </w:rPr>
        <w:t>, as we did in a previous study</w:t>
      </w:r>
      <w:r w:rsidRPr="00C4060F">
        <w:rPr>
          <w:color w:val="auto"/>
          <w:vertAlign w:val="superscript"/>
          <w:lang w:eastAsia="zh-CN"/>
        </w:rPr>
        <w:t>16</w:t>
      </w:r>
      <w:r w:rsidRPr="00C4060F">
        <w:rPr>
          <w:color w:val="auto"/>
          <w:lang w:eastAsia="zh-CN"/>
        </w:rPr>
        <w:t>. A drawback of this mixture strategy is that epitope might be identified as a peptide pair but not a single peptide, as some positions in the peptides matrix contain a peptide pair in the same fragment of the antigen.</w:t>
      </w:r>
    </w:p>
    <w:p w14:paraId="1AEB85F0" w14:textId="77777777" w:rsidR="00BE516C" w:rsidRPr="00C4060F" w:rsidRDefault="00BE516C" w:rsidP="0001526A">
      <w:pPr>
        <w:rPr>
          <w:color w:val="auto"/>
          <w:lang w:eastAsia="zh-CN"/>
        </w:rPr>
      </w:pPr>
    </w:p>
    <w:p w14:paraId="587E058D" w14:textId="5EF6232D" w:rsidR="00527A05" w:rsidRPr="00C4060F" w:rsidRDefault="00527A05" w:rsidP="0001526A">
      <w:pPr>
        <w:rPr>
          <w:color w:val="auto"/>
          <w:lang w:eastAsia="zh-CN"/>
        </w:rPr>
      </w:pPr>
      <w:r w:rsidRPr="00C4060F">
        <w:rPr>
          <w:color w:val="auto"/>
          <w:lang w:eastAsia="zh-CN"/>
        </w:rPr>
        <w:t xml:space="preserve">A major drawback in this method is the time-consuming 10-day PBMCs expansion. Currently, ex vivo analysis of cytokine secretion could not detect HBV-specific CD4 T cells in a reliable way. Using peptide pulsed allogeneic BLCLs as stimulators usually detected more </w:t>
      </w:r>
      <w:proofErr w:type="gramStart"/>
      <w:r w:rsidRPr="00C4060F">
        <w:rPr>
          <w:color w:val="auto"/>
          <w:lang w:eastAsia="zh-CN"/>
        </w:rPr>
        <w:t>peptide-specific</w:t>
      </w:r>
      <w:proofErr w:type="gramEnd"/>
      <w:r w:rsidRPr="00C4060F">
        <w:rPr>
          <w:color w:val="auto"/>
          <w:lang w:eastAsia="zh-CN"/>
        </w:rPr>
        <w:t xml:space="preserve"> CD4 T cells in </w:t>
      </w:r>
      <w:r w:rsidR="00171DB5" w:rsidRPr="00C4060F">
        <w:rPr>
          <w:color w:val="auto"/>
          <w:lang w:eastAsia="zh-CN"/>
        </w:rPr>
        <w:t xml:space="preserve">peptide </w:t>
      </w:r>
      <w:r w:rsidRPr="00C4060F">
        <w:rPr>
          <w:color w:val="auto"/>
          <w:lang w:eastAsia="zh-CN"/>
        </w:rPr>
        <w:t>expanded PBMCs, compared to simply stimulating with peptides</w:t>
      </w:r>
      <w:r w:rsidRPr="00C4060F">
        <w:rPr>
          <w:noProof/>
          <w:color w:val="auto"/>
          <w:vertAlign w:val="superscript"/>
          <w:lang w:eastAsia="zh-CN"/>
        </w:rPr>
        <w:t>1</w:t>
      </w:r>
      <w:r w:rsidR="00171DB5" w:rsidRPr="00C4060F">
        <w:rPr>
          <w:noProof/>
          <w:color w:val="auto"/>
          <w:vertAlign w:val="superscript"/>
          <w:lang w:eastAsia="zh-CN"/>
        </w:rPr>
        <w:t>6</w:t>
      </w:r>
      <w:r w:rsidRPr="00C4060F">
        <w:rPr>
          <w:color w:val="auto"/>
          <w:lang w:eastAsia="zh-CN"/>
        </w:rPr>
        <w:t xml:space="preserve">. It is worth </w:t>
      </w:r>
      <w:r w:rsidR="009760DC" w:rsidRPr="00C4060F">
        <w:rPr>
          <w:color w:val="auto"/>
          <w:lang w:eastAsia="zh-CN"/>
        </w:rPr>
        <w:t>investigat</w:t>
      </w:r>
      <w:r w:rsidR="009760DC">
        <w:rPr>
          <w:color w:val="auto"/>
          <w:lang w:eastAsia="zh-CN"/>
        </w:rPr>
        <w:t>ing</w:t>
      </w:r>
      <w:r w:rsidR="00AB4FD0" w:rsidRPr="00C4060F">
        <w:rPr>
          <w:color w:val="auto"/>
          <w:lang w:eastAsia="zh-CN"/>
        </w:rPr>
        <w:t xml:space="preserve"> whether using peptide</w:t>
      </w:r>
      <w:r w:rsidRPr="00C4060F">
        <w:rPr>
          <w:color w:val="auto"/>
          <w:lang w:eastAsia="zh-CN"/>
        </w:rPr>
        <w:t xml:space="preserve"> pulsed autologous B cells as antigen presentation cells could help to reliably detect HBV-specific CD4 T cells ex vivo.</w:t>
      </w:r>
    </w:p>
    <w:p w14:paraId="75A7E95B" w14:textId="77777777" w:rsidR="00BE516C" w:rsidRPr="00C4060F" w:rsidRDefault="00BE516C" w:rsidP="0001526A">
      <w:pPr>
        <w:pStyle w:val="NormalWeb"/>
        <w:spacing w:before="0" w:beforeAutospacing="0" w:after="0" w:afterAutospacing="0"/>
        <w:rPr>
          <w:b/>
          <w:bCs/>
          <w:color w:val="auto"/>
          <w:lang w:eastAsia="zh-CN"/>
        </w:rPr>
      </w:pPr>
    </w:p>
    <w:p w14:paraId="45B040EB" w14:textId="77777777" w:rsidR="00527A05" w:rsidRPr="00C4060F" w:rsidRDefault="00527A05" w:rsidP="0001526A">
      <w:pPr>
        <w:pStyle w:val="NormalWeb"/>
        <w:spacing w:before="0" w:beforeAutospacing="0" w:after="0" w:afterAutospacing="0"/>
        <w:rPr>
          <w:color w:val="auto"/>
        </w:rPr>
      </w:pPr>
      <w:r w:rsidRPr="00C4060F">
        <w:rPr>
          <w:b/>
          <w:bCs/>
          <w:color w:val="auto"/>
        </w:rPr>
        <w:t>ACKNOWLEDGMENTS:</w:t>
      </w:r>
    </w:p>
    <w:p w14:paraId="15B750C3" w14:textId="77777777" w:rsidR="00527A05" w:rsidRPr="00C4060F" w:rsidRDefault="00527A05" w:rsidP="0001526A">
      <w:pPr>
        <w:pStyle w:val="NormalWeb"/>
        <w:spacing w:before="0" w:beforeAutospacing="0" w:after="0" w:afterAutospacing="0"/>
        <w:rPr>
          <w:color w:val="auto"/>
          <w:lang w:eastAsia="zh-CN"/>
        </w:rPr>
      </w:pPr>
      <w:r w:rsidRPr="00C4060F">
        <w:rPr>
          <w:color w:val="auto"/>
          <w:lang w:eastAsia="zh-CN"/>
        </w:rPr>
        <w:t>This work was supported by National Natural Science Foundation of China (81930061), Chongqing Natural Science Foundation (cstc2019jcyj-zdxmX0004), and Chongqing Natural Science Foundation (cstc2019jcyj-bshX0039).</w:t>
      </w:r>
    </w:p>
    <w:p w14:paraId="34A21711" w14:textId="77777777" w:rsidR="00BE516C" w:rsidRPr="00C4060F" w:rsidRDefault="00BE516C" w:rsidP="0001526A">
      <w:pPr>
        <w:pStyle w:val="NormalWeb"/>
        <w:spacing w:before="0" w:beforeAutospacing="0" w:after="0" w:afterAutospacing="0"/>
        <w:rPr>
          <w:b/>
          <w:color w:val="auto"/>
          <w:lang w:eastAsia="zh-CN"/>
        </w:rPr>
      </w:pPr>
    </w:p>
    <w:p w14:paraId="495BB2EE" w14:textId="77777777" w:rsidR="00527A05" w:rsidRPr="00C4060F" w:rsidRDefault="00527A05" w:rsidP="0001526A">
      <w:pPr>
        <w:pStyle w:val="NormalWeb"/>
        <w:spacing w:before="0" w:beforeAutospacing="0" w:after="0" w:afterAutospacing="0"/>
        <w:rPr>
          <w:color w:val="auto"/>
        </w:rPr>
      </w:pPr>
      <w:r w:rsidRPr="00C4060F">
        <w:rPr>
          <w:b/>
          <w:color w:val="auto"/>
        </w:rPr>
        <w:t>DISCLOSURES</w:t>
      </w:r>
      <w:r w:rsidRPr="00C4060F">
        <w:rPr>
          <w:b/>
          <w:bCs/>
          <w:color w:val="auto"/>
        </w:rPr>
        <w:t xml:space="preserve">: </w:t>
      </w:r>
    </w:p>
    <w:p w14:paraId="5DEC2070" w14:textId="77777777" w:rsidR="00527A05" w:rsidRPr="00C4060F" w:rsidRDefault="00527A05" w:rsidP="0001526A">
      <w:pPr>
        <w:rPr>
          <w:color w:val="auto"/>
        </w:rPr>
      </w:pPr>
      <w:r w:rsidRPr="00C4060F">
        <w:rPr>
          <w:color w:val="auto"/>
        </w:rPr>
        <w:t>The authors have nothing to disclose.</w:t>
      </w:r>
    </w:p>
    <w:p w14:paraId="46A54992" w14:textId="77777777" w:rsidR="00BE516C" w:rsidRPr="00C4060F" w:rsidRDefault="00BE516C" w:rsidP="0001526A">
      <w:pPr>
        <w:rPr>
          <w:b/>
          <w:bCs/>
          <w:color w:val="auto"/>
          <w:lang w:eastAsia="zh-CN"/>
        </w:rPr>
      </w:pPr>
    </w:p>
    <w:p w14:paraId="4E043A8F" w14:textId="77777777" w:rsidR="00527A05" w:rsidRPr="00C4060F" w:rsidRDefault="00527A05" w:rsidP="0001526A">
      <w:pPr>
        <w:rPr>
          <w:b/>
          <w:bCs/>
          <w:color w:val="auto"/>
          <w:lang w:eastAsia="zh-CN"/>
        </w:rPr>
      </w:pPr>
      <w:r w:rsidRPr="00C4060F">
        <w:rPr>
          <w:b/>
          <w:bCs/>
          <w:color w:val="auto"/>
        </w:rPr>
        <w:t>REFERENCES:</w:t>
      </w:r>
    </w:p>
    <w:p w14:paraId="13475598" w14:textId="7FC08CA9" w:rsidR="00823FF7" w:rsidRPr="00C4060F" w:rsidRDefault="00823FF7" w:rsidP="0001526A">
      <w:pPr>
        <w:rPr>
          <w:color w:val="auto"/>
          <w:lang w:eastAsia="zh-CN"/>
        </w:rPr>
      </w:pPr>
      <w:r w:rsidRPr="00C4060F">
        <w:rPr>
          <w:color w:val="auto"/>
          <w:lang w:eastAsia="zh-CN"/>
        </w:rPr>
        <w:t>1</w:t>
      </w:r>
      <w:r w:rsidR="00BE516C" w:rsidRPr="00C4060F">
        <w:rPr>
          <w:color w:val="auto"/>
          <w:lang w:eastAsia="zh-CN"/>
        </w:rPr>
        <w:t xml:space="preserve">. </w:t>
      </w:r>
      <w:r w:rsidRPr="00C4060F">
        <w:rPr>
          <w:color w:val="auto"/>
          <w:lang w:eastAsia="zh-CN"/>
        </w:rPr>
        <w:t xml:space="preserve">Desmond, C. P., </w:t>
      </w:r>
      <w:proofErr w:type="spellStart"/>
      <w:r w:rsidRPr="00C4060F">
        <w:rPr>
          <w:color w:val="auto"/>
          <w:lang w:eastAsia="zh-CN"/>
        </w:rPr>
        <w:t>Bartholomeusz</w:t>
      </w:r>
      <w:proofErr w:type="spellEnd"/>
      <w:r w:rsidRPr="00C4060F">
        <w:rPr>
          <w:color w:val="auto"/>
          <w:lang w:eastAsia="zh-CN"/>
        </w:rPr>
        <w:t xml:space="preserve">, A., </w:t>
      </w:r>
      <w:proofErr w:type="spellStart"/>
      <w:r w:rsidRPr="00C4060F">
        <w:rPr>
          <w:color w:val="auto"/>
          <w:lang w:eastAsia="zh-CN"/>
        </w:rPr>
        <w:t>Gaudieri</w:t>
      </w:r>
      <w:proofErr w:type="spellEnd"/>
      <w:r w:rsidRPr="00C4060F">
        <w:rPr>
          <w:color w:val="auto"/>
          <w:lang w:eastAsia="zh-CN"/>
        </w:rPr>
        <w:t xml:space="preserve">, S., </w:t>
      </w:r>
      <w:proofErr w:type="spellStart"/>
      <w:r w:rsidRPr="00C4060F">
        <w:rPr>
          <w:color w:val="auto"/>
          <w:lang w:eastAsia="zh-CN"/>
        </w:rPr>
        <w:t>Revill</w:t>
      </w:r>
      <w:proofErr w:type="spellEnd"/>
      <w:r w:rsidRPr="00C4060F">
        <w:rPr>
          <w:color w:val="auto"/>
          <w:lang w:eastAsia="zh-CN"/>
        </w:rPr>
        <w:t>, P. A.</w:t>
      </w:r>
      <w:r w:rsidR="009760DC">
        <w:rPr>
          <w:color w:val="auto"/>
          <w:lang w:eastAsia="zh-CN"/>
        </w:rPr>
        <w:t xml:space="preserve">, </w:t>
      </w:r>
      <w:r w:rsidRPr="00C4060F">
        <w:rPr>
          <w:color w:val="auto"/>
          <w:lang w:eastAsia="zh-CN"/>
        </w:rPr>
        <w:t xml:space="preserve">Lewin, S. R. A systematic review of T-cell epitopes in hepatitis B virus: identification, genotypic variation and relevance to antiviral therapeutics. </w:t>
      </w:r>
      <w:r w:rsidRPr="009760DC">
        <w:rPr>
          <w:i/>
          <w:iCs/>
          <w:color w:val="auto"/>
          <w:lang w:eastAsia="zh-CN"/>
        </w:rPr>
        <w:t xml:space="preserve">Antiviral </w:t>
      </w:r>
      <w:r w:rsidR="009760DC" w:rsidRPr="009760DC">
        <w:rPr>
          <w:i/>
          <w:iCs/>
          <w:color w:val="auto"/>
          <w:lang w:eastAsia="zh-CN"/>
        </w:rPr>
        <w:t>T</w:t>
      </w:r>
      <w:r w:rsidRPr="009760DC">
        <w:rPr>
          <w:i/>
          <w:iCs/>
          <w:color w:val="auto"/>
          <w:lang w:eastAsia="zh-CN"/>
        </w:rPr>
        <w:t>herapy</w:t>
      </w:r>
      <w:r w:rsidR="009760DC">
        <w:rPr>
          <w:color w:val="auto"/>
          <w:lang w:eastAsia="zh-CN"/>
        </w:rPr>
        <w:t>.</w:t>
      </w:r>
      <w:r w:rsidRPr="00C4060F">
        <w:rPr>
          <w:color w:val="auto"/>
          <w:lang w:eastAsia="zh-CN"/>
        </w:rPr>
        <w:t xml:space="preserve"> </w:t>
      </w:r>
      <w:r w:rsidRPr="009760DC">
        <w:rPr>
          <w:b/>
          <w:bCs/>
          <w:color w:val="auto"/>
          <w:lang w:eastAsia="zh-CN"/>
        </w:rPr>
        <w:t>13</w:t>
      </w:r>
      <w:r w:rsidRPr="00C4060F">
        <w:rPr>
          <w:color w:val="auto"/>
          <w:lang w:eastAsia="zh-CN"/>
        </w:rPr>
        <w:t>, 161-175 (2008).</w:t>
      </w:r>
    </w:p>
    <w:p w14:paraId="32AB734C" w14:textId="77777777" w:rsidR="00BE516C" w:rsidRPr="00C4060F" w:rsidRDefault="00BE516C" w:rsidP="0001526A">
      <w:pPr>
        <w:rPr>
          <w:color w:val="auto"/>
          <w:lang w:eastAsia="zh-CN"/>
        </w:rPr>
      </w:pPr>
    </w:p>
    <w:p w14:paraId="76730498" w14:textId="0C3D06AE" w:rsidR="00823FF7" w:rsidRPr="00C4060F" w:rsidRDefault="00823FF7" w:rsidP="0001526A">
      <w:pPr>
        <w:rPr>
          <w:color w:val="auto"/>
          <w:lang w:eastAsia="zh-CN"/>
        </w:rPr>
      </w:pPr>
      <w:r w:rsidRPr="00C4060F">
        <w:rPr>
          <w:color w:val="auto"/>
          <w:lang w:eastAsia="zh-CN"/>
        </w:rPr>
        <w:t>2</w:t>
      </w:r>
      <w:r w:rsidR="00BE516C" w:rsidRPr="00C4060F">
        <w:rPr>
          <w:color w:val="auto"/>
          <w:lang w:eastAsia="zh-CN"/>
        </w:rPr>
        <w:t xml:space="preserve">. </w:t>
      </w:r>
      <w:proofErr w:type="spellStart"/>
      <w:r w:rsidRPr="00C4060F">
        <w:rPr>
          <w:color w:val="auto"/>
          <w:lang w:eastAsia="zh-CN"/>
        </w:rPr>
        <w:t>Mizukoshi</w:t>
      </w:r>
      <w:proofErr w:type="spellEnd"/>
      <w:r w:rsidRPr="00C4060F">
        <w:rPr>
          <w:color w:val="auto"/>
          <w:lang w:eastAsia="zh-CN"/>
        </w:rPr>
        <w:t xml:space="preserve">, E. et al. Cellular immune responses to the hepatitis B virus polymerase. </w:t>
      </w:r>
      <w:r w:rsidRPr="009760DC">
        <w:rPr>
          <w:i/>
          <w:iCs/>
          <w:color w:val="auto"/>
          <w:lang w:eastAsia="zh-CN"/>
        </w:rPr>
        <w:t xml:space="preserve">Journal of </w:t>
      </w:r>
      <w:r w:rsidR="009760DC">
        <w:rPr>
          <w:i/>
          <w:iCs/>
          <w:color w:val="auto"/>
          <w:lang w:eastAsia="zh-CN"/>
        </w:rPr>
        <w:t>I</w:t>
      </w:r>
      <w:r w:rsidRPr="009760DC">
        <w:rPr>
          <w:i/>
          <w:iCs/>
          <w:color w:val="auto"/>
          <w:lang w:eastAsia="zh-CN"/>
        </w:rPr>
        <w:t>mmunology (Baltimore, Md.: 1950)</w:t>
      </w:r>
      <w:r w:rsidR="009760DC">
        <w:rPr>
          <w:color w:val="auto"/>
          <w:lang w:eastAsia="zh-CN"/>
        </w:rPr>
        <w:t>.</w:t>
      </w:r>
      <w:r w:rsidRPr="00C4060F">
        <w:rPr>
          <w:color w:val="auto"/>
          <w:lang w:eastAsia="zh-CN"/>
        </w:rPr>
        <w:t xml:space="preserve"> </w:t>
      </w:r>
      <w:r w:rsidRPr="009760DC">
        <w:rPr>
          <w:b/>
          <w:bCs/>
          <w:color w:val="auto"/>
          <w:lang w:eastAsia="zh-CN"/>
        </w:rPr>
        <w:t>173</w:t>
      </w:r>
      <w:r w:rsidRPr="00C4060F">
        <w:rPr>
          <w:color w:val="auto"/>
          <w:lang w:eastAsia="zh-CN"/>
        </w:rPr>
        <w:t>, 5863-5871 (2004).</w:t>
      </w:r>
    </w:p>
    <w:p w14:paraId="35844131" w14:textId="77777777" w:rsidR="00BE516C" w:rsidRPr="00C4060F" w:rsidRDefault="00BE516C" w:rsidP="0001526A">
      <w:pPr>
        <w:rPr>
          <w:color w:val="auto"/>
          <w:lang w:eastAsia="zh-CN"/>
        </w:rPr>
      </w:pPr>
    </w:p>
    <w:p w14:paraId="2DC5C5F3" w14:textId="0813B105" w:rsidR="00823FF7" w:rsidRPr="00C4060F" w:rsidRDefault="00823FF7" w:rsidP="0001526A">
      <w:pPr>
        <w:rPr>
          <w:color w:val="auto"/>
          <w:lang w:eastAsia="zh-CN"/>
        </w:rPr>
      </w:pPr>
      <w:r w:rsidRPr="00C4060F">
        <w:rPr>
          <w:color w:val="auto"/>
          <w:lang w:eastAsia="zh-CN"/>
        </w:rPr>
        <w:t>3</w:t>
      </w:r>
      <w:r w:rsidR="00BE516C" w:rsidRPr="00C4060F">
        <w:rPr>
          <w:color w:val="auto"/>
          <w:lang w:eastAsia="zh-CN"/>
        </w:rPr>
        <w:t xml:space="preserve">. </w:t>
      </w:r>
      <w:proofErr w:type="spellStart"/>
      <w:r w:rsidRPr="00C4060F">
        <w:rPr>
          <w:color w:val="auto"/>
          <w:lang w:eastAsia="zh-CN"/>
        </w:rPr>
        <w:t>Wölfl</w:t>
      </w:r>
      <w:proofErr w:type="spellEnd"/>
      <w:r w:rsidRPr="00C4060F">
        <w:rPr>
          <w:color w:val="auto"/>
          <w:lang w:eastAsia="zh-CN"/>
        </w:rPr>
        <w:t xml:space="preserve">, M., </w:t>
      </w:r>
      <w:proofErr w:type="spellStart"/>
      <w:r w:rsidRPr="00C4060F">
        <w:rPr>
          <w:color w:val="auto"/>
          <w:lang w:eastAsia="zh-CN"/>
        </w:rPr>
        <w:t>Kuball</w:t>
      </w:r>
      <w:proofErr w:type="spellEnd"/>
      <w:r w:rsidRPr="00C4060F">
        <w:rPr>
          <w:color w:val="auto"/>
          <w:lang w:eastAsia="zh-CN"/>
        </w:rPr>
        <w:t xml:space="preserve">, J., </w:t>
      </w:r>
      <w:proofErr w:type="spellStart"/>
      <w:r w:rsidRPr="00C4060F">
        <w:rPr>
          <w:color w:val="auto"/>
          <w:lang w:eastAsia="zh-CN"/>
        </w:rPr>
        <w:t>Eyrich</w:t>
      </w:r>
      <w:proofErr w:type="spellEnd"/>
      <w:r w:rsidRPr="00C4060F">
        <w:rPr>
          <w:color w:val="auto"/>
          <w:lang w:eastAsia="zh-CN"/>
        </w:rPr>
        <w:t>, M., Schlegel, P. G.</w:t>
      </w:r>
      <w:r w:rsidR="009760DC">
        <w:rPr>
          <w:color w:val="auto"/>
          <w:lang w:eastAsia="zh-CN"/>
        </w:rPr>
        <w:t xml:space="preserve">, </w:t>
      </w:r>
      <w:r w:rsidRPr="00C4060F">
        <w:rPr>
          <w:color w:val="auto"/>
          <w:lang w:eastAsia="zh-CN"/>
        </w:rPr>
        <w:t xml:space="preserve">Greenberg, P. D. Use of CD137 to study the full repertoire of CD8+ T cells without the </w:t>
      </w:r>
      <w:proofErr w:type="gramStart"/>
      <w:r w:rsidRPr="00C4060F">
        <w:rPr>
          <w:color w:val="auto"/>
          <w:lang w:eastAsia="zh-CN"/>
        </w:rPr>
        <w:t>need to know</w:t>
      </w:r>
      <w:proofErr w:type="gramEnd"/>
      <w:r w:rsidRPr="00C4060F">
        <w:rPr>
          <w:color w:val="auto"/>
          <w:lang w:eastAsia="zh-CN"/>
        </w:rPr>
        <w:t xml:space="preserve"> epitope specificities. </w:t>
      </w:r>
      <w:r w:rsidRPr="009760DC">
        <w:rPr>
          <w:i/>
          <w:iCs/>
          <w:color w:val="auto"/>
          <w:lang w:eastAsia="zh-CN"/>
        </w:rPr>
        <w:t>Cytometry Part A</w:t>
      </w:r>
      <w:r w:rsidR="009760DC">
        <w:rPr>
          <w:color w:val="auto"/>
          <w:lang w:eastAsia="zh-CN"/>
        </w:rPr>
        <w:t>.</w:t>
      </w:r>
      <w:r w:rsidRPr="00C4060F">
        <w:rPr>
          <w:color w:val="auto"/>
          <w:lang w:eastAsia="zh-CN"/>
        </w:rPr>
        <w:t xml:space="preserve"> </w:t>
      </w:r>
      <w:r w:rsidRPr="009760DC">
        <w:rPr>
          <w:b/>
          <w:bCs/>
          <w:color w:val="auto"/>
          <w:lang w:eastAsia="zh-CN"/>
        </w:rPr>
        <w:t>73A</w:t>
      </w:r>
      <w:r w:rsidRPr="00C4060F">
        <w:rPr>
          <w:color w:val="auto"/>
          <w:lang w:eastAsia="zh-CN"/>
        </w:rPr>
        <w:t>, 1043-1049, (2008).</w:t>
      </w:r>
    </w:p>
    <w:p w14:paraId="1747CA41" w14:textId="77777777" w:rsidR="00BE516C" w:rsidRPr="00C4060F" w:rsidRDefault="00BE516C" w:rsidP="0001526A">
      <w:pPr>
        <w:rPr>
          <w:color w:val="auto"/>
          <w:lang w:eastAsia="zh-CN"/>
        </w:rPr>
      </w:pPr>
    </w:p>
    <w:p w14:paraId="3826E453" w14:textId="4313AF5B" w:rsidR="00823FF7" w:rsidRPr="00C4060F" w:rsidRDefault="00823FF7" w:rsidP="0001526A">
      <w:pPr>
        <w:rPr>
          <w:color w:val="auto"/>
          <w:lang w:eastAsia="zh-CN"/>
        </w:rPr>
      </w:pPr>
      <w:r w:rsidRPr="00C4060F">
        <w:rPr>
          <w:color w:val="auto"/>
          <w:lang w:eastAsia="zh-CN"/>
        </w:rPr>
        <w:t>4</w:t>
      </w:r>
      <w:r w:rsidR="00BE516C" w:rsidRPr="00C4060F">
        <w:rPr>
          <w:color w:val="auto"/>
          <w:lang w:eastAsia="zh-CN"/>
        </w:rPr>
        <w:t xml:space="preserve">. </w:t>
      </w:r>
      <w:r w:rsidRPr="00C4060F">
        <w:rPr>
          <w:color w:val="auto"/>
          <w:lang w:eastAsia="zh-CN"/>
        </w:rPr>
        <w:t xml:space="preserve">Reiss, S. et al. Comparative analysis of activation induced marker (AIM) assays for </w:t>
      </w:r>
      <w:r w:rsidRPr="00C4060F">
        <w:rPr>
          <w:color w:val="auto"/>
          <w:lang w:eastAsia="zh-CN"/>
        </w:rPr>
        <w:lastRenderedPageBreak/>
        <w:t xml:space="preserve">sensitive identification of antigen-specific CD4 T cells. </w:t>
      </w:r>
      <w:proofErr w:type="spellStart"/>
      <w:r w:rsidRPr="009760DC">
        <w:rPr>
          <w:i/>
          <w:iCs/>
          <w:color w:val="auto"/>
          <w:lang w:eastAsia="zh-CN"/>
        </w:rPr>
        <w:t>PLoS</w:t>
      </w:r>
      <w:proofErr w:type="spellEnd"/>
      <w:r w:rsidRPr="009760DC">
        <w:rPr>
          <w:i/>
          <w:iCs/>
          <w:color w:val="auto"/>
          <w:lang w:eastAsia="zh-CN"/>
        </w:rPr>
        <w:t xml:space="preserve"> One</w:t>
      </w:r>
      <w:r w:rsidR="009760DC">
        <w:rPr>
          <w:color w:val="auto"/>
          <w:lang w:eastAsia="zh-CN"/>
        </w:rPr>
        <w:t>.</w:t>
      </w:r>
      <w:r w:rsidRPr="00C4060F">
        <w:rPr>
          <w:color w:val="auto"/>
          <w:lang w:eastAsia="zh-CN"/>
        </w:rPr>
        <w:t xml:space="preserve"> </w:t>
      </w:r>
      <w:r w:rsidRPr="009760DC">
        <w:rPr>
          <w:b/>
          <w:bCs/>
          <w:color w:val="auto"/>
          <w:lang w:eastAsia="zh-CN"/>
        </w:rPr>
        <w:t>12</w:t>
      </w:r>
      <w:r w:rsidRPr="00C4060F">
        <w:rPr>
          <w:color w:val="auto"/>
          <w:lang w:eastAsia="zh-CN"/>
        </w:rPr>
        <w:t>, e0186998 (2017).</w:t>
      </w:r>
    </w:p>
    <w:p w14:paraId="47120D48" w14:textId="77777777" w:rsidR="00BE516C" w:rsidRPr="00C4060F" w:rsidRDefault="00BE516C" w:rsidP="0001526A">
      <w:pPr>
        <w:rPr>
          <w:color w:val="auto"/>
          <w:lang w:eastAsia="zh-CN"/>
        </w:rPr>
      </w:pPr>
    </w:p>
    <w:p w14:paraId="1A9467CA" w14:textId="2587D203" w:rsidR="00823FF7" w:rsidRPr="00C4060F" w:rsidRDefault="00823FF7" w:rsidP="0001526A">
      <w:pPr>
        <w:rPr>
          <w:color w:val="auto"/>
          <w:lang w:eastAsia="zh-CN"/>
        </w:rPr>
      </w:pPr>
      <w:r w:rsidRPr="00C4060F">
        <w:rPr>
          <w:color w:val="auto"/>
          <w:lang w:eastAsia="zh-CN"/>
        </w:rPr>
        <w:t>5</w:t>
      </w:r>
      <w:r w:rsidR="00BE516C" w:rsidRPr="00C4060F">
        <w:rPr>
          <w:color w:val="auto"/>
          <w:lang w:eastAsia="zh-CN"/>
        </w:rPr>
        <w:t xml:space="preserve">. </w:t>
      </w:r>
      <w:proofErr w:type="spellStart"/>
      <w:r w:rsidRPr="00C4060F">
        <w:rPr>
          <w:color w:val="auto"/>
          <w:lang w:eastAsia="zh-CN"/>
        </w:rPr>
        <w:t>Herati</w:t>
      </w:r>
      <w:proofErr w:type="spellEnd"/>
      <w:r w:rsidRPr="00C4060F">
        <w:rPr>
          <w:color w:val="auto"/>
          <w:lang w:eastAsia="zh-CN"/>
        </w:rPr>
        <w:t xml:space="preserve">, R. S. et al. Successive annual influenza vaccination induces a recurrent </w:t>
      </w:r>
      <w:proofErr w:type="spellStart"/>
      <w:r w:rsidRPr="00C4060F">
        <w:rPr>
          <w:color w:val="auto"/>
          <w:lang w:eastAsia="zh-CN"/>
        </w:rPr>
        <w:t>oligoclonotypic</w:t>
      </w:r>
      <w:proofErr w:type="spellEnd"/>
      <w:r w:rsidRPr="00C4060F">
        <w:rPr>
          <w:color w:val="auto"/>
          <w:lang w:eastAsia="zh-CN"/>
        </w:rPr>
        <w:t xml:space="preserve"> memory response in circulating T follicular helper cells. </w:t>
      </w:r>
      <w:r w:rsidRPr="009760DC">
        <w:rPr>
          <w:i/>
          <w:iCs/>
          <w:color w:val="auto"/>
          <w:lang w:eastAsia="zh-CN"/>
        </w:rPr>
        <w:t>Science</w:t>
      </w:r>
      <w:r w:rsidRPr="00C4060F">
        <w:rPr>
          <w:color w:val="auto"/>
          <w:lang w:eastAsia="zh-CN"/>
        </w:rPr>
        <w:t xml:space="preserve"> </w:t>
      </w:r>
      <w:r w:rsidRPr="009760DC">
        <w:rPr>
          <w:i/>
          <w:iCs/>
          <w:color w:val="auto"/>
          <w:lang w:eastAsia="zh-CN"/>
        </w:rPr>
        <w:t>Immunology</w:t>
      </w:r>
      <w:r w:rsidR="009760DC">
        <w:rPr>
          <w:color w:val="auto"/>
          <w:lang w:eastAsia="zh-CN"/>
        </w:rPr>
        <w:t>.</w:t>
      </w:r>
      <w:r w:rsidRPr="00C4060F">
        <w:rPr>
          <w:color w:val="auto"/>
          <w:lang w:eastAsia="zh-CN"/>
        </w:rPr>
        <w:t xml:space="preserve"> </w:t>
      </w:r>
      <w:r w:rsidRPr="009760DC">
        <w:rPr>
          <w:b/>
          <w:bCs/>
          <w:color w:val="auto"/>
          <w:lang w:eastAsia="zh-CN"/>
        </w:rPr>
        <w:t>2</w:t>
      </w:r>
      <w:r w:rsidRPr="00C4060F">
        <w:rPr>
          <w:color w:val="auto"/>
          <w:lang w:eastAsia="zh-CN"/>
        </w:rPr>
        <w:t>, eaag2152 (2017).</w:t>
      </w:r>
    </w:p>
    <w:p w14:paraId="4A5E61AF" w14:textId="77777777" w:rsidR="00BE516C" w:rsidRPr="00C4060F" w:rsidRDefault="00BE516C" w:rsidP="0001526A">
      <w:pPr>
        <w:rPr>
          <w:color w:val="auto"/>
          <w:lang w:eastAsia="zh-CN"/>
        </w:rPr>
      </w:pPr>
    </w:p>
    <w:p w14:paraId="21D66459" w14:textId="41522196" w:rsidR="00823FF7" w:rsidRPr="00C4060F" w:rsidRDefault="00823FF7" w:rsidP="0001526A">
      <w:pPr>
        <w:rPr>
          <w:color w:val="auto"/>
          <w:lang w:eastAsia="zh-CN"/>
        </w:rPr>
      </w:pPr>
      <w:r w:rsidRPr="00C4060F">
        <w:rPr>
          <w:color w:val="auto"/>
          <w:lang w:eastAsia="zh-CN"/>
        </w:rPr>
        <w:t>6</w:t>
      </w:r>
      <w:r w:rsidR="00BE516C" w:rsidRPr="00C4060F">
        <w:rPr>
          <w:color w:val="auto"/>
          <w:lang w:eastAsia="zh-CN"/>
        </w:rPr>
        <w:t>.</w:t>
      </w:r>
      <w:r w:rsidR="00E84963" w:rsidRPr="00C4060F">
        <w:rPr>
          <w:color w:val="auto"/>
          <w:lang w:eastAsia="zh-CN"/>
        </w:rPr>
        <w:t xml:space="preserve"> </w:t>
      </w:r>
      <w:r w:rsidRPr="00C4060F">
        <w:rPr>
          <w:color w:val="auto"/>
          <w:lang w:eastAsia="zh-CN"/>
        </w:rPr>
        <w:t xml:space="preserve">Bowyer, G. et al. Activation-induced Markers Detect Vaccine-Specific CD4+ T Cell Responses Not Measured by Assays Conventionally Used in Clinical Trials. </w:t>
      </w:r>
      <w:r w:rsidRPr="009760DC">
        <w:rPr>
          <w:i/>
          <w:iCs/>
          <w:color w:val="auto"/>
          <w:lang w:eastAsia="zh-CN"/>
        </w:rPr>
        <w:t>Vaccines</w:t>
      </w:r>
      <w:r w:rsidR="009760DC">
        <w:rPr>
          <w:color w:val="auto"/>
          <w:lang w:eastAsia="zh-CN"/>
        </w:rPr>
        <w:t>.</w:t>
      </w:r>
      <w:r w:rsidRPr="00C4060F">
        <w:rPr>
          <w:color w:val="auto"/>
          <w:lang w:eastAsia="zh-CN"/>
        </w:rPr>
        <w:t xml:space="preserve"> </w:t>
      </w:r>
      <w:r w:rsidRPr="009760DC">
        <w:rPr>
          <w:b/>
          <w:bCs/>
          <w:color w:val="auto"/>
          <w:lang w:eastAsia="zh-CN"/>
        </w:rPr>
        <w:t>6</w:t>
      </w:r>
      <w:r w:rsidR="009760DC">
        <w:rPr>
          <w:color w:val="auto"/>
          <w:lang w:eastAsia="zh-CN"/>
        </w:rPr>
        <w:t xml:space="preserve"> </w:t>
      </w:r>
      <w:r w:rsidRPr="00C4060F">
        <w:rPr>
          <w:color w:val="auto"/>
          <w:lang w:eastAsia="zh-CN"/>
        </w:rPr>
        <w:t>(2018).</w:t>
      </w:r>
    </w:p>
    <w:p w14:paraId="38D461C8" w14:textId="77777777" w:rsidR="00E84963" w:rsidRPr="00C4060F" w:rsidRDefault="00E84963" w:rsidP="0001526A">
      <w:pPr>
        <w:rPr>
          <w:color w:val="auto"/>
          <w:lang w:eastAsia="zh-CN"/>
        </w:rPr>
      </w:pPr>
    </w:p>
    <w:p w14:paraId="46B7F904" w14:textId="4D81A18B" w:rsidR="00823FF7" w:rsidRPr="00C4060F" w:rsidRDefault="00823FF7" w:rsidP="0001526A">
      <w:pPr>
        <w:rPr>
          <w:color w:val="auto"/>
          <w:lang w:eastAsia="zh-CN"/>
        </w:rPr>
      </w:pPr>
      <w:r w:rsidRPr="00C4060F">
        <w:rPr>
          <w:color w:val="auto"/>
          <w:lang w:eastAsia="zh-CN"/>
        </w:rPr>
        <w:t>7</w:t>
      </w:r>
      <w:r w:rsidR="00E84963" w:rsidRPr="00C4060F">
        <w:rPr>
          <w:color w:val="auto"/>
          <w:lang w:eastAsia="zh-CN"/>
        </w:rPr>
        <w:t xml:space="preserve">. </w:t>
      </w:r>
      <w:proofErr w:type="spellStart"/>
      <w:r w:rsidRPr="00C4060F">
        <w:rPr>
          <w:color w:val="auto"/>
          <w:lang w:eastAsia="zh-CN"/>
        </w:rPr>
        <w:t>Morou</w:t>
      </w:r>
      <w:proofErr w:type="spellEnd"/>
      <w:r w:rsidRPr="00C4060F">
        <w:rPr>
          <w:color w:val="auto"/>
          <w:lang w:eastAsia="zh-CN"/>
        </w:rPr>
        <w:t xml:space="preserve">, A. et al. Altered differentiation is central to HIV-specific CD4(+) T cell dysfunction in progressive disease. </w:t>
      </w:r>
      <w:r w:rsidRPr="009760DC">
        <w:rPr>
          <w:i/>
          <w:iCs/>
          <w:color w:val="auto"/>
          <w:lang w:eastAsia="zh-CN"/>
        </w:rPr>
        <w:t xml:space="preserve">Nature </w:t>
      </w:r>
      <w:r w:rsidR="009760DC" w:rsidRPr="009760DC">
        <w:rPr>
          <w:i/>
          <w:iCs/>
          <w:color w:val="auto"/>
          <w:lang w:eastAsia="zh-CN"/>
        </w:rPr>
        <w:t>I</w:t>
      </w:r>
      <w:r w:rsidRPr="009760DC">
        <w:rPr>
          <w:i/>
          <w:iCs/>
          <w:color w:val="auto"/>
          <w:lang w:eastAsia="zh-CN"/>
        </w:rPr>
        <w:t>mmunology</w:t>
      </w:r>
      <w:r w:rsidR="009760DC">
        <w:rPr>
          <w:color w:val="auto"/>
          <w:lang w:eastAsia="zh-CN"/>
        </w:rPr>
        <w:t>.</w:t>
      </w:r>
      <w:r w:rsidRPr="00C4060F">
        <w:rPr>
          <w:color w:val="auto"/>
          <w:lang w:eastAsia="zh-CN"/>
        </w:rPr>
        <w:t xml:space="preserve"> </w:t>
      </w:r>
      <w:r w:rsidRPr="009760DC">
        <w:rPr>
          <w:b/>
          <w:bCs/>
          <w:color w:val="auto"/>
          <w:lang w:eastAsia="zh-CN"/>
        </w:rPr>
        <w:t>20</w:t>
      </w:r>
      <w:r w:rsidRPr="00C4060F">
        <w:rPr>
          <w:color w:val="auto"/>
          <w:lang w:eastAsia="zh-CN"/>
        </w:rPr>
        <w:t>, 1059-1070</w:t>
      </w:r>
      <w:r w:rsidR="009760DC">
        <w:rPr>
          <w:color w:val="auto"/>
          <w:lang w:eastAsia="zh-CN"/>
        </w:rPr>
        <w:t xml:space="preserve"> </w:t>
      </w:r>
      <w:r w:rsidRPr="00C4060F">
        <w:rPr>
          <w:color w:val="auto"/>
          <w:lang w:eastAsia="zh-CN"/>
        </w:rPr>
        <w:t>(2019).</w:t>
      </w:r>
    </w:p>
    <w:p w14:paraId="1AD8F39C" w14:textId="77777777" w:rsidR="00E84963" w:rsidRPr="00C4060F" w:rsidRDefault="00E84963" w:rsidP="0001526A">
      <w:pPr>
        <w:rPr>
          <w:color w:val="auto"/>
          <w:lang w:eastAsia="zh-CN"/>
        </w:rPr>
      </w:pPr>
    </w:p>
    <w:p w14:paraId="10066365" w14:textId="64418960" w:rsidR="00823FF7" w:rsidRPr="00C4060F" w:rsidRDefault="00823FF7" w:rsidP="0001526A">
      <w:pPr>
        <w:rPr>
          <w:color w:val="auto"/>
          <w:lang w:eastAsia="zh-CN"/>
        </w:rPr>
      </w:pPr>
      <w:r w:rsidRPr="00C4060F">
        <w:rPr>
          <w:color w:val="auto"/>
          <w:lang w:eastAsia="zh-CN"/>
        </w:rPr>
        <w:t>8</w:t>
      </w:r>
      <w:r w:rsidR="00E84963" w:rsidRPr="00C4060F">
        <w:rPr>
          <w:color w:val="auto"/>
          <w:lang w:eastAsia="zh-CN"/>
        </w:rPr>
        <w:t xml:space="preserve">. </w:t>
      </w:r>
      <w:proofErr w:type="spellStart"/>
      <w:r w:rsidRPr="00C4060F">
        <w:rPr>
          <w:color w:val="auto"/>
          <w:lang w:eastAsia="zh-CN"/>
        </w:rPr>
        <w:t>Grifoni</w:t>
      </w:r>
      <w:proofErr w:type="spellEnd"/>
      <w:r w:rsidRPr="00C4060F">
        <w:rPr>
          <w:color w:val="auto"/>
          <w:lang w:eastAsia="zh-CN"/>
        </w:rPr>
        <w:t xml:space="preserve">, A. et al. Targets of T Cell Responses to SARS-CoV-2 Coronavirus in Humans with COVID-19 Disease and Unexposed Individuals. </w:t>
      </w:r>
      <w:r w:rsidRPr="009760DC">
        <w:rPr>
          <w:i/>
          <w:iCs/>
          <w:color w:val="auto"/>
          <w:lang w:eastAsia="zh-CN"/>
        </w:rPr>
        <w:t>Cell</w:t>
      </w:r>
      <w:r w:rsidR="009760DC">
        <w:rPr>
          <w:color w:val="auto"/>
          <w:lang w:eastAsia="zh-CN"/>
        </w:rPr>
        <w:t>.</w:t>
      </w:r>
      <w:r w:rsidRPr="00C4060F">
        <w:rPr>
          <w:color w:val="auto"/>
          <w:lang w:eastAsia="zh-CN"/>
        </w:rPr>
        <w:t xml:space="preserve"> </w:t>
      </w:r>
      <w:r w:rsidRPr="009760DC">
        <w:rPr>
          <w:b/>
          <w:bCs/>
          <w:color w:val="auto"/>
          <w:lang w:eastAsia="zh-CN"/>
        </w:rPr>
        <w:t>181</w:t>
      </w:r>
      <w:r w:rsidRPr="00C4060F">
        <w:rPr>
          <w:color w:val="auto"/>
          <w:lang w:eastAsia="zh-CN"/>
        </w:rPr>
        <w:t>, 1489-1501.e1415</w:t>
      </w:r>
      <w:r w:rsidR="009760DC">
        <w:rPr>
          <w:color w:val="auto"/>
          <w:lang w:eastAsia="zh-CN"/>
        </w:rPr>
        <w:t xml:space="preserve"> </w:t>
      </w:r>
      <w:r w:rsidRPr="00C4060F">
        <w:rPr>
          <w:color w:val="auto"/>
          <w:lang w:eastAsia="zh-CN"/>
        </w:rPr>
        <w:t>(2020).</w:t>
      </w:r>
    </w:p>
    <w:p w14:paraId="601FC440" w14:textId="77777777" w:rsidR="00E84963" w:rsidRPr="00C4060F" w:rsidRDefault="00E84963" w:rsidP="0001526A">
      <w:pPr>
        <w:rPr>
          <w:color w:val="auto"/>
          <w:lang w:eastAsia="zh-CN"/>
        </w:rPr>
      </w:pPr>
    </w:p>
    <w:p w14:paraId="3DB8ABAF" w14:textId="71D05C7C" w:rsidR="00823FF7" w:rsidRPr="00C4060F" w:rsidRDefault="00823FF7" w:rsidP="0001526A">
      <w:pPr>
        <w:rPr>
          <w:color w:val="auto"/>
          <w:lang w:eastAsia="zh-CN"/>
        </w:rPr>
      </w:pPr>
      <w:r w:rsidRPr="00C4060F">
        <w:rPr>
          <w:color w:val="auto"/>
          <w:lang w:eastAsia="zh-CN"/>
        </w:rPr>
        <w:t>9</w:t>
      </w:r>
      <w:r w:rsidR="00E84963" w:rsidRPr="00C4060F">
        <w:rPr>
          <w:color w:val="auto"/>
          <w:lang w:eastAsia="zh-CN"/>
        </w:rPr>
        <w:t xml:space="preserve">. </w:t>
      </w:r>
      <w:proofErr w:type="spellStart"/>
      <w:r w:rsidRPr="00C4060F">
        <w:rPr>
          <w:color w:val="auto"/>
          <w:lang w:eastAsia="zh-CN"/>
        </w:rPr>
        <w:t>Meckiff</w:t>
      </w:r>
      <w:proofErr w:type="spellEnd"/>
      <w:r w:rsidRPr="00C4060F">
        <w:rPr>
          <w:color w:val="auto"/>
          <w:lang w:eastAsia="zh-CN"/>
        </w:rPr>
        <w:t xml:space="preserve">, B. J. et al. Imbalance of Regulatory and Cytotoxic SARS-CoV-2-Reactive CD4+ T Cells in COVID-19. </w:t>
      </w:r>
      <w:r w:rsidRPr="009760DC">
        <w:rPr>
          <w:i/>
          <w:iCs/>
          <w:color w:val="auto"/>
          <w:lang w:eastAsia="zh-CN"/>
        </w:rPr>
        <w:t>Cell</w:t>
      </w:r>
      <w:r w:rsidR="009760DC">
        <w:rPr>
          <w:color w:val="auto"/>
          <w:lang w:eastAsia="zh-CN"/>
        </w:rPr>
        <w:t xml:space="preserve">. </w:t>
      </w:r>
      <w:r w:rsidRPr="00C4060F">
        <w:rPr>
          <w:color w:val="auto"/>
          <w:lang w:eastAsia="zh-CN"/>
        </w:rPr>
        <w:t>(2020).</w:t>
      </w:r>
    </w:p>
    <w:p w14:paraId="709F29A5" w14:textId="77777777" w:rsidR="00E84963" w:rsidRPr="00C4060F" w:rsidRDefault="00E84963" w:rsidP="0001526A">
      <w:pPr>
        <w:rPr>
          <w:color w:val="auto"/>
          <w:lang w:eastAsia="zh-CN"/>
        </w:rPr>
      </w:pPr>
    </w:p>
    <w:p w14:paraId="250D8D50" w14:textId="61B31E90" w:rsidR="00823FF7" w:rsidRPr="00C4060F" w:rsidRDefault="00823FF7" w:rsidP="0001526A">
      <w:pPr>
        <w:rPr>
          <w:color w:val="auto"/>
          <w:lang w:eastAsia="zh-CN"/>
        </w:rPr>
      </w:pPr>
      <w:r w:rsidRPr="00C4060F">
        <w:rPr>
          <w:color w:val="auto"/>
          <w:lang w:eastAsia="zh-CN"/>
        </w:rPr>
        <w:t>10</w:t>
      </w:r>
      <w:r w:rsidR="00E84963" w:rsidRPr="00C4060F">
        <w:rPr>
          <w:color w:val="auto"/>
          <w:lang w:eastAsia="zh-CN"/>
        </w:rPr>
        <w:t xml:space="preserve">. </w:t>
      </w:r>
      <w:proofErr w:type="spellStart"/>
      <w:r w:rsidRPr="00C4060F">
        <w:rPr>
          <w:color w:val="auto"/>
          <w:lang w:eastAsia="zh-CN"/>
        </w:rPr>
        <w:t>Boni</w:t>
      </w:r>
      <w:proofErr w:type="spellEnd"/>
      <w:r w:rsidRPr="00C4060F">
        <w:rPr>
          <w:color w:val="auto"/>
          <w:lang w:eastAsia="zh-CN"/>
        </w:rPr>
        <w:t xml:space="preserve">, C. et al. Characterization of hepatitis B virus (HBV)-specific T-cell dysfunction in chronic HBV infection. </w:t>
      </w:r>
      <w:r w:rsidRPr="009760DC">
        <w:rPr>
          <w:i/>
          <w:iCs/>
          <w:color w:val="auto"/>
          <w:lang w:eastAsia="zh-CN"/>
        </w:rPr>
        <w:t xml:space="preserve">Journal of </w:t>
      </w:r>
      <w:r w:rsidR="009760DC" w:rsidRPr="009760DC">
        <w:rPr>
          <w:i/>
          <w:iCs/>
          <w:color w:val="auto"/>
          <w:lang w:eastAsia="zh-CN"/>
        </w:rPr>
        <w:t>V</w:t>
      </w:r>
      <w:r w:rsidRPr="009760DC">
        <w:rPr>
          <w:i/>
          <w:iCs/>
          <w:color w:val="auto"/>
          <w:lang w:eastAsia="zh-CN"/>
        </w:rPr>
        <w:t>irology</w:t>
      </w:r>
      <w:r w:rsidR="009760DC">
        <w:rPr>
          <w:color w:val="auto"/>
          <w:lang w:eastAsia="zh-CN"/>
        </w:rPr>
        <w:t>.</w:t>
      </w:r>
      <w:r w:rsidRPr="00C4060F">
        <w:rPr>
          <w:color w:val="auto"/>
          <w:lang w:eastAsia="zh-CN"/>
        </w:rPr>
        <w:t xml:space="preserve"> </w:t>
      </w:r>
      <w:r w:rsidRPr="009760DC">
        <w:rPr>
          <w:b/>
          <w:bCs/>
          <w:color w:val="auto"/>
          <w:lang w:eastAsia="zh-CN"/>
        </w:rPr>
        <w:t>81</w:t>
      </w:r>
      <w:r w:rsidRPr="00C4060F">
        <w:rPr>
          <w:color w:val="auto"/>
          <w:lang w:eastAsia="zh-CN"/>
        </w:rPr>
        <w:t>, 4215-4225</w:t>
      </w:r>
      <w:r w:rsidR="009760DC">
        <w:rPr>
          <w:color w:val="auto"/>
          <w:lang w:eastAsia="zh-CN"/>
        </w:rPr>
        <w:t xml:space="preserve"> </w:t>
      </w:r>
      <w:r w:rsidRPr="00C4060F">
        <w:rPr>
          <w:color w:val="auto"/>
          <w:lang w:eastAsia="zh-CN"/>
        </w:rPr>
        <w:t>(2007).</w:t>
      </w:r>
    </w:p>
    <w:p w14:paraId="13F2FEF9" w14:textId="77777777" w:rsidR="009F055E" w:rsidRPr="00C4060F" w:rsidRDefault="009F055E" w:rsidP="0001526A">
      <w:pPr>
        <w:rPr>
          <w:color w:val="auto"/>
          <w:lang w:eastAsia="zh-CN"/>
        </w:rPr>
      </w:pPr>
    </w:p>
    <w:p w14:paraId="6C2C3FD1" w14:textId="33D385A7" w:rsidR="009F055E" w:rsidRPr="00C4060F" w:rsidRDefault="009F055E" w:rsidP="0001526A">
      <w:pPr>
        <w:rPr>
          <w:color w:val="auto"/>
          <w:lang w:eastAsia="zh-CN"/>
        </w:rPr>
      </w:pPr>
      <w:r w:rsidRPr="00C4060F">
        <w:rPr>
          <w:color w:val="auto"/>
          <w:lang w:eastAsia="zh-CN"/>
        </w:rPr>
        <w:t xml:space="preserve">11. </w:t>
      </w:r>
      <w:r w:rsidR="00CE1C26" w:rsidRPr="00C4060F">
        <w:rPr>
          <w:color w:val="auto"/>
          <w:lang w:eastAsia="zh-CN"/>
        </w:rPr>
        <w:t xml:space="preserve">Chang, J. J. et al. Reduced hepatitis B virus (HBV)-specific CD4+ T-cell responses in human immunodeficiency virus type 1-HBV-coinfected individuals receiving HBV-active antiretroviral therapy. </w:t>
      </w:r>
      <w:r w:rsidR="00CE1C26" w:rsidRPr="009760DC">
        <w:rPr>
          <w:i/>
          <w:iCs/>
          <w:color w:val="auto"/>
          <w:lang w:eastAsia="zh-CN"/>
        </w:rPr>
        <w:t xml:space="preserve">Journal of </w:t>
      </w:r>
      <w:r w:rsidR="009760DC" w:rsidRPr="009760DC">
        <w:rPr>
          <w:i/>
          <w:iCs/>
          <w:color w:val="auto"/>
          <w:lang w:eastAsia="zh-CN"/>
        </w:rPr>
        <w:t>V</w:t>
      </w:r>
      <w:r w:rsidR="00CE1C26" w:rsidRPr="009760DC">
        <w:rPr>
          <w:i/>
          <w:iCs/>
          <w:color w:val="auto"/>
          <w:lang w:eastAsia="zh-CN"/>
        </w:rPr>
        <w:t>irology</w:t>
      </w:r>
      <w:r w:rsidR="009760DC">
        <w:rPr>
          <w:color w:val="auto"/>
          <w:lang w:eastAsia="zh-CN"/>
        </w:rPr>
        <w:t>.</w:t>
      </w:r>
      <w:r w:rsidR="00CE1C26" w:rsidRPr="00C4060F">
        <w:rPr>
          <w:color w:val="auto"/>
          <w:lang w:eastAsia="zh-CN"/>
        </w:rPr>
        <w:t xml:space="preserve"> </w:t>
      </w:r>
      <w:r w:rsidR="00CE1C26" w:rsidRPr="009760DC">
        <w:rPr>
          <w:b/>
          <w:bCs/>
          <w:color w:val="auto"/>
          <w:lang w:eastAsia="zh-CN"/>
        </w:rPr>
        <w:t>79</w:t>
      </w:r>
      <w:r w:rsidR="00CE1C26" w:rsidRPr="00C4060F">
        <w:rPr>
          <w:color w:val="auto"/>
          <w:lang w:eastAsia="zh-CN"/>
        </w:rPr>
        <w:t>, 3038-3051, (2005).</w:t>
      </w:r>
    </w:p>
    <w:p w14:paraId="789918F4" w14:textId="77777777" w:rsidR="00E84963" w:rsidRPr="00C4060F" w:rsidRDefault="00E84963" w:rsidP="0001526A">
      <w:pPr>
        <w:rPr>
          <w:color w:val="auto"/>
          <w:lang w:eastAsia="zh-CN"/>
        </w:rPr>
      </w:pPr>
    </w:p>
    <w:p w14:paraId="245F355D" w14:textId="79CE22F7"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2</w:t>
      </w:r>
      <w:r w:rsidR="00E84963" w:rsidRPr="00C4060F">
        <w:rPr>
          <w:color w:val="auto"/>
          <w:lang w:eastAsia="zh-CN"/>
        </w:rPr>
        <w:t xml:space="preserve">. </w:t>
      </w:r>
      <w:proofErr w:type="spellStart"/>
      <w:r w:rsidRPr="00C4060F">
        <w:rPr>
          <w:color w:val="auto"/>
          <w:lang w:eastAsia="zh-CN"/>
        </w:rPr>
        <w:t>Boni</w:t>
      </w:r>
      <w:proofErr w:type="spellEnd"/>
      <w:r w:rsidRPr="00C4060F">
        <w:rPr>
          <w:color w:val="auto"/>
          <w:lang w:eastAsia="zh-CN"/>
        </w:rPr>
        <w:t xml:space="preserve">, C. et al. Restored Function of HBV-Specific T Cells After Long-term Effective Therapy </w:t>
      </w:r>
      <w:proofErr w:type="gramStart"/>
      <w:r w:rsidRPr="00C4060F">
        <w:rPr>
          <w:color w:val="auto"/>
          <w:lang w:eastAsia="zh-CN"/>
        </w:rPr>
        <w:t>With</w:t>
      </w:r>
      <w:proofErr w:type="gramEnd"/>
      <w:r w:rsidRPr="00C4060F">
        <w:rPr>
          <w:color w:val="auto"/>
          <w:lang w:eastAsia="zh-CN"/>
        </w:rPr>
        <w:t xml:space="preserve"> </w:t>
      </w:r>
      <w:proofErr w:type="spellStart"/>
      <w:r w:rsidRPr="00C4060F">
        <w:rPr>
          <w:color w:val="auto"/>
          <w:lang w:eastAsia="zh-CN"/>
        </w:rPr>
        <w:t>Nucleos</w:t>
      </w:r>
      <w:proofErr w:type="spellEnd"/>
      <w:r w:rsidRPr="00C4060F">
        <w:rPr>
          <w:color w:val="auto"/>
          <w:lang w:eastAsia="zh-CN"/>
        </w:rPr>
        <w:t xml:space="preserve">(t)ide Analogues. </w:t>
      </w:r>
      <w:r w:rsidRPr="009760DC">
        <w:rPr>
          <w:i/>
          <w:iCs/>
          <w:color w:val="auto"/>
          <w:lang w:eastAsia="zh-CN"/>
        </w:rPr>
        <w:t>Gastroenterology</w:t>
      </w:r>
      <w:r w:rsidR="009760DC">
        <w:rPr>
          <w:color w:val="auto"/>
          <w:lang w:eastAsia="zh-CN"/>
        </w:rPr>
        <w:t>.</w:t>
      </w:r>
      <w:r w:rsidRPr="00C4060F">
        <w:rPr>
          <w:color w:val="auto"/>
          <w:lang w:eastAsia="zh-CN"/>
        </w:rPr>
        <w:t xml:space="preserve"> </w:t>
      </w:r>
      <w:r w:rsidRPr="009760DC">
        <w:rPr>
          <w:b/>
          <w:bCs/>
          <w:color w:val="auto"/>
          <w:lang w:eastAsia="zh-CN"/>
        </w:rPr>
        <w:t>143</w:t>
      </w:r>
      <w:r w:rsidRPr="00C4060F">
        <w:rPr>
          <w:color w:val="auto"/>
          <w:lang w:eastAsia="zh-CN"/>
        </w:rPr>
        <w:t>, 963-973.e969 (2012).</w:t>
      </w:r>
    </w:p>
    <w:p w14:paraId="738EF9D6" w14:textId="77777777" w:rsidR="00E84963" w:rsidRPr="00C4060F" w:rsidRDefault="00E84963" w:rsidP="0001526A">
      <w:pPr>
        <w:rPr>
          <w:color w:val="auto"/>
          <w:lang w:eastAsia="zh-CN"/>
        </w:rPr>
      </w:pPr>
    </w:p>
    <w:p w14:paraId="4F138AC4" w14:textId="7A3DDB67"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3</w:t>
      </w:r>
      <w:r w:rsidR="00E84963" w:rsidRPr="00C4060F">
        <w:rPr>
          <w:color w:val="auto"/>
          <w:lang w:eastAsia="zh-CN"/>
        </w:rPr>
        <w:t xml:space="preserve">. </w:t>
      </w:r>
      <w:r w:rsidRPr="00C4060F">
        <w:rPr>
          <w:color w:val="auto"/>
          <w:lang w:eastAsia="zh-CN"/>
        </w:rPr>
        <w:t xml:space="preserve">Kennedy, P. T. et al. Preserved T-cell function in children and young adults with immune-tolerant chronic hepatitis B. </w:t>
      </w:r>
      <w:r w:rsidRPr="009760DC">
        <w:rPr>
          <w:i/>
          <w:iCs/>
          <w:color w:val="auto"/>
          <w:lang w:eastAsia="zh-CN"/>
        </w:rPr>
        <w:t>Gastroenterology</w:t>
      </w:r>
      <w:r w:rsidR="009760DC">
        <w:rPr>
          <w:color w:val="auto"/>
          <w:lang w:eastAsia="zh-CN"/>
        </w:rPr>
        <w:t>.</w:t>
      </w:r>
      <w:r w:rsidRPr="00C4060F">
        <w:rPr>
          <w:color w:val="auto"/>
          <w:lang w:eastAsia="zh-CN"/>
        </w:rPr>
        <w:t xml:space="preserve"> </w:t>
      </w:r>
      <w:r w:rsidRPr="009760DC">
        <w:rPr>
          <w:b/>
          <w:bCs/>
          <w:color w:val="auto"/>
          <w:lang w:eastAsia="zh-CN"/>
        </w:rPr>
        <w:t>143</w:t>
      </w:r>
      <w:r w:rsidRPr="00C4060F">
        <w:rPr>
          <w:color w:val="auto"/>
          <w:lang w:eastAsia="zh-CN"/>
        </w:rPr>
        <w:t>, 637-645</w:t>
      </w:r>
      <w:r w:rsidR="009760DC">
        <w:rPr>
          <w:color w:val="auto"/>
          <w:lang w:eastAsia="zh-CN"/>
        </w:rPr>
        <w:t xml:space="preserve"> </w:t>
      </w:r>
      <w:r w:rsidRPr="00C4060F">
        <w:rPr>
          <w:color w:val="auto"/>
          <w:lang w:eastAsia="zh-CN"/>
        </w:rPr>
        <w:t>(2012).</w:t>
      </w:r>
    </w:p>
    <w:p w14:paraId="3BBF5D24" w14:textId="77777777" w:rsidR="00E84963" w:rsidRPr="00C4060F" w:rsidRDefault="00E84963" w:rsidP="0001526A">
      <w:pPr>
        <w:rPr>
          <w:color w:val="auto"/>
          <w:lang w:eastAsia="zh-CN"/>
        </w:rPr>
      </w:pPr>
    </w:p>
    <w:p w14:paraId="3765030C" w14:textId="5DBE83C1"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4</w:t>
      </w:r>
      <w:r w:rsidR="00E84963" w:rsidRPr="00C4060F">
        <w:rPr>
          <w:color w:val="auto"/>
          <w:lang w:eastAsia="zh-CN"/>
        </w:rPr>
        <w:t xml:space="preserve">. </w:t>
      </w:r>
      <w:r w:rsidRPr="00C4060F">
        <w:rPr>
          <w:color w:val="auto"/>
          <w:lang w:eastAsia="zh-CN"/>
        </w:rPr>
        <w:t xml:space="preserve">de </w:t>
      </w:r>
      <w:proofErr w:type="spellStart"/>
      <w:r w:rsidRPr="00C4060F">
        <w:rPr>
          <w:color w:val="auto"/>
          <w:lang w:eastAsia="zh-CN"/>
        </w:rPr>
        <w:t>Niet</w:t>
      </w:r>
      <w:proofErr w:type="spellEnd"/>
      <w:r w:rsidRPr="00C4060F">
        <w:rPr>
          <w:color w:val="auto"/>
          <w:lang w:eastAsia="zh-CN"/>
        </w:rPr>
        <w:t xml:space="preserve">, A. et al. Restoration of T cell function in chronic hepatitis B patients upon treatment with interferon based combination therapy. </w:t>
      </w:r>
      <w:r w:rsidRPr="009760DC">
        <w:rPr>
          <w:i/>
          <w:iCs/>
          <w:color w:val="auto"/>
          <w:lang w:eastAsia="zh-CN"/>
        </w:rPr>
        <w:t xml:space="preserve">Journal of </w:t>
      </w:r>
      <w:r w:rsidR="009760DC" w:rsidRPr="009760DC">
        <w:rPr>
          <w:i/>
          <w:iCs/>
          <w:color w:val="auto"/>
          <w:lang w:eastAsia="zh-CN"/>
        </w:rPr>
        <w:t>H</w:t>
      </w:r>
      <w:r w:rsidRPr="009760DC">
        <w:rPr>
          <w:i/>
          <w:iCs/>
          <w:color w:val="auto"/>
          <w:lang w:eastAsia="zh-CN"/>
        </w:rPr>
        <w:t>epatology</w:t>
      </w:r>
      <w:r w:rsidR="009760DC">
        <w:rPr>
          <w:color w:val="auto"/>
          <w:lang w:eastAsia="zh-CN"/>
        </w:rPr>
        <w:t>.</w:t>
      </w:r>
      <w:r w:rsidRPr="00C4060F">
        <w:rPr>
          <w:color w:val="auto"/>
          <w:lang w:eastAsia="zh-CN"/>
        </w:rPr>
        <w:t xml:space="preserve"> </w:t>
      </w:r>
      <w:r w:rsidRPr="009760DC">
        <w:rPr>
          <w:b/>
          <w:bCs/>
          <w:color w:val="auto"/>
          <w:lang w:eastAsia="zh-CN"/>
        </w:rPr>
        <w:t>64</w:t>
      </w:r>
      <w:r w:rsidRPr="00C4060F">
        <w:rPr>
          <w:color w:val="auto"/>
          <w:lang w:eastAsia="zh-CN"/>
        </w:rPr>
        <w:t>, 539-546 (2016).</w:t>
      </w:r>
    </w:p>
    <w:p w14:paraId="3932BC73" w14:textId="77777777" w:rsidR="00E84963" w:rsidRPr="00C4060F" w:rsidRDefault="00E84963" w:rsidP="0001526A">
      <w:pPr>
        <w:rPr>
          <w:color w:val="auto"/>
          <w:lang w:eastAsia="zh-CN"/>
        </w:rPr>
      </w:pPr>
    </w:p>
    <w:p w14:paraId="6A74607D" w14:textId="547C058A"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5</w:t>
      </w:r>
      <w:r w:rsidR="00E84963" w:rsidRPr="00C4060F">
        <w:rPr>
          <w:color w:val="auto"/>
          <w:lang w:eastAsia="zh-CN"/>
        </w:rPr>
        <w:t xml:space="preserve">. </w:t>
      </w:r>
      <w:r w:rsidRPr="00C4060F">
        <w:rPr>
          <w:color w:val="auto"/>
          <w:lang w:eastAsia="zh-CN"/>
        </w:rPr>
        <w:t xml:space="preserve">Rinker, F. et al. Hepatitis B virus-specific T cell responses after stopping </w:t>
      </w:r>
      <w:proofErr w:type="spellStart"/>
      <w:r w:rsidRPr="00C4060F">
        <w:rPr>
          <w:color w:val="auto"/>
          <w:lang w:eastAsia="zh-CN"/>
        </w:rPr>
        <w:t>nucleos</w:t>
      </w:r>
      <w:proofErr w:type="spellEnd"/>
      <w:r w:rsidRPr="00C4060F">
        <w:rPr>
          <w:color w:val="auto"/>
          <w:lang w:eastAsia="zh-CN"/>
        </w:rPr>
        <w:t xml:space="preserve">(t)ide analogue therapy in </w:t>
      </w:r>
      <w:proofErr w:type="spellStart"/>
      <w:r w:rsidRPr="00C4060F">
        <w:rPr>
          <w:color w:val="auto"/>
          <w:lang w:eastAsia="zh-CN"/>
        </w:rPr>
        <w:t>HBeAg</w:t>
      </w:r>
      <w:proofErr w:type="spellEnd"/>
      <w:r w:rsidRPr="00C4060F">
        <w:rPr>
          <w:color w:val="auto"/>
          <w:lang w:eastAsia="zh-CN"/>
        </w:rPr>
        <w:t xml:space="preserve">-negative chronic hepatitis B. </w:t>
      </w:r>
      <w:r w:rsidRPr="009760DC">
        <w:rPr>
          <w:i/>
          <w:iCs/>
          <w:color w:val="auto"/>
          <w:lang w:eastAsia="zh-CN"/>
        </w:rPr>
        <w:t xml:space="preserve">Journal of </w:t>
      </w:r>
      <w:r w:rsidR="009760DC" w:rsidRPr="009760DC">
        <w:rPr>
          <w:i/>
          <w:iCs/>
          <w:color w:val="auto"/>
          <w:lang w:eastAsia="zh-CN"/>
        </w:rPr>
        <w:t>H</w:t>
      </w:r>
      <w:r w:rsidRPr="009760DC">
        <w:rPr>
          <w:i/>
          <w:iCs/>
          <w:color w:val="auto"/>
          <w:lang w:eastAsia="zh-CN"/>
        </w:rPr>
        <w:t>epatology</w:t>
      </w:r>
      <w:r w:rsidR="009760DC">
        <w:rPr>
          <w:color w:val="auto"/>
          <w:lang w:eastAsia="zh-CN"/>
        </w:rPr>
        <w:t>.</w:t>
      </w:r>
      <w:r w:rsidRPr="00C4060F">
        <w:rPr>
          <w:color w:val="auto"/>
          <w:lang w:eastAsia="zh-CN"/>
        </w:rPr>
        <w:t xml:space="preserve"> </w:t>
      </w:r>
      <w:r w:rsidRPr="009760DC">
        <w:rPr>
          <w:b/>
          <w:bCs/>
          <w:color w:val="auto"/>
          <w:lang w:eastAsia="zh-CN"/>
        </w:rPr>
        <w:t>69</w:t>
      </w:r>
      <w:r w:rsidRPr="00C4060F">
        <w:rPr>
          <w:color w:val="auto"/>
          <w:lang w:eastAsia="zh-CN"/>
        </w:rPr>
        <w:t>, 584-593 (2018).</w:t>
      </w:r>
    </w:p>
    <w:p w14:paraId="0DA69E03" w14:textId="77777777" w:rsidR="00E84963" w:rsidRPr="00C4060F" w:rsidRDefault="00E84963" w:rsidP="0001526A">
      <w:pPr>
        <w:rPr>
          <w:color w:val="auto"/>
          <w:lang w:eastAsia="zh-CN"/>
        </w:rPr>
      </w:pPr>
    </w:p>
    <w:p w14:paraId="4C08A391" w14:textId="6B7E2564" w:rsidR="00823FF7" w:rsidRPr="00C4060F" w:rsidRDefault="00823FF7" w:rsidP="0001526A">
      <w:pPr>
        <w:rPr>
          <w:color w:val="auto"/>
          <w:lang w:eastAsia="zh-CN"/>
        </w:rPr>
      </w:pPr>
      <w:r w:rsidRPr="00C4060F">
        <w:rPr>
          <w:color w:val="auto"/>
          <w:lang w:eastAsia="zh-CN"/>
        </w:rPr>
        <w:lastRenderedPageBreak/>
        <w:t>1</w:t>
      </w:r>
      <w:r w:rsidR="009F055E" w:rsidRPr="00C4060F">
        <w:rPr>
          <w:color w:val="auto"/>
          <w:lang w:eastAsia="zh-CN"/>
        </w:rPr>
        <w:t>6</w:t>
      </w:r>
      <w:r w:rsidR="00E84963" w:rsidRPr="00C4060F">
        <w:rPr>
          <w:color w:val="auto"/>
          <w:lang w:eastAsia="zh-CN"/>
        </w:rPr>
        <w:t xml:space="preserve">. </w:t>
      </w:r>
      <w:r w:rsidRPr="00C4060F">
        <w:rPr>
          <w:color w:val="auto"/>
          <w:lang w:eastAsia="zh-CN"/>
        </w:rPr>
        <w:t xml:space="preserve">Wang, H. et al. TNF-α/IFN-γ profile of HBV-specific CD4 T cells is associated with liver damage and viral clearance in chronic HBV infection. </w:t>
      </w:r>
      <w:r w:rsidRPr="009760DC">
        <w:rPr>
          <w:i/>
          <w:iCs/>
          <w:color w:val="auto"/>
          <w:lang w:eastAsia="zh-CN"/>
        </w:rPr>
        <w:t>Journal of Hepatology</w:t>
      </w:r>
      <w:r w:rsidR="009760DC">
        <w:rPr>
          <w:color w:val="auto"/>
          <w:lang w:eastAsia="zh-CN"/>
        </w:rPr>
        <w:t>.</w:t>
      </w:r>
      <w:r w:rsidRPr="00C4060F">
        <w:rPr>
          <w:color w:val="auto"/>
          <w:lang w:eastAsia="zh-CN"/>
        </w:rPr>
        <w:t xml:space="preserve"> </w:t>
      </w:r>
      <w:r w:rsidRPr="009760DC">
        <w:rPr>
          <w:b/>
          <w:bCs/>
          <w:color w:val="auto"/>
          <w:lang w:eastAsia="zh-CN"/>
        </w:rPr>
        <w:t>72</w:t>
      </w:r>
      <w:r w:rsidRPr="00C4060F">
        <w:rPr>
          <w:color w:val="auto"/>
          <w:lang w:eastAsia="zh-CN"/>
        </w:rPr>
        <w:t>, 45-56 (2020).</w:t>
      </w:r>
    </w:p>
    <w:p w14:paraId="0277E0A6" w14:textId="77777777" w:rsidR="00E84963" w:rsidRPr="00C4060F" w:rsidRDefault="00E84963" w:rsidP="0001526A">
      <w:pPr>
        <w:rPr>
          <w:color w:val="auto"/>
          <w:lang w:eastAsia="zh-CN"/>
        </w:rPr>
      </w:pPr>
    </w:p>
    <w:p w14:paraId="4BF1F428" w14:textId="19E8D7EB"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7</w:t>
      </w:r>
      <w:r w:rsidR="00E84963" w:rsidRPr="00C4060F">
        <w:rPr>
          <w:color w:val="auto"/>
          <w:lang w:eastAsia="zh-CN"/>
        </w:rPr>
        <w:t xml:space="preserve">. </w:t>
      </w:r>
      <w:r w:rsidRPr="00C4060F">
        <w:rPr>
          <w:color w:val="auto"/>
          <w:lang w:eastAsia="zh-CN"/>
        </w:rPr>
        <w:t xml:space="preserve">Hoffmeister, B. et al. Mapping T cell epitopes by flow cytometry. </w:t>
      </w:r>
      <w:r w:rsidRPr="009760DC">
        <w:rPr>
          <w:i/>
          <w:iCs/>
          <w:color w:val="auto"/>
          <w:lang w:eastAsia="zh-CN"/>
        </w:rPr>
        <w:t>Methods</w:t>
      </w:r>
      <w:r w:rsidR="009760DC">
        <w:rPr>
          <w:color w:val="auto"/>
          <w:lang w:eastAsia="zh-CN"/>
        </w:rPr>
        <w:t>.</w:t>
      </w:r>
      <w:r w:rsidRPr="00C4060F">
        <w:rPr>
          <w:color w:val="auto"/>
          <w:lang w:eastAsia="zh-CN"/>
        </w:rPr>
        <w:t xml:space="preserve"> </w:t>
      </w:r>
      <w:r w:rsidRPr="009760DC">
        <w:rPr>
          <w:b/>
          <w:bCs/>
          <w:color w:val="auto"/>
          <w:lang w:eastAsia="zh-CN"/>
        </w:rPr>
        <w:t>29</w:t>
      </w:r>
      <w:r w:rsidRPr="00C4060F">
        <w:rPr>
          <w:color w:val="auto"/>
          <w:lang w:eastAsia="zh-CN"/>
        </w:rPr>
        <w:t>, 270-281 (2003).</w:t>
      </w:r>
    </w:p>
    <w:p w14:paraId="1C3070B0" w14:textId="77777777" w:rsidR="00E84963" w:rsidRPr="00C4060F" w:rsidRDefault="00E84963" w:rsidP="0001526A">
      <w:pPr>
        <w:rPr>
          <w:color w:val="auto"/>
          <w:lang w:eastAsia="zh-CN"/>
        </w:rPr>
      </w:pPr>
    </w:p>
    <w:p w14:paraId="095FC55D" w14:textId="174F35F8" w:rsidR="00823FF7" w:rsidRPr="00C4060F" w:rsidRDefault="00823FF7" w:rsidP="0001526A">
      <w:pPr>
        <w:rPr>
          <w:color w:val="auto"/>
          <w:lang w:eastAsia="zh-CN"/>
        </w:rPr>
      </w:pPr>
      <w:r w:rsidRPr="00C4060F">
        <w:rPr>
          <w:color w:val="auto"/>
          <w:lang w:eastAsia="zh-CN"/>
        </w:rPr>
        <w:t>1</w:t>
      </w:r>
      <w:r w:rsidR="009F055E" w:rsidRPr="00C4060F">
        <w:rPr>
          <w:color w:val="auto"/>
          <w:lang w:eastAsia="zh-CN"/>
        </w:rPr>
        <w:t>8</w:t>
      </w:r>
      <w:r w:rsidR="00E84963" w:rsidRPr="00C4060F">
        <w:rPr>
          <w:color w:val="auto"/>
          <w:lang w:eastAsia="zh-CN"/>
        </w:rPr>
        <w:t xml:space="preserve">. </w:t>
      </w:r>
      <w:r w:rsidRPr="00C4060F">
        <w:rPr>
          <w:color w:val="auto"/>
          <w:lang w:eastAsia="zh-CN"/>
        </w:rPr>
        <w:t>Anthony, D. D.</w:t>
      </w:r>
      <w:r w:rsidR="009760DC">
        <w:rPr>
          <w:color w:val="auto"/>
          <w:lang w:eastAsia="zh-CN"/>
        </w:rPr>
        <w:t xml:space="preserve">, </w:t>
      </w:r>
      <w:r w:rsidRPr="00C4060F">
        <w:rPr>
          <w:color w:val="auto"/>
          <w:lang w:eastAsia="zh-CN"/>
        </w:rPr>
        <w:t xml:space="preserve">Lehmann, P. V. T-cell epitope mapping using the ELISPOT approach. </w:t>
      </w:r>
      <w:r w:rsidRPr="009760DC">
        <w:rPr>
          <w:i/>
          <w:iCs/>
          <w:color w:val="auto"/>
          <w:lang w:eastAsia="zh-CN"/>
        </w:rPr>
        <w:t>Methods</w:t>
      </w:r>
      <w:r w:rsidR="009760DC">
        <w:rPr>
          <w:color w:val="auto"/>
          <w:lang w:eastAsia="zh-CN"/>
        </w:rPr>
        <w:t>.</w:t>
      </w:r>
      <w:r w:rsidRPr="00C4060F">
        <w:rPr>
          <w:color w:val="auto"/>
          <w:lang w:eastAsia="zh-CN"/>
        </w:rPr>
        <w:t xml:space="preserve"> </w:t>
      </w:r>
      <w:r w:rsidRPr="009760DC">
        <w:rPr>
          <w:b/>
          <w:bCs/>
          <w:color w:val="auto"/>
          <w:lang w:eastAsia="zh-CN"/>
        </w:rPr>
        <w:t>29</w:t>
      </w:r>
      <w:r w:rsidRPr="00C4060F">
        <w:rPr>
          <w:color w:val="auto"/>
          <w:lang w:eastAsia="zh-CN"/>
        </w:rPr>
        <w:t>, 260-269 (2003).</w:t>
      </w:r>
    </w:p>
    <w:sectPr w:rsidR="00823FF7" w:rsidRPr="00C4060F" w:rsidSect="00AC10E0">
      <w:headerReference w:type="default" r:id="rId8"/>
      <w:footerReference w:type="default" r:id="rId9"/>
      <w:headerReference w:type="first" r:id="rId10"/>
      <w:footerReference w:type="first" r:id="rId11"/>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D547" w14:textId="77777777" w:rsidR="004F7E53" w:rsidRDefault="004F7E53" w:rsidP="00823FF7">
      <w:r>
        <w:separator/>
      </w:r>
    </w:p>
  </w:endnote>
  <w:endnote w:type="continuationSeparator" w:id="0">
    <w:p w14:paraId="211C16A3" w14:textId="77777777" w:rsidR="004F7E53" w:rsidRDefault="004F7E53" w:rsidP="0082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224ECF18" w14:textId="77777777" w:rsidR="00FD2299" w:rsidRDefault="00FD2299">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w:t>
        </w:r>
        <w:r>
          <w:rPr>
            <w:rFonts w:hint="eastAsia"/>
            <w:noProof/>
            <w:lang w:eastAsia="zh-CN"/>
          </w:rPr>
          <w:t>13</w:t>
        </w:r>
        <w:r>
          <w:rPr>
            <w:noProof/>
          </w:rPr>
          <w:tab/>
        </w:r>
        <w:r>
          <w:rPr>
            <w:noProof/>
          </w:rPr>
          <w:tab/>
        </w:r>
      </w:p>
    </w:sdtContent>
  </w:sdt>
  <w:p w14:paraId="446B7D65" w14:textId="77777777" w:rsidR="00FD2299" w:rsidRDefault="00FD2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13A9" w14:textId="77777777" w:rsidR="00FD2299" w:rsidRDefault="00FD2299" w:rsidP="006737A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8F0E" w14:textId="77777777" w:rsidR="004F7E53" w:rsidRDefault="004F7E53" w:rsidP="00823FF7">
      <w:r>
        <w:separator/>
      </w:r>
    </w:p>
  </w:footnote>
  <w:footnote w:type="continuationSeparator" w:id="0">
    <w:p w14:paraId="6CF19782" w14:textId="77777777" w:rsidR="004F7E53" w:rsidRDefault="004F7E53" w:rsidP="0082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B6380" w14:textId="77777777" w:rsidR="00FD2299" w:rsidRPr="006F06E4" w:rsidRDefault="00FD2299" w:rsidP="006737A9">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67C1" w14:textId="77777777" w:rsidR="00FD2299" w:rsidRPr="006F06E4" w:rsidRDefault="00FD2299" w:rsidP="006737A9">
    <w:pPr>
      <w:pStyle w:val="Header"/>
      <w:jc w:val="right"/>
      <w:rPr>
        <w:b/>
        <w:color w:val="1F497D"/>
        <w:sz w:val="32"/>
        <w:szCs w:val="32"/>
      </w:rPr>
    </w:pPr>
    <w:r>
      <w:rPr>
        <w:b/>
        <w:noProof/>
        <w:color w:val="1F497D"/>
        <w:sz w:val="32"/>
        <w:szCs w:val="32"/>
        <w:lang w:eastAsia="zh-CN"/>
      </w:rPr>
      <w:drawing>
        <wp:anchor distT="0" distB="0" distL="114300" distR="114300" simplePos="0" relativeHeight="251659264" behindDoc="1" locked="0" layoutInCell="1" allowOverlap="1" wp14:anchorId="3489D45B" wp14:editId="26A47EBA">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27A05"/>
    <w:rsid w:val="0001526A"/>
    <w:rsid w:val="00022036"/>
    <w:rsid w:val="00024C9C"/>
    <w:rsid w:val="00025039"/>
    <w:rsid w:val="000279B8"/>
    <w:rsid w:val="00061546"/>
    <w:rsid w:val="00086352"/>
    <w:rsid w:val="000C5AD7"/>
    <w:rsid w:val="000C7521"/>
    <w:rsid w:val="000E0F89"/>
    <w:rsid w:val="000F7544"/>
    <w:rsid w:val="001072C7"/>
    <w:rsid w:val="00114965"/>
    <w:rsid w:val="0012589E"/>
    <w:rsid w:val="00171DB5"/>
    <w:rsid w:val="00192AC1"/>
    <w:rsid w:val="001A33D6"/>
    <w:rsid w:val="001C22AF"/>
    <w:rsid w:val="001D0273"/>
    <w:rsid w:val="002000CE"/>
    <w:rsid w:val="00246F1E"/>
    <w:rsid w:val="00281103"/>
    <w:rsid w:val="002C284B"/>
    <w:rsid w:val="002D651B"/>
    <w:rsid w:val="002D711A"/>
    <w:rsid w:val="00301823"/>
    <w:rsid w:val="00362262"/>
    <w:rsid w:val="00371751"/>
    <w:rsid w:val="003909DE"/>
    <w:rsid w:val="003C02B5"/>
    <w:rsid w:val="003E07FC"/>
    <w:rsid w:val="003F6E7F"/>
    <w:rsid w:val="004302DB"/>
    <w:rsid w:val="0044037F"/>
    <w:rsid w:val="00456E08"/>
    <w:rsid w:val="00463F03"/>
    <w:rsid w:val="00465997"/>
    <w:rsid w:val="00473453"/>
    <w:rsid w:val="004931BE"/>
    <w:rsid w:val="004E3BAD"/>
    <w:rsid w:val="004F7E53"/>
    <w:rsid w:val="005236D2"/>
    <w:rsid w:val="00527A05"/>
    <w:rsid w:val="00541437"/>
    <w:rsid w:val="005533C8"/>
    <w:rsid w:val="00567622"/>
    <w:rsid w:val="00572BF9"/>
    <w:rsid w:val="005759D5"/>
    <w:rsid w:val="005A346A"/>
    <w:rsid w:val="005B080C"/>
    <w:rsid w:val="005C7356"/>
    <w:rsid w:val="006008E3"/>
    <w:rsid w:val="00612C7D"/>
    <w:rsid w:val="006130AA"/>
    <w:rsid w:val="006737A9"/>
    <w:rsid w:val="00691C26"/>
    <w:rsid w:val="00694583"/>
    <w:rsid w:val="006D02C1"/>
    <w:rsid w:val="006D03F1"/>
    <w:rsid w:val="006D632D"/>
    <w:rsid w:val="006E32C1"/>
    <w:rsid w:val="006F4E47"/>
    <w:rsid w:val="00706D74"/>
    <w:rsid w:val="00732347"/>
    <w:rsid w:val="00761928"/>
    <w:rsid w:val="007709E5"/>
    <w:rsid w:val="007A13DC"/>
    <w:rsid w:val="007A6A0F"/>
    <w:rsid w:val="007B409A"/>
    <w:rsid w:val="007D0091"/>
    <w:rsid w:val="007E6239"/>
    <w:rsid w:val="0081258B"/>
    <w:rsid w:val="008138CA"/>
    <w:rsid w:val="00821A09"/>
    <w:rsid w:val="00823FF7"/>
    <w:rsid w:val="00830C49"/>
    <w:rsid w:val="008400F8"/>
    <w:rsid w:val="0084605D"/>
    <w:rsid w:val="00853FBE"/>
    <w:rsid w:val="00857951"/>
    <w:rsid w:val="00871808"/>
    <w:rsid w:val="00885746"/>
    <w:rsid w:val="0088672C"/>
    <w:rsid w:val="00890042"/>
    <w:rsid w:val="008A296A"/>
    <w:rsid w:val="008D67EF"/>
    <w:rsid w:val="008E14E9"/>
    <w:rsid w:val="0090080F"/>
    <w:rsid w:val="009078EC"/>
    <w:rsid w:val="0091300D"/>
    <w:rsid w:val="0091748C"/>
    <w:rsid w:val="00931C86"/>
    <w:rsid w:val="00932A6A"/>
    <w:rsid w:val="00957984"/>
    <w:rsid w:val="00966AC1"/>
    <w:rsid w:val="009711B5"/>
    <w:rsid w:val="009760DC"/>
    <w:rsid w:val="0097791F"/>
    <w:rsid w:val="0099047C"/>
    <w:rsid w:val="0099763B"/>
    <w:rsid w:val="009A50D9"/>
    <w:rsid w:val="009A5E36"/>
    <w:rsid w:val="009D0396"/>
    <w:rsid w:val="009D6DAF"/>
    <w:rsid w:val="009E16CB"/>
    <w:rsid w:val="009E231F"/>
    <w:rsid w:val="009E5E94"/>
    <w:rsid w:val="009F055E"/>
    <w:rsid w:val="00A00A88"/>
    <w:rsid w:val="00A0642C"/>
    <w:rsid w:val="00A24206"/>
    <w:rsid w:val="00A26463"/>
    <w:rsid w:val="00A53AAA"/>
    <w:rsid w:val="00A93EEF"/>
    <w:rsid w:val="00AB4FD0"/>
    <w:rsid w:val="00AC10E0"/>
    <w:rsid w:val="00AD1006"/>
    <w:rsid w:val="00AD3DE5"/>
    <w:rsid w:val="00AE1173"/>
    <w:rsid w:val="00B044C7"/>
    <w:rsid w:val="00B3337E"/>
    <w:rsid w:val="00B370A4"/>
    <w:rsid w:val="00B37ECB"/>
    <w:rsid w:val="00B51BB3"/>
    <w:rsid w:val="00B6799D"/>
    <w:rsid w:val="00BC3EED"/>
    <w:rsid w:val="00BC6E6B"/>
    <w:rsid w:val="00BE39F7"/>
    <w:rsid w:val="00BE4685"/>
    <w:rsid w:val="00BE516C"/>
    <w:rsid w:val="00BF0FD3"/>
    <w:rsid w:val="00C079C2"/>
    <w:rsid w:val="00C07C9B"/>
    <w:rsid w:val="00C121E1"/>
    <w:rsid w:val="00C146C3"/>
    <w:rsid w:val="00C14C26"/>
    <w:rsid w:val="00C4060F"/>
    <w:rsid w:val="00C42584"/>
    <w:rsid w:val="00C66F3D"/>
    <w:rsid w:val="00C81B64"/>
    <w:rsid w:val="00C86192"/>
    <w:rsid w:val="00C8782F"/>
    <w:rsid w:val="00C91889"/>
    <w:rsid w:val="00CA4147"/>
    <w:rsid w:val="00CA4647"/>
    <w:rsid w:val="00CB5A1A"/>
    <w:rsid w:val="00CC0253"/>
    <w:rsid w:val="00CE1C26"/>
    <w:rsid w:val="00CF1CC8"/>
    <w:rsid w:val="00D059F0"/>
    <w:rsid w:val="00D223A5"/>
    <w:rsid w:val="00D343D6"/>
    <w:rsid w:val="00D35907"/>
    <w:rsid w:val="00D36F40"/>
    <w:rsid w:val="00D72009"/>
    <w:rsid w:val="00D72127"/>
    <w:rsid w:val="00D76E54"/>
    <w:rsid w:val="00D80C86"/>
    <w:rsid w:val="00D80F2C"/>
    <w:rsid w:val="00D87CEE"/>
    <w:rsid w:val="00DB3D65"/>
    <w:rsid w:val="00DB7825"/>
    <w:rsid w:val="00DD3349"/>
    <w:rsid w:val="00DF3262"/>
    <w:rsid w:val="00E03F7A"/>
    <w:rsid w:val="00E0675D"/>
    <w:rsid w:val="00E35C37"/>
    <w:rsid w:val="00E506D0"/>
    <w:rsid w:val="00E5125B"/>
    <w:rsid w:val="00E6360A"/>
    <w:rsid w:val="00E71F1D"/>
    <w:rsid w:val="00E72032"/>
    <w:rsid w:val="00E84963"/>
    <w:rsid w:val="00E912C0"/>
    <w:rsid w:val="00EB0E2E"/>
    <w:rsid w:val="00EF47E9"/>
    <w:rsid w:val="00F04C52"/>
    <w:rsid w:val="00F07353"/>
    <w:rsid w:val="00F3542D"/>
    <w:rsid w:val="00F367ED"/>
    <w:rsid w:val="00F40874"/>
    <w:rsid w:val="00F610CC"/>
    <w:rsid w:val="00F65A6F"/>
    <w:rsid w:val="00FB1A53"/>
    <w:rsid w:val="00FC7154"/>
    <w:rsid w:val="00FD2299"/>
    <w:rsid w:val="00FF1702"/>
    <w:rsid w:val="00FF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90A1"/>
  <w15:docId w15:val="{D4204BA2-451E-4BB9-B124-F7843A38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05"/>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qFormat/>
    <w:rsid w:val="00527A0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27A05"/>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27A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7A05"/>
    <w:rPr>
      <w:rFonts w:ascii="Calibri" w:eastAsia="SimSun" w:hAnsi="Calibri" w:cs="Times New Roman"/>
      <w:b/>
      <w:bCs/>
      <w:color w:val="000000"/>
      <w:kern w:val="32"/>
      <w:sz w:val="28"/>
      <w:szCs w:val="32"/>
      <w:lang w:eastAsia="en-US"/>
    </w:rPr>
  </w:style>
  <w:style w:type="character" w:customStyle="1" w:styleId="Heading2Char">
    <w:name w:val="Heading 2 Char"/>
    <w:link w:val="Heading2"/>
    <w:rsid w:val="00527A05"/>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527A05"/>
    <w:rPr>
      <w:rFonts w:asciiTheme="majorHAnsi" w:eastAsiaTheme="majorEastAsia" w:hAnsiTheme="majorHAnsi" w:cstheme="majorBidi"/>
      <w:b/>
      <w:bCs/>
      <w:color w:val="4F81BD" w:themeColor="accent1"/>
      <w:kern w:val="0"/>
      <w:sz w:val="24"/>
      <w:szCs w:val="24"/>
      <w:lang w:eastAsia="en-US"/>
    </w:rPr>
  </w:style>
  <w:style w:type="paragraph" w:styleId="NormalWeb">
    <w:name w:val="Normal (Web)"/>
    <w:basedOn w:val="Normal"/>
    <w:rsid w:val="00527A05"/>
    <w:pPr>
      <w:spacing w:before="100" w:beforeAutospacing="1" w:after="100" w:afterAutospacing="1"/>
    </w:pPr>
  </w:style>
  <w:style w:type="character" w:styleId="Hyperlink">
    <w:name w:val="Hyperlink"/>
    <w:uiPriority w:val="99"/>
    <w:rsid w:val="00527A05"/>
    <w:rPr>
      <w:color w:val="0000FF"/>
      <w:u w:val="single"/>
    </w:rPr>
  </w:style>
  <w:style w:type="paragraph" w:styleId="Header">
    <w:name w:val="header"/>
    <w:basedOn w:val="Normal"/>
    <w:link w:val="HeaderChar"/>
    <w:rsid w:val="00527A05"/>
    <w:pPr>
      <w:tabs>
        <w:tab w:val="center" w:pos="4680"/>
        <w:tab w:val="right" w:pos="9360"/>
      </w:tabs>
    </w:pPr>
  </w:style>
  <w:style w:type="character" w:customStyle="1" w:styleId="HeaderChar">
    <w:name w:val="Header Char"/>
    <w:link w:val="Header"/>
    <w:rsid w:val="00527A05"/>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527A05"/>
    <w:pPr>
      <w:tabs>
        <w:tab w:val="center" w:pos="4680"/>
        <w:tab w:val="right" w:pos="9360"/>
      </w:tabs>
    </w:pPr>
  </w:style>
  <w:style w:type="character" w:customStyle="1" w:styleId="FooterChar">
    <w:name w:val="Footer Char"/>
    <w:link w:val="Footer"/>
    <w:uiPriority w:val="99"/>
    <w:rsid w:val="00527A05"/>
    <w:rPr>
      <w:rFonts w:ascii="Calibri" w:eastAsia="SimSun" w:hAnsi="Calibri" w:cs="Calibri"/>
      <w:color w:val="000000"/>
      <w:kern w:val="0"/>
      <w:sz w:val="24"/>
      <w:szCs w:val="24"/>
      <w:lang w:eastAsia="en-US"/>
    </w:rPr>
  </w:style>
  <w:style w:type="character" w:styleId="CommentReference">
    <w:name w:val="annotation reference"/>
    <w:rsid w:val="00527A05"/>
    <w:rPr>
      <w:sz w:val="18"/>
      <w:szCs w:val="18"/>
    </w:rPr>
  </w:style>
  <w:style w:type="paragraph" w:styleId="CommentText">
    <w:name w:val="annotation text"/>
    <w:basedOn w:val="Normal"/>
    <w:link w:val="CommentTextChar"/>
    <w:rsid w:val="00527A05"/>
  </w:style>
  <w:style w:type="character" w:customStyle="1" w:styleId="CommentTextChar">
    <w:name w:val="Comment Text Char"/>
    <w:link w:val="CommentText"/>
    <w:rsid w:val="00527A05"/>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rsid w:val="00527A05"/>
    <w:rPr>
      <w:b/>
      <w:bCs/>
      <w:sz w:val="20"/>
      <w:szCs w:val="20"/>
    </w:rPr>
  </w:style>
  <w:style w:type="character" w:customStyle="1" w:styleId="CommentSubjectChar">
    <w:name w:val="Comment Subject Char"/>
    <w:link w:val="CommentSubject"/>
    <w:rsid w:val="00527A05"/>
    <w:rPr>
      <w:rFonts w:ascii="Calibri" w:eastAsia="SimSun" w:hAnsi="Calibri" w:cs="Calibri"/>
      <w:b/>
      <w:bCs/>
      <w:color w:val="000000"/>
      <w:kern w:val="0"/>
      <w:sz w:val="20"/>
      <w:szCs w:val="20"/>
      <w:lang w:eastAsia="en-US"/>
    </w:rPr>
  </w:style>
  <w:style w:type="paragraph" w:styleId="BalloonText">
    <w:name w:val="Balloon Text"/>
    <w:basedOn w:val="Normal"/>
    <w:link w:val="BalloonTextChar"/>
    <w:rsid w:val="00527A05"/>
    <w:rPr>
      <w:rFonts w:ascii="Lucida Grande" w:hAnsi="Lucida Grande"/>
      <w:sz w:val="18"/>
      <w:szCs w:val="18"/>
    </w:rPr>
  </w:style>
  <w:style w:type="character" w:customStyle="1" w:styleId="BalloonTextChar">
    <w:name w:val="Balloon Text Char"/>
    <w:link w:val="BalloonText"/>
    <w:rsid w:val="00527A05"/>
    <w:rPr>
      <w:rFonts w:ascii="Lucida Grande" w:eastAsia="SimSun" w:hAnsi="Lucida Grande" w:cs="Calibri"/>
      <w:color w:val="000000"/>
      <w:kern w:val="0"/>
      <w:sz w:val="18"/>
      <w:szCs w:val="18"/>
      <w:lang w:eastAsia="en-US"/>
    </w:rPr>
  </w:style>
  <w:style w:type="character" w:styleId="PageNumber">
    <w:name w:val="page number"/>
    <w:basedOn w:val="DefaultParagraphFont"/>
    <w:rsid w:val="00527A05"/>
  </w:style>
  <w:style w:type="character" w:styleId="FollowedHyperlink">
    <w:name w:val="FollowedHyperlink"/>
    <w:rsid w:val="00527A05"/>
    <w:rPr>
      <w:color w:val="800080"/>
      <w:u w:val="single"/>
    </w:rPr>
  </w:style>
  <w:style w:type="character" w:customStyle="1" w:styleId="apple-converted-space">
    <w:name w:val="apple-converted-space"/>
    <w:basedOn w:val="DefaultParagraphFont"/>
    <w:rsid w:val="00527A05"/>
  </w:style>
  <w:style w:type="character" w:styleId="IntenseEmphasis">
    <w:name w:val="Intense Emphasis"/>
    <w:qFormat/>
    <w:rsid w:val="00527A05"/>
    <w:rPr>
      <w:b/>
      <w:bCs/>
      <w:i/>
      <w:iCs/>
      <w:color w:val="4F81BD"/>
    </w:rPr>
  </w:style>
  <w:style w:type="paragraph" w:customStyle="1" w:styleId="Exampletext">
    <w:name w:val="Example text"/>
    <w:basedOn w:val="Normal"/>
    <w:link w:val="ExampletextChar"/>
    <w:qFormat/>
    <w:rsid w:val="00527A05"/>
    <w:pPr>
      <w:spacing w:after="240"/>
    </w:pPr>
    <w:rPr>
      <w:color w:val="7F7F7F"/>
    </w:rPr>
  </w:style>
  <w:style w:type="character" w:customStyle="1" w:styleId="ExampletextChar">
    <w:name w:val="Example text Char"/>
    <w:link w:val="Exampletext"/>
    <w:rsid w:val="00527A05"/>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527A05"/>
    <w:pPr>
      <w:ind w:left="720"/>
      <w:contextualSpacing/>
    </w:pPr>
  </w:style>
  <w:style w:type="paragraph" w:styleId="Revision">
    <w:name w:val="Revision"/>
    <w:hidden/>
    <w:uiPriority w:val="99"/>
    <w:semiHidden/>
    <w:rsid w:val="00527A05"/>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527A05"/>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527A05"/>
    <w:rPr>
      <w:rFonts w:ascii="Calibri" w:eastAsia="Calibri" w:hAnsi="Calibri" w:cs="Calibri"/>
      <w:kern w:val="0"/>
      <w:sz w:val="24"/>
      <w:szCs w:val="24"/>
      <w:lang w:eastAsia="en-US"/>
    </w:rPr>
  </w:style>
  <w:style w:type="character" w:styleId="Strong">
    <w:name w:val="Strong"/>
    <w:basedOn w:val="DefaultParagraphFont"/>
    <w:uiPriority w:val="22"/>
    <w:qFormat/>
    <w:rsid w:val="00527A05"/>
    <w:rPr>
      <w:b/>
      <w:bCs/>
    </w:rPr>
  </w:style>
  <w:style w:type="character" w:styleId="Emphasis">
    <w:name w:val="Emphasis"/>
    <w:basedOn w:val="DefaultParagraphFont"/>
    <w:uiPriority w:val="20"/>
    <w:qFormat/>
    <w:rsid w:val="00527A05"/>
    <w:rPr>
      <w:i/>
      <w:iCs/>
    </w:rPr>
  </w:style>
  <w:style w:type="character" w:styleId="LineNumber">
    <w:name w:val="line number"/>
    <w:basedOn w:val="DefaultParagraphFont"/>
    <w:uiPriority w:val="99"/>
    <w:semiHidden/>
    <w:unhideWhenUsed/>
    <w:rsid w:val="00527A05"/>
  </w:style>
  <w:style w:type="character" w:customStyle="1" w:styleId="UnresolvedMention1">
    <w:name w:val="Unresolved Mention1"/>
    <w:basedOn w:val="DefaultParagraphFont"/>
    <w:uiPriority w:val="99"/>
    <w:semiHidden/>
    <w:unhideWhenUsed/>
    <w:rsid w:val="00527A05"/>
    <w:rPr>
      <w:color w:val="808080"/>
      <w:shd w:val="clear" w:color="auto" w:fill="E6E6E6"/>
    </w:rPr>
  </w:style>
  <w:style w:type="paragraph" w:customStyle="1" w:styleId="EndNoteBibliographyTitle">
    <w:name w:val="EndNote Bibliography Title"/>
    <w:basedOn w:val="Normal"/>
    <w:link w:val="EndNoteBibliographyTitleChar"/>
    <w:rsid w:val="00527A05"/>
    <w:pPr>
      <w:jc w:val="center"/>
    </w:pPr>
    <w:rPr>
      <w:noProof/>
    </w:rPr>
  </w:style>
  <w:style w:type="character" w:customStyle="1" w:styleId="EndNoteBibliographyTitleChar">
    <w:name w:val="EndNote Bibliography Title Char"/>
    <w:basedOn w:val="DefaultParagraphFont"/>
    <w:link w:val="EndNoteBibliographyTitle"/>
    <w:rsid w:val="00527A05"/>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Char"/>
    <w:rsid w:val="00527A05"/>
    <w:pPr>
      <w:jc w:val="left"/>
    </w:pPr>
    <w:rPr>
      <w:noProof/>
    </w:rPr>
  </w:style>
  <w:style w:type="character" w:customStyle="1" w:styleId="EndNoteBibliographyChar">
    <w:name w:val="EndNote Bibliography Char"/>
    <w:basedOn w:val="DefaultParagraphFont"/>
    <w:link w:val="EndNoteBibliography"/>
    <w:rsid w:val="00527A05"/>
    <w:rPr>
      <w:rFonts w:ascii="Calibri" w:eastAsia="SimSun" w:hAnsi="Calibri" w:cs="Calibri"/>
      <w:noProof/>
      <w:color w:val="000000"/>
      <w:kern w:val="0"/>
      <w:sz w:val="24"/>
      <w:szCs w:val="24"/>
      <w:lang w:eastAsia="en-US"/>
    </w:rPr>
  </w:style>
  <w:style w:type="character" w:styleId="PlaceholderText">
    <w:name w:val="Placeholder Text"/>
    <w:basedOn w:val="DefaultParagraphFont"/>
    <w:uiPriority w:val="99"/>
    <w:semiHidden/>
    <w:rsid w:val="00527A05"/>
    <w:rPr>
      <w:color w:val="808080"/>
    </w:rPr>
  </w:style>
  <w:style w:type="paragraph" w:styleId="Date">
    <w:name w:val="Date"/>
    <w:basedOn w:val="Normal"/>
    <w:next w:val="Normal"/>
    <w:link w:val="DateChar"/>
    <w:uiPriority w:val="99"/>
    <w:semiHidden/>
    <w:unhideWhenUsed/>
    <w:rsid w:val="001072C7"/>
    <w:pPr>
      <w:ind w:leftChars="2500" w:left="100"/>
    </w:pPr>
  </w:style>
  <w:style w:type="character" w:customStyle="1" w:styleId="DateChar">
    <w:name w:val="Date Char"/>
    <w:basedOn w:val="DefaultParagraphFont"/>
    <w:link w:val="Date"/>
    <w:uiPriority w:val="99"/>
    <w:semiHidden/>
    <w:rsid w:val="001072C7"/>
    <w:rPr>
      <w:rFonts w:ascii="Calibri" w:eastAsia="SimSun"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F170-DCF6-4BB0-A54D-BCAACAEF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c:creator>
  <cp:lastModifiedBy>Nam Nguyen</cp:lastModifiedBy>
  <cp:revision>22</cp:revision>
  <dcterms:created xsi:type="dcterms:W3CDTF">2021-02-17T17:05:00Z</dcterms:created>
  <dcterms:modified xsi:type="dcterms:W3CDTF">2021-02-24T16:41:00Z</dcterms:modified>
</cp:coreProperties>
</file>