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a Simplified Three-Dimensional Skin-on-a-chip Model in a Micromachined Microfluidic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Risue&amp;#241;o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 Valencia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 Holgado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 L. Jorcano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 Velasco</w:t>
      </w:r>
      <w:r>
        <w:rPr>
          <w:rFonts w:ascii="Calibri" w:hAnsi="Calibri" w:cs="Calibri" w:eastAsia="Calibri"/>
          <w:color w:val="auto"/>
          <w:spacing w:val="0"/>
          <w:position w:val="0"/>
          <w:sz w:val="24"/>
          <w:shd w:fill="auto" w:val="clear"/>
          <w:vertAlign w:val="superscript"/>
        </w:rPr>
        <w:t xml:space="preserve">1,4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and Aerospace Engineering, Universidad Carlos III de Madrid (UC3M),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Group of Optics, Photonics and Biophotonics (GOFB). Center for Biomedical Technology. Universidad Polit&amp;#233;cnica de Madrid, Spain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Epithelial Biomedicine, CIEMAT,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Instituto de Investigaci&amp;#243;n Sanitaria Gregorio Mara&amp;#241;&amp;#243;n, Madrid,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Risue&amp;#241;o</w:t>
        <w:tab/>
        <w:tab/>
        <w:t xml:space="preserve">(irisueno@ing.uc3m.es)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Holgado </w:t>
        <w:tab/>
        <w:tab/>
        <w:t xml:space="preserve">(m.holgado@upm.es)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L. Jorcano</w:t>
        <w:tab/>
        <w:tab/>
        <w:t xml:space="preserve">(jjorcano@ing.uc3m.es)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Velasco</w:t>
        <w:tab/>
        <w:tab/>
        <w:t xml:space="preserve">(divelasc@ing.uc3m.es)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Valencia</w:t>
        <w:tab/>
        <w:tab/>
        <w:t xml:space="preserve">(lvalenci@ing.uc3m.es)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generate a three-dimensional simplified and undifferentiated skin model using a micromachined microfluidic platform. A parallel flow approach allows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deposition of a dermal compartment for the seeding of epithelial cells on top, all controlled by syringe pumps.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new, cost-effective, and reliable microfluidic platform with the potential to generate complex multilayered tissues. As a proof of concept, a simplified and undifferentiated human skin containing a dermal (stromal) and an epidermal (epithelial) compartment has been modelled. To accomplish this, a versatile and robust, vinyl-based device divided into two chambers has been developed, overcoming some of the drawbacks present in microfluidic devices based on polydimethylsiloxane (PDMS) for biomedical applications, such as the use of expensive and specialized equipment or the absorption of small, hydrophobic molecules and proteins. Moreover, a new method based on parallel flow was developed, enabling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deposition of both the dermal and epidermal compartments. The skin construct consists of a fibrin matrix containing human primary fibroblasts and a monolayer of immortalized keratinocytes seeded on top, which is subsequently maintained under dynamic culture conditions. This new microfluidic platform opens the possibility to model human skin diseases and extrapolate the method to generate other complex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advances have been made toward the development and production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human skin models for the analysis of the toxicity of cosmetic and pharmaceutical products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Researchers in pharmaceutical and skin care industries have been using animals, mice being the most common, to test their products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testing products on animals is not always predictive of the response in humans, which frequently leads to drug failure or adverse effects in humans and consequently to economic losses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UK was the first country that prohibited the use of animals for cosmetic testing in 1998. Later, in 2013, the EU banned the testing and approbation of cosmetics in animals (EU Cosmetics Regulation No. 1223/2009)</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prohibition is also being considered by other countries such as in ‘The Humane Cosmetics Act’ in the USA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ethical concerns, the anatomical differences between animal and human skin make animal testing time-consuming, expensive, and often ineffective. Furthermore, the global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toxicology testing market size is expected to reach USD 26.98 billion by 2025</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these reasons, there is a need to develop new methods and alternatives for those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such as bioengineered human skin models, that enable testing for safety and toxic effects of cosmetics and drugs without the use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different kinds of commercially available,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human skin models. The first type consists of stratified epidermal equivalents containing multiple layers of differentiating keratinocytes that are seeded on different materials. Some of them have been approved by the Organization for Economic Co-operation and Development (OECD) and validated by the (European Centre for the Validation of Alternative Methods (ECVAM) for skin corrosion and irritation testing, such as EpiDerm or SkinEthic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second type are full-skin equivalents with a layer of differentiating human keratinocytes seeded on a three-dimensional (3D) scaffold that contains fibroblasts, such as T-Skin and EpiDerm-FT. However, these models are cultured under static conditions, which makes them unable to accurately represent human physiological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Recent interest has focused on generating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skin models in cell culture-insert (CCI) formats with dynamic perfusion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these systems cannot be considered </w:t>
      </w:r>
      <w:r>
        <w:rPr>
          <w:rFonts w:ascii="Calibri" w:hAnsi="Calibri" w:cs="Calibri" w:eastAsia="Calibri"/>
          <w:i/>
          <w:color w:val="auto"/>
          <w:spacing w:val="0"/>
          <w:position w:val="0"/>
          <w:sz w:val="24"/>
          <w:shd w:fill="auto" w:val="clear"/>
        </w:rPr>
        <w:t xml:space="preserve">stricto sensu</w:t>
      </w:r>
      <w:r>
        <w:rPr>
          <w:rFonts w:ascii="Calibri" w:hAnsi="Calibri" w:cs="Calibri" w:eastAsia="Calibri"/>
          <w:color w:val="auto"/>
          <w:spacing w:val="0"/>
          <w:position w:val="0"/>
          <w:sz w:val="24"/>
          <w:shd w:fill="auto" w:val="clear"/>
        </w:rPr>
        <w:t xml:space="preserve"> as microfluidic skin-on-chips as per their classical definition in the field. Ingber’s definition for organs-on-a-chip states that the organ must be placed inside the microfluidic channels, which is a condition that only a few devices fulfil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Skin-on-chips have so far modelled mostly simple epithelia as single-cell layers and/or dermal cell layers separated by a porous membrane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Although there have been some advances modeling skin in microfluidic systems</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there is currently no literature showing an organ-on-a-chip system that fits Ingber’s definition, capable of producing a multilayered skin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and including both epithelial and stromal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new, cost-effective, robust, vinyl-based microfluidic platform for skin-on-a-chip applications is presented. This platform was produced by micro-machining, which provides more simplicity in the fabrication process, as well as increased flexibility and versatility in the layout of the device, overcoming some of the limitations of PDMS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way to introduce a simplified skin construct through a parallel flow controlled with syringe pumps was also designed. P</w:t>
      </w:r>
      <w:r>
        <w:rPr>
          <w:rFonts w:ascii="Calibri" w:hAnsi="Calibri" w:cs="Calibri" w:eastAsia="Calibri"/>
          <w:color w:val="auto"/>
          <w:spacing w:val="0"/>
          <w:position w:val="0"/>
          <w:sz w:val="24"/>
          <w:shd w:fill="FFFFFF" w:val="clear"/>
        </w:rPr>
        <w:t xml:space="preserve">arallel flow allows two fluids with very different viscosities (a buffer and fibrin pre-gel in this case) to be perfused through a channel without mixing with each other. </w:t>
      </w:r>
      <w:r>
        <w:rPr>
          <w:rFonts w:ascii="Calibri" w:hAnsi="Calibri" w:cs="Calibri" w:eastAsia="Calibri"/>
          <w:color w:val="auto"/>
          <w:spacing w:val="0"/>
          <w:position w:val="0"/>
          <w:sz w:val="24"/>
          <w:shd w:fill="auto" w:val="clear"/>
        </w:rPr>
        <w:t xml:space="preserve">As a proof of concept, a dermo-epidermal construct containing fibroblasts embedded in a fibrin matrix mimicking the dermis was introduced in the device, on top of which a monolayer of keratinocytes was loaded to emulate the undifferentiated epidermis. </w:t>
      </w:r>
      <w:r>
        <w:rPr>
          <w:rFonts w:ascii="Calibri" w:hAnsi="Calibri" w:cs="Calibri" w:eastAsia="Calibri"/>
          <w:color w:val="auto"/>
          <w:spacing w:val="0"/>
          <w:position w:val="0"/>
          <w:sz w:val="24"/>
          <w:shd w:fill="FFFFFF" w:val="clear"/>
        </w:rPr>
        <w:t xml:space="preserve">The dermal compartment height can be modulated by modifying the flow rates. </w:t>
      </w:r>
      <w:r>
        <w:rPr>
          <w:rFonts w:ascii="Calibri" w:hAnsi="Calibri" w:cs="Calibri" w:eastAsia="Calibri"/>
          <w:color w:val="auto"/>
          <w:spacing w:val="0"/>
          <w:position w:val="0"/>
          <w:sz w:val="24"/>
          <w:shd w:fill="auto" w:val="clear"/>
        </w:rPr>
        <w:t xml:space="preserve">The main novelty of this work, compared to previously described models</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is the development of a 3D construct inside a microchamber by means of microfluidics. Although this article presents a simplified undifferentiated skin, the long-term goal is to generate and characterize a fully differentiated skin construct to demonstrate its viability and functionality for drug and cosmetic testing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Chip design and micromachining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Design the microfluidic chip layers with FreeCAD open-source design software;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dimensions of the channels. Include four 2.54 mm diameter holes in the design to use a custom-made aligner for a correct layer superposition.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Cut 95 &amp;#181;m-thick, adhesive, transparent vinyl sheets into 30 cm x 30 cm squares to fit in the plotter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Use Brother CanvasWorkspace software to create a 30 cm x 30 cm workspace, and fill it with the designed patterns for the different layers of the chip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Store it in a .svg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Cut the 30 cm x 30 cm vinyl sheets with the edge plotter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 Stick the vinyl sheet to a low tack adhesive mat, and eliminate all the air bubbles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Upload the .svg file to the plotter, and set the cutting parameters: cutting blade: level 3; cutting pressure: level 0; cutting speed: level 1. Place the adhesive mat with the vinyl into the plotter, and start the cutting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Cut the top channel pattern on 12 &amp;#181;m-thick double-sided tape vinyl by following the previous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PDMS layer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Mix the PDMS and curing agent in a ratio of 10:1 (v/v), and place the mixture under vacuum for 15 min to remove air bubbles. Pour 55 mL of the mixture into a 55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square culture dish to obtain a 2 mm-thick layer. Remove bubbles with a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Cure the mixture (step 2.1) in an oven for 1 h at 80 &amp;#176;C. Unmold the PDMS and cut it into rectangles with the chip dimensions. Make holes for the tubing with an 18 G syringe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Chip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better understanding,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Assemble the whole device using an aligner to adjust channels, inlets, and outlets properly. Pile up four vinyl layers (with the corresponding bottom micropattern) for assembling the lower channel, keeping the cover tape of the bottom layer to avoid sticking to the aligner.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Cut and place the polycarbonate (PC) porous membrane on top of the lower channel to separate it from the upper one. Be careful not to cover the inlets of the lower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ten vinyl layers with the upper chamber design. Stick a double-sided tape vinyl layer with the top-channel pattern on top. Remove the chip from the aligner and stick it on the glass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a 2-mm-thick PDMS sheet on top of the double-sided tape vinyl layer to provide appropriate anchoring for the tubing and to avoid leakage. Leave a weight on top of the chip overnight to ensure the chip is completely watertight. Sterilize the chip by flushing 70% v/v ethanol for 5 min, and then wash with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Pump connections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graphical representation of pumps connections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Connect Pump 1 to the Upper Chamber Inlet 1 (UCi1).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Connect Pump 2 to the Upper Chamber Inlet 2 (UCi2).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Connect Pump 3 to the Lower Chamber Inlet (LCi).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Connect Upper Chamber Outlet (UCo) and Lower Chamber Outlet (LCo) to a waste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Connect the syringes to each inlet using polytetrafluoroethylene (PTFE) tubes and 18 G stainless steel connectors.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HaCaT cell line has a commercial origin. Human primary fibroblasts come from healthy donors and were obtained from the collection of biological samples of human origin registered in “Registro Nacional de Biobancos para Investigaci&amp;#243;n Biom&amp;#233;dica del Instituto de Salud Carlos III”.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Work in a cell culture hood, previously sterilized under ultraviolet light and wiped with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Thaw H2B-GFP-HaCaT cells (human immortalized skin keratinocytes, hKCs) and GFP-human primary fibroblasts (hFBs) at 37 &amp;#176;C, add 2 mL of culture medium, and centrifuge for 7 min at 20 &amp;#176;C at 250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H2B-GFP-HaCaT cells are human immortalized keratinocytes modified to express a hybrid histone H2B-green fluorescent protein (GFP), providing their nuclei with green fluorescence. GFP-hFBs are human primary fibroblasts transformed with the vector pLZRS-IRES-EGFP to express cytoplasmic green fluorescence. These cells were modified following previously published protocols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Culture both hKCs and hFBs in 1x DMEM supplemented with 10% fetal bovine serum and 1% of antibiotic/antimycotic solution. Pre-warm the culture medium at 37 &amp;#176;C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Detach the cells by washing them with 1x phosphate-buffered saline (PBS), adding 2 mL of trypsin/ethylenediamine tetraacetic acid (EDTA) and incubating them for 10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Inactivate trypsin adding 4 mL of culture medium. Resuspend the cells, and transfer them to a 15 mL tube. Remove 10 &amp;#181;L to count cells on a Neubauer chamber and determine the appropriate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Centrifuge the 15 mL tube for 7 min at 20 &amp;#176;C at 250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and resuspend the pellets at the desired concentration: hFBs at 50,000 cells/mL and hKCs at 5·&amp;#215;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Fibrinogen pre-gel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Activate thrombin by adding 1mL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w/v in NaCl) to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the following components to obtain 1 mL of a fibrin hydrogel at a final concentration of fibrin of 3.5 mg/mL: 59 &amp;#181;L of activated thrombin (10 NIH units/mL), 59 &amp;#181;L of tranexamic acid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100 mg/mL), 764 &amp;#181;L of culture medium containing 50,000 hFBs/mL, 118 &amp;#181;L of fibrinogen (20 mg/mL in NaCl (0.9%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Fibrinogen must be added at the last moment.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Parallel flow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Pump 1x PBS with pump 3 through the LCi at 50 &amp;#181;L/min during the whole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Pump sacrificial fluid (1x PBS) with pump 2 through the UCi2 at 100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Load the syringe with the pre-gel, rapidly place it into pump 1, and run it at 200 &amp;#181;L/min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Stop pumps 1 and 2 once the pre-gel exits the UCo.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Leave the chip without removing the tubing at 37 &amp;#176;C for at least 10 min to allow gelation.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Pump the culture medium at 50 &amp;#181;L/h with pump 3 through UCi2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Block UCi1 with a cap.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hKCs monolayer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Check that hFBs are spread 24 h after the generation of the dermal compartment.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Introduce the hKCs with pump 2 through UCi2 at 5 &amp;#215;·10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at 40 &amp;#181;L/min for 1 min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Leave the chip overnight at 37 &amp;#176;C in a humidity-saturated incubator for cell attachment.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Pump fresh culture medium with pump 3 only through LCi at 50 &amp;#181;L/min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Cell viability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Live/Dead kit stains cells with green or red fluorescence depending on their live or dead state. For proper viability differentiation, non-fluorescent hKCs and hFBs must  be used in this step. All the steps in the procedure are carried out through UCi2 with pump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Wash the top channel with 1x PBS for 5 min at 50 &amp;#181;L/min to remove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Pump air to remove the 1x PBS at 50 &amp;#181;L/min.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Prepare Calcein AM/Ethidium homodimer-1 Kit (Live/Dead) solution by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Pump Live/Dead solution at 50 &amp;#181;L/min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Incubate 30 min at 37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Wash top channel by pumping 1x PBS at 50 &amp;#181;L/min for 2 min to remove any remaining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Observe the sample under the confocal microscope. Use an excitation wavelength of 495/590 nm and an emission wavelength of 519/617 nm for live and dead cells,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designed chip is composed of two fluidic chambers separated by a 5 &amp;#181;m pore size PC membrane that allows the growth of the cell by allowing the passage of growth-promoting molecules from the lower chamber. The upper chamber holds the tissue construct, in this case, a monolayer of hKCs on a fibrin hydrogel containing hFBs.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The height of the channels is determined by the number of adhesive sheets added to each channel. The lower chamber is composed of 4 layers (380 &amp;#181;m) and the upper one of 10 one-sided tape layers and a double-sided one (962 &amp;#181;m). The dimensions of the chip are 4 cm x 2 cm, which enhances its manipulation. The adhesive vinyl sheets provide water-tightness and transparency for visual inspection of the device. The PDMS layer was useful for the proper anchoring of llthe tubing to avoid any leakage from the holes where the tubes were fixed.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published literature, the injectability of cell-containing hydrogels into microfluidic chambers using syringe pumps has not been reported to date. For this reason, the injectability of the fibrin pre-gel had to be assessed. We observed that under a flow of 50 &amp;#181;L/min, the syringe was blocked. However, flow rates higher than 200 &amp;#181;L/min could damage the cells. Rheological studies were performed to test the shear thinning behavior of the fibrin pre-gel, obtaining viscosities from 10 to 50 cP within the selected flow rate range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&amp;#181;L/min). These results helped to establish the working conditions of this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parallel flow method has been developed based on the generation of two superimposed laminar flows the lower one being the pre-gel, while the upper one was sacrificial fluid (PBS). Numerically solving Navier-Stokes equations and imposing the appropriate boundary conditions, we found that there were multiple possible solutions to obtain the desired height. Considering the shear rate limits established earlier, to achieve a hydrogel of approximately 500 &amp;#181;m height, the flow rates were 104 and 222 &amp;#181;L/min for the sacrificial PBS and the pre-gel, respectively. In practice, microflow rates of 100 and 200 &amp;#181;L/min were used for simplicity. When re-introduced in the model, these values were found to result in a gel height of 576 &amp;#181;m, very similar to the expected values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To experimentally check the functioning of the proposed method, the height of the hydrogel along the upper chamber was measured. An average height of 550 &amp;#181;m was observed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quite similar to the prediction of our mathematical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r>
        <w:rPr>
          <w:rFonts w:ascii="Calibri" w:hAnsi="Calibri" w:cs="Calibri" w:eastAsia="Calibri"/>
          <w:color w:val="auto"/>
          <w:spacing w:val="0"/>
          <w:position w:val="0"/>
          <w:sz w:val="24"/>
          <w:shd w:fill="00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establishing the protocol at the beginning, PBS was not flushed through the lower channel, leading to discrepancies between the theoretical height of the gel and the one measured. This difference in height was ~40% compared with the estimated one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Once the protocol was optimized and PBS pumped through the lower chamber, this loss in height was resolved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a fluorescent top view image of the upper chamber containing a fibrin hydrogel with embedded GFP-hFBs, demonstrating that 24 h after loading, cells are uniformly distributed along the chamber and well spread.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confluent GFP-hKCs seeded on top of the hydrogel.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             [Place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keep the system closed overnight until the hKCs sediment and attach to the hydrogel surface. When the tubing is removed before cell attachment, air bubbles enter the channel and displace cells, leading to a nonuniform confluent monolayer,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viability test performed on hFBs embedded in the hydrogel was carried out 24 h after loading using the parallel flow method, showing a cell viability of ~95%. The same test performed on hKCs cells 24 h after seeding them on the fibrin hydrogel showed similar results. The next step was to generate a dermo-epidermal construct and study its structure using confocal microscopy after 24 h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crucial to find an equilibrium between the shear thinning behavior of the fibrinogen gel and its gelation time: if it takes too long to establish the parallel flow, it coagulates and blocks the system; if the gelation process is too slow, hFBs in the hydrogel will sediment as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The behavior of this transient state can be regulated by varying the thrombin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device planification and posterior experimental practices, some complications arose that had to be solved to obtain an optimally functioning device and well-structured tissue. These problems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along with the solutions for troubleshooting.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Chip design and micromachining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Software layout showing the working space filled with both the top and bottom patterns designed for the chip.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Edge plotter during cutting process; cutting blade, whole vinyl sheet, and adhesive mat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Patterned vinyl being detached from the cut sheet.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Sample of an adhesive vinyl layer patterned with the top channel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D966"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Microfluidic chip assembly.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General scheme of the assembly of the device. Lower and upper chambers are composed of four and eleven superimposed vinyl sheets,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and lateral views of the microfluidic chip. Top and bottom channels are represented in pink and blue,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the chip assembly using a custom-made aligner.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Chip image after complete assembly.</w:t>
      </w:r>
    </w:p>
    <w:p>
      <w:pPr>
        <w:spacing w:before="0" w:after="0" w:line="240"/>
        <w:ind w:right="0" w:left="0" w:firstLine="0"/>
        <w:jc w:val="both"/>
        <w:rPr>
          <w:rFonts w:ascii="Calibri" w:hAnsi="Calibri" w:cs="Calibri" w:eastAsia="Calibri"/>
          <w:color w:val="auto"/>
          <w:spacing w:val="0"/>
          <w:position w:val="0"/>
          <w:sz w:val="24"/>
          <w:shd w:fill="FFD966"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Pump connections and inlets/outlets location.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showing the connection of the three different pumps to their respective inlets. Outlets connect to a waste container.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Chip image with labeled inlets and outlets. Abbreviations: LCi = lower chamber inlet; LCo = lower chamber outlet; UCi2 = upper chamber inlet 2; UCo = upper chamber outlet.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Microfluidic protocol for the generation of the dermo-epidermal construct.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Transverse cross-section showing the parallel flow process to generate the dermal compartment.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Keratinocyte monolayer seeding 24 h after dermal compartment generation.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culture maintenance inside the microfluidic device.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Cross-sectional recreation of the skin inside the chip.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Parallel flow mathematical solutions to choose the appropriate pre-gel and sacrificial fluid flows to obtain the desired dermal height.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Front view of the confocal image of hKCs seeded on top of the fibrin gel to assess its height.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Mathematical solution for different heights depending on the pre-gel and PBS flow rates. Abbreviations: hKCs = human immortalized skin keratinocytes; PBS = phosphate-buffered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Confocal view of hKCs seeded on top of the hydrogel to measure its height when PBS was not pumped through the lower chamber. </w:t>
      </w:r>
      <w:r>
        <w:rPr>
          <w:rFonts w:ascii="Calibri" w:hAnsi="Calibri" w:cs="Calibri" w:eastAsia="Calibri"/>
          <w:color w:val="auto"/>
          <w:spacing w:val="0"/>
          <w:position w:val="0"/>
          <w:sz w:val="24"/>
          <w:shd w:fill="auto" w:val="clear"/>
        </w:rPr>
        <w:t xml:space="preserve">Abbreviations: hKCs = human immortalized skin keratinocytes; PBS = phosphate-buffered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Fluorescence images of the upper channel showing different cells seeded in the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of the upper chamber 24 h after parallel flow protocol showing the hFBs embedded in the fibrin 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Confluent GFP-hKCs seeded on top of the hydrogel 24 h after hydrogel generation. Dashed red line indicates channel walls. Scale bars: 400 &amp;#181;m. Abbreviations: hFBs = human primary fibroblasts; GFP-hKCs = green fluorescent protein-expressing human immortalized skin keratinocytes.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Top view of the hydrogel surface when removing tubing immediately after hKCs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seeding.</w:t>
      </w:r>
      <w:r>
        <w:rPr>
          <w:rFonts w:ascii="Calibri" w:hAnsi="Calibri" w:cs="Calibri" w:eastAsia="Calibri"/>
          <w:color w:val="auto"/>
          <w:spacing w:val="0"/>
          <w:position w:val="0"/>
          <w:sz w:val="24"/>
          <w:shd w:fill="auto" w:val="clear"/>
        </w:rPr>
        <w:t xml:space="preserve"> Dashed red line indicates channel walls. Scale bar: 400 &amp;#181;m. Abbreviations: hKCs = human immortalized skin keratinocytes.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Reconstructed 3D confocal image of the undifferentiated skin model in the microfluidic chip</w:t>
      </w:r>
      <w:r>
        <w:rPr>
          <w:rFonts w:ascii="Calibri" w:hAnsi="Calibri" w:cs="Calibri" w:eastAsia="Calibri"/>
          <w:color w:val="auto"/>
          <w:spacing w:val="0"/>
          <w:position w:val="0"/>
          <w:sz w:val="24"/>
          <w:shd w:fill="auto" w:val="clear"/>
        </w:rPr>
        <w:t xml:space="preserve">. Yellow dashed line indicates the surface of the hydrogel separating hKCs (top) from the hFBs embedded in the gel (bottom). Abbreviations: hFBs = human primary fibroblasts; hKCs = human immortalized skin keratinocytes.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Confocal image of a fibrin hydrogel showing sedimented hFBs (in red) due to a slow fibrin gelling time. A hKCs monolayer (in blue) is shown on top of the gel. Abbreviations: hFBs = human primary fibroblasts; hKCs = human immortalized skin keratinocytes.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Dimensions of the upper and lower channels of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Issues found during the development of the current work and solutions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motivation to develop this method was the desire to model skin diseases and study the effects of new and innovative therapies in a high-throughput platform. To date, this laboratory produces these dermo-epidermal equivalents by casting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either manually or with the help of the 3D bioprinting technology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fibrin gel with fibroblasts into a cell culture insert plate and seeding the keratinocytes on top of it. Once the keratinocytes reach confluence, the 3D culture is exposed to the air-liquid interface, which induces keratinocyte differentiation, generating a stratified epidermis and consequently, a fully developed interfollicular human skin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these 3D cultures, albeit very relevant clinically, are expensive, time-consuming, and do not mimic physiological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Tissue-on-a-chip technology provides a platform to emulate physiological conditions in cell culture, thus enabling a better understanding of the toxicity, efficacy, and delivery of drug candidates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19,35</w:t>
      </w:r>
      <w:r>
        <w:rPr>
          <w:rFonts w:ascii="Calibri" w:hAnsi="Calibri" w:cs="Calibri" w:eastAsia="Calibri"/>
          <w:color w:val="auto"/>
          <w:spacing w:val="0"/>
          <w:position w:val="0"/>
          <w:sz w:val="24"/>
          <w:shd w:fill="auto" w:val="clear"/>
        </w:rPr>
        <w:t xml:space="preserve">. Most of the tissues modeled on microfluidic “classical” chips are composed of single layers of cells, mostly epithelial cells</w:t>
      </w:r>
      <w:r>
        <w:rPr>
          <w:rFonts w:ascii="Calibri" w:hAnsi="Calibri" w:cs="Calibri" w:eastAsia="Calibri"/>
          <w:color w:val="auto"/>
          <w:spacing w:val="0"/>
          <w:position w:val="0"/>
          <w:sz w:val="24"/>
          <w:shd w:fill="auto" w:val="clear"/>
          <w:vertAlign w:val="superscript"/>
        </w:rPr>
        <w:t xml:space="preserve">22,26,42,27,28,36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modelling of more complex, multi-layered tissues has been hampered by the difficulty of generating homogeneous and superimposed tissue layers.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novelty of this work, as compared to previous devices</w:t>
      </w:r>
      <w:r>
        <w:rPr>
          <w:rFonts w:ascii="Calibri" w:hAnsi="Calibri" w:cs="Calibri" w:eastAsia="Calibri"/>
          <w:color w:val="auto"/>
          <w:spacing w:val="0"/>
          <w:position w:val="0"/>
          <w:sz w:val="24"/>
          <w:shd w:fill="auto" w:val="clear"/>
          <w:vertAlign w:val="superscript"/>
        </w:rPr>
        <w:t xml:space="preserve">22,43</w:t>
      </w:r>
      <w:r>
        <w:rPr>
          <w:rFonts w:ascii="Calibri" w:hAnsi="Calibri" w:cs="Calibri" w:eastAsia="Calibri"/>
          <w:color w:val="auto"/>
          <w:spacing w:val="0"/>
          <w:position w:val="0"/>
          <w:sz w:val="24"/>
          <w:shd w:fill="auto" w:val="clear"/>
        </w:rPr>
        <w:t xml:space="preserve">, is the development of a method to generate an undifferentiated and simplified skin construct by means of microfluidics. Moreover, another important innovation with respect to other published technologies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is the design of a relatively simple, cost-effective, easy-to-use disposable chip system made of biocompatible vinyl sheets allowing </w:t>
      </w:r>
      <w:r>
        <w:rPr>
          <w:rFonts w:ascii="Calibri" w:hAnsi="Calibri" w:cs="Calibri" w:eastAsia="Calibri"/>
          <w:i/>
          <w:color w:val="auto"/>
          <w:spacing w:val="0"/>
          <w:position w:val="0"/>
          <w:sz w:val="24"/>
          <w:shd w:fill="auto" w:val="clear"/>
        </w:rPr>
        <w:t xml:space="preserve">ad hoc </w:t>
      </w:r>
      <w:r>
        <w:rPr>
          <w:rFonts w:ascii="Calibri" w:hAnsi="Calibri" w:cs="Calibri" w:eastAsia="Calibri"/>
          <w:color w:val="auto"/>
          <w:spacing w:val="0"/>
          <w:position w:val="0"/>
          <w:sz w:val="24"/>
          <w:shd w:fill="auto" w:val="clear"/>
        </w:rPr>
        <w:t xml:space="preserve">fabrication. This system avoids the use of silicon wafers and complicated plasma bonding procedures needed with PDMS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Chips based on this material require the generation of wafers specific for each different chip design, which raises the price of the prototyping process. All of this makes the current “classical” technology expensive, complex, and not very flexible.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limitations, using skin as a tissue model, we present a very flexible, cheap, and robust microfluidic platform based on vinyl layers, produced by micromachining. We also present a new methodology based on the parallel flow of laminar fluids that allows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generation of a bilayer skin construct with a lower dermal compartment containing hFBs and an upper epidermal compartment composed of a monolayer of hKCs. The chip consists of two chambers separated by a porous PC membrane. The upper channel contains the skin construct and leaves free space to allow hKC differentiation and stratification and/or perfusion of culture medium, air, or even drugs in the future. The lower chamber is continuously perfused with culture medium to promote cell growth. The use of a porous membrane may lead to the loss of a part of the pre-gel from the upper chamber to the lower one when subjected to high pressure due to pumping force. Introducing a PBS flow in the lower chamber compensates this pressure difference and avoids this leakage.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distribution of hKCs on the hydrogel surface is an important aspect when generating a skin model. When they are not homogeneously spread, the generation of a uniform monolayer and therefore, the epidermal differentiation could be hampered. In the same way, hFBs must be equally distributed within the hydrogel to resemble their natural location in which they are found in real skin. To avoid cell sedimentation or tubing blockage, hydrogel composition (especially thrombin concentration) must be carefully studied to control gelation times and shear thinning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encouraging findings, future work is needed to demonstrate the long-term functioning of the system necessary to promote the correct proliferation and differentiation of the hKC monolayer to form a well differentiated human skin including a stratum corneum. Besides skin, this system would allow the generation of other complex, multilayered tissue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sincerely thank Dr. Javier Rodr&amp;#237;guez, Dr. Mar&amp;#237;a Luisa L&amp;#243;pez, Carlos Matell&amp;#225;n, and Juan Francisco Rodr&amp;#237;guez for very helpful suggestions, discussions, and/or preliminary data. We also kindly thank the contributions of Sergio F&amp;#233;rnandez, Pedro Herreros, and Lara Stolzenburg to this project. Special thanks go to Dr. Marta Garc&amp;#237;a for GFP-labelled hFBs and hKCs. Finally, we recognize the excellent technical assistance of Guillermo Vizca&amp;#237;no and Ang&amp;#233;lica Corral. This work was supported by the “Programa de Actividades de I+D entre Grupos de Investigaci&amp;#243;n de la Comunidad de Madrid”, Project S2018/BAA-4480, Biopieltec-CM. This work was also supported by the “Programa de excelencia”, Project EPUC3M03, CAM. CONSEJERÍA DE EDUCACIÓN E INVESTIGACIÓN.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McNamee,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tiered approach to the use of alternatives to animal testing for the safety assessment of cosmetics: Eye irritation. </w:t>
      </w:r>
      <w:r>
        <w:rPr>
          <w:rFonts w:ascii="Calibri" w:hAnsi="Calibri" w:cs="Calibri" w:eastAsia="Calibri"/>
          <w:i/>
          <w:color w:val="auto"/>
          <w:spacing w:val="0"/>
          <w:position w:val="0"/>
          <w:sz w:val="24"/>
          <w:shd w:fill="auto" w:val="clear"/>
        </w:rPr>
        <w:t xml:space="preserve">Regulatory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Mathes, S. H., Ruffner, H., Graf-Hausner, U. The use of skin models in drug development.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Abd, E. et al. Skin models for the testing of transdermal drugs. </w:t>
      </w:r>
      <w:r>
        <w:rPr>
          <w:rFonts w:ascii="Calibri" w:hAnsi="Calibri" w:cs="Calibri" w:eastAsia="Calibri"/>
          <w:i/>
          <w:color w:val="auto"/>
          <w:spacing w:val="0"/>
          <w:position w:val="0"/>
          <w:sz w:val="24"/>
          <w:shd w:fill="auto" w:val="clear"/>
        </w:rPr>
        <w:t xml:space="preserve">Clinical Pharmacology: Advances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Flaten, G. E. et al. In vitro skin models as a tool in optimization of drug formulation. </w:t>
      </w:r>
      <w:r>
        <w:rPr>
          <w:rFonts w:ascii="Calibri" w:hAnsi="Calibri" w:cs="Calibri" w:eastAsia="Calibri"/>
          <w:i/>
          <w:color w:val="auto"/>
          <w:spacing w:val="0"/>
          <w:position w:val="0"/>
          <w:sz w:val="24"/>
          <w:shd w:fill="auto" w:val="clear"/>
        </w:rPr>
        <w:t xml:space="preserve">European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Avci, P. et al. Animal models of skin disease for drug discovery.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(3),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Mak, I. W., Evaniew, N., Ghert, M. Lost in translation: animal models and clinical trials in cancer treatment. </w:t>
      </w:r>
      <w:r>
        <w:rPr>
          <w:rFonts w:ascii="Calibri" w:hAnsi="Calibri" w:cs="Calibri" w:eastAsia="Calibri"/>
          <w:i/>
          <w:color w:val="auto"/>
          <w:spacing w:val="0"/>
          <w:position w:val="0"/>
          <w:sz w:val="24"/>
          <w:shd w:fill="auto" w:val="clear"/>
        </w:rPr>
        <w:t xml:space="preserve">American Journal of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Pronko, P. P., VanRompay, P. A., Zhang, Z., Nees, J. A. Pronko et al. Reply.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1387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H.R.2858 - Humane Cosmetics Act. 114th Congress.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https://congress.gov/bill/114th-congress/house-bill/2858</w:t>
        </w:r>
      </w:hyperlink>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Global in-vitro toxicology testing market report: size, share &amp;amp; trends analysis 2014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2025https://www.prnewswire.com/news-releases/global-in-vitro-toxicology-testing-market-report-size-share--trends-analysis-2014-2025-300704958.html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Z., Michniak-Kohn, B. B. Tissue engineered human skin equivalents.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OECD. In vitro skin corrosion: reconstructed human epidermis (RhE) test method. Test Guideline No.431. </w:t>
      </w:r>
      <w:r>
        <w:rPr>
          <w:rFonts w:ascii="Calibri" w:hAnsi="Calibri" w:cs="Calibri" w:eastAsia="Calibri"/>
          <w:i/>
          <w:color w:val="auto"/>
          <w:spacing w:val="0"/>
          <w:position w:val="0"/>
          <w:sz w:val="24"/>
          <w:shd w:fill="auto" w:val="clear"/>
        </w:rPr>
        <w:t xml:space="preserve">OECD Guideline for Testing of Chemicals.</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Almeida, A., Sarmento, B., Rodrigues, F. Insights on in vitro models for safety and toxicity assessment of cosmetic ingredients.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519 </w:t>
      </w:r>
      <w:r>
        <w:rPr>
          <w:rFonts w:ascii="Calibri" w:hAnsi="Calibri" w:cs="Calibri" w:eastAsia="Calibri"/>
          <w:color w:val="auto"/>
          <w:spacing w:val="0"/>
          <w:position w:val="0"/>
          <w:sz w:val="24"/>
          <w:shd w:fill="auto" w:val="clear"/>
        </w:rPr>
        <w:t xml:space="preserve">(1-2),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 den Broek, L. J., Bergers, L. I. J. C., Reijnders, C. M. A., Gibbs, S. Progress and future Prospectives in Skin-on-Chip Development with Emphasis on the use of Different Cell Types and Technical Challenges.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(3),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Ata&amp;#231;, B. et al. Skin and hair on-a-chip: In vitro skin models versus ex vivo tissue maintenance with dynamic perfusion.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(18), 3555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Abaci, H. E., Gledhill, K., Guo, Z., Christiano, A. M., Shuler, M. L. Pumpless microfluidic platform for drug testing on human skin equivalents.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882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Wu, R. et al. Full-thickness human skin-on-chip with enhanced epidermal morphogenesis and barrier function. </w:t>
      </w:r>
      <w:r>
        <w:rPr>
          <w:rFonts w:ascii="Calibri" w:hAnsi="Calibri" w:cs="Calibri" w:eastAsia="Calibri"/>
          <w:i/>
          <w:color w:val="auto"/>
          <w:spacing w:val="0"/>
          <w:position w:val="0"/>
          <w:sz w:val="24"/>
          <w:shd w:fill="auto" w:val="clear"/>
        </w:rPr>
        <w:t xml:space="preserve">Materials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Materne, E.-M. et al. The multi-organ chip - a microfluidic platform for long-term multi-tissue coculture.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(98), e52526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Schimek, K. et al. Bioengineering of a full-thickness skin equivalent in a 96-well insert format for substance permeation studies and organ-on-a-chip applications. </w:t>
      </w:r>
      <w:r>
        <w:rPr>
          <w:rFonts w:ascii="Calibri" w:hAnsi="Calibri" w:cs="Calibri" w:eastAsia="Calibri"/>
          <w:i/>
          <w:color w:val="auto"/>
          <w:spacing w:val="0"/>
          <w:position w:val="0"/>
          <w:sz w:val="24"/>
          <w:shd w:fill="auto" w:val="clear"/>
        </w:rPr>
        <w:t xml:space="preserve">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Alberti, M. et al. Multi-chamber microfluidic platform for high-precision skin permeation testing.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Bhatia, S. N., Ingber, D. E. Microfluidic organs-on-chips.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(8), 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Huh, D., Hamilton, G. A., Ingber, D. E. From 3D cell culture to organs-on-chips.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(12),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Wufuer,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Skin-on-a-chip model simulating inflammation, edema and drug-based treatment.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37471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Ramadana, Q., Ting, F. C. W. In vitro micro-physiological immune-competent model of the human skin. </w:t>
      </w:r>
      <w:r>
        <w:rPr>
          <w:rFonts w:ascii="Calibri" w:hAnsi="Calibri" w:cs="Calibri" w:eastAsia="Calibri"/>
          <w:i/>
          <w:color w:val="auto"/>
          <w:spacing w:val="0"/>
          <w:position w:val="0"/>
          <w:sz w:val="24"/>
          <w:shd w:fill="auto" w:val="clear"/>
        </w:rPr>
        <w:t xml:space="preserve">Lab on a Chip.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 K, Jeon, H. M., Choi, K. C., Sung, G. Y. Testing the effectiveness of </w:t>
      </w:r>
      <w:r>
        <w:rPr>
          <w:rFonts w:ascii="Calibri" w:hAnsi="Calibri" w:cs="Calibri" w:eastAsia="Calibri"/>
          <w:i/>
          <w:color w:val="auto"/>
          <w:spacing w:val="0"/>
          <w:position w:val="0"/>
          <w:sz w:val="24"/>
          <w:shd w:fill="auto" w:val="clear"/>
        </w:rPr>
        <w:t xml:space="preserve">Curcuma longa</w:t>
      </w:r>
      <w:r>
        <w:rPr>
          <w:rFonts w:ascii="Calibri" w:hAnsi="Calibri" w:cs="Calibri" w:eastAsia="Calibri"/>
          <w:color w:val="auto"/>
          <w:spacing w:val="0"/>
          <w:position w:val="0"/>
          <w:sz w:val="24"/>
          <w:shd w:fill="auto" w:val="clear"/>
        </w:rPr>
        <w:t xml:space="preserve"> leaf extract on a skin equivalent using a pumpless skin-on-a-chip model.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(11), 3898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Halldorsson, S., Lucumi, E., G&amp;#243;mez-Sj&amp;#246;berg, R., Fleming, R. M. T. Advantages and challenges of microfluidic cell culture in polydimethylsiloxane devices.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Huh, D., Matthews, B. D., Mammoto, A., Montoya-Zavala, M., Hsin, H. Y. Reconstituting organ-level lung functions on a chip.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328 </w:t>
      </w:r>
      <w:r>
        <w:rPr>
          <w:rFonts w:ascii="Calibri" w:hAnsi="Calibri" w:cs="Calibri" w:eastAsia="Calibri"/>
          <w:color w:val="auto"/>
          <w:spacing w:val="0"/>
          <w:position w:val="0"/>
          <w:sz w:val="24"/>
          <w:shd w:fill="auto" w:val="clear"/>
        </w:rPr>
        <w:t xml:space="preserve">(5986), 1662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Huh, D. et al. A human disease model of drug toxicity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induced pulmonary edema in a lung-on-a-chip microdevice. </w:t>
      </w:r>
      <w:r>
        <w:rPr>
          <w:rFonts w:ascii="Calibri" w:hAnsi="Calibri" w:cs="Calibri" w:eastAsia="Calibri"/>
          <w:i/>
          <w:color w:val="auto"/>
          <w:spacing w:val="0"/>
          <w:position w:val="0"/>
          <w:sz w:val="24"/>
          <w:shd w:fill="auto" w:val="clear"/>
        </w:rPr>
        <w:t xml:space="preserve">Scientific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(159), 159ra147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Beckwitt, C. H. et al. Liver ‘ organ on a chip ’.</w:t>
      </w:r>
      <w:r>
        <w:rPr>
          <w:rFonts w:ascii="Calibri" w:hAnsi="Calibri" w:cs="Calibri" w:eastAsia="Calibri"/>
          <w:i/>
          <w:color w:val="auto"/>
          <w:spacing w:val="0"/>
          <w:position w:val="0"/>
          <w:sz w:val="24"/>
          <w:shd w:fill="auto" w:val="clear"/>
        </w:rPr>
        <w:t xml:space="preserve">Experimental Cell Research. </w:t>
      </w:r>
      <w:r>
        <w:rPr>
          <w:rFonts w:ascii="Calibri" w:hAnsi="Calibri" w:cs="Calibri" w:eastAsia="Calibri"/>
          <w:b/>
          <w:color w:val="auto"/>
          <w:spacing w:val="0"/>
          <w:position w:val="0"/>
          <w:sz w:val="24"/>
          <w:shd w:fill="auto" w:val="clear"/>
        </w:rPr>
        <w:t xml:space="preserve">363 </w:t>
      </w:r>
      <w:r>
        <w:rPr>
          <w:rFonts w:ascii="Calibri" w:hAnsi="Calibri" w:cs="Calibri" w:eastAsia="Calibri"/>
          <w:color w:val="auto"/>
          <w:spacing w:val="0"/>
          <w:position w:val="0"/>
          <w:sz w:val="24"/>
          <w:shd w:fill="auto" w:val="clear"/>
        </w:rPr>
        <w:t xml:space="preserve">(1),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Poceviciute, R., Ismagilov, R. F. Human-gut-microbiome on a chip.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(7),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Kanda, T., Sullivan, K. F., Wahl, G. M. Histone-GFP fusion protein enables sensitive analysis of chromosome dynamics in living mammalian cells.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(7),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Esc&amp;#225;mez, M.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Assessment of optimal virus-mediated growth factor gene delivery for human cutaneous wound healing enhancement.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(6),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Llames, S. G. et al. Human plasma as a dermal scaffold for the generation of a completely autologous bioengineered skin.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(3),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Llames, S. et al. Clinical results of an autologous engineered skin. </w:t>
      </w:r>
      <w:r>
        <w:rPr>
          <w:rFonts w:ascii="Calibri" w:hAnsi="Calibri" w:cs="Calibri" w:eastAsia="Calibri"/>
          <w:i/>
          <w:color w:val="auto"/>
          <w:spacing w:val="0"/>
          <w:position w:val="0"/>
          <w:sz w:val="24"/>
          <w:shd w:fill="auto" w:val="clear"/>
        </w:rPr>
        <w:t xml:space="preserve">Cell Tissue Bank.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Cubo, N., Garcia, M., del Ca&amp;#241;izo, J. F., Velasco, D., Jorcano, J. L. 3D bioprinting of functional human skin: production and in vivo analysis.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015006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Mori, N., Morimoto, Y., Takeuchi, S. Skin integrated with perfusable vascular channels on a chip.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Kim, H. J., Li, H., Collins, J. J., Ingber, D. E. Contributions of microbiome and mechanical deformation to intestinal bacterial overgrowth and inflammation in a human gut-on-a-chip.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Shah,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microfluidics-based in vitro model of the gastrointestinal human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microbe interface.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11535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Marx, U. et al. ‘Human-on-a-chip’ developments: A translational cuttingedge alternative to systemic safety assessment and efficiency evaluation of substances in laboratory animals and man? </w:t>
      </w:r>
      <w:r>
        <w:rPr>
          <w:rFonts w:ascii="Calibri" w:hAnsi="Calibri" w:cs="Calibri" w:eastAsia="Calibri"/>
          <w:i/>
          <w:color w:val="auto"/>
          <w:spacing w:val="0"/>
          <w:position w:val="0"/>
          <w:sz w:val="24"/>
          <w:shd w:fill="auto" w:val="clear"/>
        </w:rPr>
        <w:t xml:space="preserve">Alternatives to 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(5),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Bein, A. et al. Microfluidic organ-on-a-chip models of human intestine.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Bennet, D., Estlack, Z., Reid, T., Kim, J. A microengineered human corneal epithelium-on-a-chip for eye drops mass transport evaluation. </w:t>
      </w:r>
      <w:r>
        <w:rPr>
          <w:rFonts w:ascii="Calibri" w:hAnsi="Calibri" w:cs="Calibri" w:eastAsia="Calibri"/>
          <w:i/>
          <w:color w:val="auto"/>
          <w:spacing w:val="0"/>
          <w:position w:val="0"/>
          <w:sz w:val="24"/>
          <w:shd w:fill="auto" w:val="clear"/>
        </w:rPr>
        <w:t xml:space="preserve">Lab on a Chip.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Kim, H. J., Huh, D., Hamilton, G., Ingber, D. E. Human gut-on-a-chip inhabited by microbial flora that experiences intestinal peristalsis-like motions and flow.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Kim, H. J., Ingber, D. E. Gut-on-a-chip microenvironment induces human intestinal cells to undergo villus differentiation.</w:t>
      </w:r>
      <w:r>
        <w:rPr>
          <w:rFonts w:ascii="Calibri" w:hAnsi="Calibri" w:cs="Calibri" w:eastAsia="Calibri"/>
          <w:i/>
          <w:color w:val="auto"/>
          <w:spacing w:val="0"/>
          <w:position w:val="0"/>
          <w:sz w:val="24"/>
          <w:shd w:fill="auto" w:val="clear"/>
        </w:rPr>
        <w:t xml:space="preserve">Integrative Biology.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O’Neill, A. T., Monteiro-Riviere, N. A., Walker, G. M. Characterization of microfluidic human epidermal keratinocyte culture.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Ren, K., Chen, Y., Wu, H. New materials for microfluidics in biology.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ongress.gov/bill/114th-congress/house-bill/2858"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