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Tension Probes to Map the Transient picoNewton Receptor Forces by Immune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V. Kellner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Yuesong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Brendan R. Deal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Aaron T. Blanchard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Khalid Salaita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Emory University, Atlanta, GA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Wallace H. Coulter Department of Biomedical Engineering, Georgia Institute of Technology and Emory University, Atlanta, GA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Khalid Salaita </w:t>
        <w:tab/>
        <w:tab/>
        <w:t xml:space="preserve">(k.salaita@emory.edu)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Ma</w:t>
        <w:tab/>
        <w:tab/>
        <w:t xml:space="preserve">(rong.ma@emory.edu)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Kellner</w:t>
        <w:tab/>
        <w:tab/>
        <w:t xml:space="preserve">(Anna.kellner@emory.edu)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Yuesong Hu </w:t>
        <w:tab/>
        <w:tab/>
        <w:t xml:space="preserve">(yuesong.hu@emory.edu)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Brendan Deal</w:t>
        <w:tab/>
        <w:tab/>
        <w:t xml:space="preserve">(brendan.reid.deal@emory.edu)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Aaron Blanchard</w:t>
        <w:tab/>
        <w:t xml:space="preserve">(atblanc@umich.edu)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tension probes, mechanobiology, receptor force, piconewton forces, immune cells, mapping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detailed protocol for using DNA-based tension probes to image the receptor forces applied by immune cells. This approach can map receptor forces &amp;gt;4.7pN in real-time and can integrate forces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forces transmitted at the junction between two neighboring cells and at the junction between cells and the extracellular matrix are critical for regulating many processes ranging from development to immunology. Therefore, developing the tools to study these forces at the molecular scale is critical. Our group developed a suite of molecular tension sensors to quantify and visualize the forces generated by cells and transmitted to specific ligands. The most sensitive class of molecular tension sensors are comprised of nucleic acid stem-loop hairpins. These sensors use fluorophore-quencher pairs to report on the mechanical extension and unfolding of DNA hairpins under force. One challenge with DNA hairpin tension sensors is that they are reversible with rapid hairpin refolding upon termination of the tension and thus transient forces are difficult to record. In this article, we describe the protocols for preparing DNA tension sensors that can be “locked” and prevented from refolding to enable “storing” of mechanical information. This allows for the recording of highly transient piconewton forces, which can be subsequently “erased” by the addition of complementary nucleic acids that remove the lock. This ability to toggle between real-time tension mapping and mechanical information storing reveals weak, short-lived, and less abundant forces, that are commonly employed by T cells as part of their immune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Immune cells defend against pathogens and cancer cells by continuously crawling and scanning the surfaces of target cells for antigens, studding their surface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Antigen recognition is initiated upon binding between the T cell receptor (TCR) and the peptide-major histocompatibility complex MHC (pMHC) complex expressed on the surface of target cells. Because TCR-pMHC recognition occurs at the junction between two mobile cells, it has long been suspected of experiencing mechanical forces. Moreover, this led to the mechanosensor model of TCR activation, which suggests that TCR forces contribute to its function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understand when, where, and how mechanical forces contribute to T cell function, it is imperative to develop tools to visualize the molecular forces transmitted by T cells. Traditionally, methods such as traction force microscopy (TFM) and micropillar arrays are used to investigate cellular forces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the force sensitivity of TFM and micropillar  arrays is at the nanonewton (nN) scale and thus is often insufficient to study the  molecular piconewton (pN) forces transmitted by cell receptors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improve the force and spatial resolution for detection, our lab pioneered the development of molecular tension probes, which were initially synthesized using polyethylene glycol (PEG) polymers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Molecular tension probes are comprised of an extendible molecular “spring” (PEG, protein, DNA) flanked by a fluorophore and quencher and are anchored on a surface. Forces applied to the terminus of the probe lead to its extension, separating the fluorophore and quencher, and thus generating a strong fluorescence signal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decade we have developed a library of different classes of molecular tension probes with spring elements made from nucleic acids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proteins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polymers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Among these, the DNA-based tension probes provide the highest signal to noise ratio and the greatest force sensitivity, which is easily tuned from a few pN up to ~20 pN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have used these real-time DNA tension probes to study the molecular forces generated by many diverse cell types, including fibroblasts, cancer cells, platelets, and immune cells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This manuscript will describe protocols to synthesize and assemble DNA tension probes on a surface to map molecular receptor forces with pN force resolution using a conventional fluorescence microscope. While the current procedure includes chemical modifications to the nucleic acid to introduce the fluorescent reporter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it is important to note that many of the modification and purification steps can be outsourced to custom DNA synthesis companies. Therefore, DNA tension probes technology is facile, and accessible to the broader cell biology and mechanobiology communities.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to assemble DNA tension sensors, a DNA hairpin is hybridized to a fluorescent ligand strand on one arm and a quencher anchor strand on the other arm and then immobilized on a glass substrate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real-time tension). In the absence of mechanical force, the hairpin is closed, and thus the fluorescence is quenched. However, when the applied mechanical force is greater than the F</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(the force at equilibrium that leads to a 50% probability of unfolding), the hairpin mechanically melts, and a fluorescent signal is 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Building on the real-time DNA tension sensor, we also describe protocols to map accumulated forces, which is particularly useful for studying interactions between receptors on immune cells and their natural ligand. This is because immune receptors often display short-lived bonds</w:t>
      </w:r>
      <w:r>
        <w:rPr>
          <w:rFonts w:ascii="Calibri" w:hAnsi="Calibri" w:cs="Calibri" w:eastAsia="Calibri"/>
          <w:color w:val="auto"/>
          <w:spacing w:val="0"/>
          <w:position w:val="0"/>
          <w:sz w:val="24"/>
          <w:shd w:fill="auto" w:val="clear"/>
          <w:vertAlign w:val="superscript"/>
        </w:rPr>
        <w:t xml:space="preserve">3,14</w:t>
      </w:r>
      <w:r>
        <w:rPr>
          <w:rFonts w:ascii="Calibri" w:hAnsi="Calibri" w:cs="Calibri" w:eastAsia="Calibri"/>
          <w:color w:val="auto"/>
          <w:spacing w:val="0"/>
          <w:position w:val="0"/>
          <w:sz w:val="24"/>
          <w:shd w:fill="auto" w:val="clear"/>
        </w:rPr>
        <w:t xml:space="preserve">. Accumulated forces are imaged using a “locking” strand that preferentially binds to open DNA hairpins and allows for the storage of fluorescence signals associated with mechanical pulling events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locked tension). The locking strand is designed to bind a cryptic binding site that is exposed upon mechanically induced melting of the hairpin and lock the hairpin in the open state by blocking hairpin refolding, thus storing the tension signal, and generating an accumulated tension map. Moreover, the locking strand is designed with an eight-nucleotide toehold, which enables a toehold-mediated strand displacement reaction with its full complement, the “unlocking” strand. With the addition of the unlocking strand, the bound locking strand is stripped off the hairpin construct, erasing the stored tension signal and resetting the hairpin back to the real-time 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protocol consists of four major sections - oligonucleotide preparation, surface preparation, imaging, and data analysis. This protocol has been successfully demonstrated by our lab and others in na&amp;#239;ve and activated OT-1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OT-II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 well as hybridomas, and can be applied to interrogate different immune cell receptors including T cell receptor, programmed cell death receptor (PD1), and lymphocyte function-associated antigen 1 (LFA-1) forces. OT-1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na&amp;#239;ve T cells are used as an example cell line in this paper.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OT-1 transgenic mice are housed at the Division of Animal Resources Facility at Emory University. All the experiments were approved and performed under the Institutional Animal Care and Use Committee (IACUC) protocol.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Oligonucleotide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Dissolve the ligand strand DNA in water (18.2 M&amp;#937; resistivity, used throughout the whole protocol). Vortex and spin down the solution with a tabletop centrifuge. Tune the volume of water such that the final concentration is 1 mM. Validate the concentration by using a nanodrop spectrophotometer to measure the absorbance at 260 nm and determine the final concentration based on the extinction coefficient of the oligonucleotide.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ligand strand has a modification at each terminus, 5’ amine and 3’ biotin, to conjugate with the fluorophore and to present the biotinylated ligand. The amine group in the ligand strand needs to be conjugated with a fluorophore. Cy3B dye is used for this conjugation due to its high brightness and photostability, but it is not generally offered commercially and requires in-house conjugation. Accordingly, the following section describes the conjugation between amines and NHS ester dyes. For end users that do not have access to facilities or resources for nucleic acid modification, modified nucleic acids can instead be purchased from custom DNA synthesis vendors that offer bright and photostable dyes, such as the Alexa and Atto family of dyes.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10x PBS and 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solutions. Mix 10 &amp;#181;L of the 1 mM amine ligand strand solution (10 nmol) with 10 &amp;#181;L of 10x PBS, 10 &amp;#181;L of 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60 &amp;#181;L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Dissolve 50 &amp;#181;g of Cy3B NHS ester in 10 &amp;#181;L of DMSO immediately before use and add to the mixture for a total reaction volume of 100 &amp;#181;L. Add Cy3B NHS ester last. Allow to react at room temperature for 1 h or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Atto647N locking strand by conjugating the amine locking strand with Atto647N NHS ester. Prepare 10x PBS and 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Mix 10 &amp;#181;L of the 1 mM amine locking strand solution (10 nmol) with 10 &amp;#181;L of 10x PBS, 10 &amp;#181;L of 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60 &amp;#181;L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Dissolve 50 &amp;#181;g of Atto647N NHS ester in 10 &amp;#181;L of DMSO immediately before use and add to the mixture for a total reaction volume of 100 &amp;#181;L. Add Atto647N NHS ester last. Allow to react at room temperature for 1 h or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After the reactions, remove by-products, excess dye, and salts by P2 desalting gel filtration. Dilute the reaction mixture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 total volume of 300 &amp;#181;L, which is appropriate for the subsequent HPLC purification step. Add 650 &amp;#181;L of hydrated P2 gel to a centrifugal device and spin down at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Remove the liquid at the bottom of the device, add the reaction mixture to the column containing P2 gel, spin down at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collect the reaction mixture at the bottom of the device.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P2 gel should be hydrated at least 4 h before use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Purify the desalted reaction mixture with HPLC using a C18 column designated for oligonucleotide purification, with solvent A: 0.1 M TEAA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B: ACN as the mobile phase for a linear gradient elution 10-100% B over 50 min at a flow rate of 0.5 mL/min. Inject the desalted reaction mixture in reverse-phase HPLC with a 500 &amp;#181;L injection loop for purification. Collect the product that has an absorbance peak for the DNA (260 nm) and an absorbance peak for the fluorophore (560 nm for Cy3B and 647 nm for Atto647N) and dry them in a vacuum centrifugal concentrator overnight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Reconstitute the dried oligo-dye product in 100 &amp;#181;L water. Determine the concentration of the Cy3B ligand strand and Atto647N locking strand with the nanodrop spectrophotometer. Ensure that the dye labeling ratio is close to 1:1. Correct for the 260 nm absorbance of the dye if needed when determining the oligonucleotide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Validate the purified product with MALDI-TOF-MS using 3-HPA as the substrate in 50% ACN/H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0.1% TFA and 5 mg/mL ammonium citrate using 0.5 &amp;#181;L of the product at 1-5 &amp;#181;M for MALDI-TOF-MS sample preparation. An example mass spectrum can be found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Dissolve the hairpin strand and the quencher anchor strand in water and make sure the concentration of the stock solutions is between 50 and 100 &amp;#181;M.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hairpin strand is unmodified and can be directly custom synthesized from a vendor. The anchor strand has a thiol anchoring group and a quencher BHQ2 and can be directly custom synthesized from a vendor.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Aliquot all of the oligonucleotides. For short-term use and storage, store these oligonucleotides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long-term storage, freeze and keep them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At this point, all of the oligonucleotides are ready for the DNA tension probe assembly.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Repeated freeze-thaw cycles are not problematic for oligonucleotides.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Surface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preparation of DNA hairpin tension probe substrates takes two days. The DNA hairpin tension probe will be functionalized onto glass coverslips.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Day 1</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the 25 mm coverslips on a polytetrafluoroethylene rack in a 50 mL beaker. Each rack can hold up to 8 coverslips. Rinse the coverslips by submerging in water three times.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Add 40 mL of a 1:1 ratio (v:v) solution of ethanol mixed with water to the beaker containing the rack and coverslips, and seal the beaker using a paraffin film.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Sonicate the beaker for 15 min in an ultrasonics cleaner (operating frequency 35 KHz) to clean the coverslips. After sonication, discard the liquid and rinse the beaker with the rack and coverslips in it with water at least 6 times to remove any remaining organic solvent.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Prepare fresh Piranha solution by mixing sulfuric acid and hydrogen peroxide in the ratio of 3:1. To make 40 mL of Piranha solution, add 30 mL of sulfuric acid to a clean 50 mL beaker first and then slowly add 10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The Piranha solution will rapidly heat and bubble upon addition of the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Gently mix the piranha using the end of a glass pipette.</w:t>
      </w:r>
      <w:r>
        <w:rPr>
          <w:rFonts w:ascii="Calibri" w:hAnsi="Calibri" w:cs="Calibri" w:eastAsia="Calibri"/>
          <w:color w:val="auto"/>
          <w:spacing w:val="0"/>
          <w:position w:val="0"/>
          <w:sz w:val="24"/>
          <w:shd w:fill="FFFF00" w:val="clear"/>
          <w:vertAlign w:val="subscript"/>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Next, transfer the rack that holds the coverslips to the beaker containing gently mixed Piranha solution for etching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Allow the Piranha solution to hydroxylate and clean the coverslips for 30 min at room temperature. After Piranha etching, transfer the rack using steel or polytetrafluoroethylene tweezers to a clean 50 mL beaker with water and rinse again with water at least 6 times.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Large amounts of organic substances could react vigorously with Piranha solution and may cause explosion. Be careful and always work with Piranha solution in a fume hood. Make sure to wear a labcoat, gloves, and safety goggles. Never store fresh Piranha solution in a sealed container.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hydrogen peroxide to sulfuric acid ratio should be kept under 1:2 (v:v) and should never exceed 1:1. When submerging the rack with coverslips in Piranha solution, place them in the solution slowly and carefully. Do not discard the solution immediately after etching, as it is still active and hot. Leave it in the beaker overnight before pouring it in the acid waste container.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Immerse the rack holding the coverslips in a 50 mL beaker with 40 mL ethanol to remove water. Discard the ethanol and repeat 3 times to ensure that the water has been removed.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r>
      <w:r>
        <w:rPr>
          <w:rFonts w:ascii="Calibri" w:hAnsi="Calibri" w:cs="Calibri" w:eastAsia="Calibri"/>
          <w:color w:val="auto"/>
          <w:spacing w:val="0"/>
          <w:position w:val="0"/>
          <w:sz w:val="24"/>
          <w:shd w:fill="FFFF00" w:val="clear"/>
        </w:rPr>
        <w:t xml:space="preserve">Then immerse the rack in 3% aminopropyl triethoxy silane (APTES) (v/v) in 40 mL of ethanol to react with the -OH on the coverslips for 1 h at room temperature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Ethanol can be replaced by acetone.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r>
      <w:r>
        <w:rPr>
          <w:rFonts w:ascii="Calibri" w:hAnsi="Calibri" w:cs="Calibri" w:eastAsia="Calibri"/>
          <w:color w:val="auto"/>
          <w:spacing w:val="0"/>
          <w:position w:val="0"/>
          <w:sz w:val="24"/>
          <w:shd w:fill="FFFF00" w:val="clear"/>
        </w:rPr>
        <w:t xml:space="preserve">Rinse surfaces 6 times by submerging them into 40 mL ethanol, then dry in oven at 80 &amp;#176;C for 20 min. After cooling, store the dried amine-modified coverslips at -20 &amp;#176;C for future use (up to 6 months).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r>
      <w:r>
        <w:rPr>
          <w:rFonts w:ascii="Calibri" w:hAnsi="Calibri" w:cs="Calibri" w:eastAsia="Calibri"/>
          <w:color w:val="auto"/>
          <w:spacing w:val="0"/>
          <w:position w:val="0"/>
          <w:sz w:val="24"/>
          <w:shd w:fill="FFFF00" w:val="clear"/>
        </w:rPr>
        <w:t xml:space="preserve">Cover the bottom inner side of 10 cm diameter plastic Petri dishes with paraffin film. The paraffin film prevents the coverslips from sliding inside the Petri dish and helps in keeping the solution for the next steps of functionalization stay on the coverslips. Place the cooled-down amine-modified coverslips in the Petri dishes. The side to be functionalize should be facing up.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r>
      <w:r>
        <w:rPr>
          <w:rFonts w:ascii="Calibri" w:hAnsi="Calibri" w:cs="Calibri" w:eastAsia="Calibri"/>
          <w:color w:val="auto"/>
          <w:spacing w:val="0"/>
          <w:position w:val="0"/>
          <w:sz w:val="24"/>
          <w:shd w:fill="FFFF00" w:val="clear"/>
        </w:rPr>
        <w:t xml:space="preserve">To modify the amine groups on the coverslips, add 300 &amp;#181;L of 0.5% w/v lipoic acid PEG NHS (LA-PEG-SC) and 2.5% w/v mPEG NHS (mPEG-SC) in 0.1 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onto each coverslip and incubate for 1 h at room temperature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For each 25 mm coverslip, weigh 1.5 mg of LA-PEG-SC and 7.5 mg of mPEG-SC. Dissolve the NHS reagents immediately before adding to the surfaces, as they have a short half-life (~10 min) in aqueous solution at room temperature. After the reaction, rinse surfaces 3 times with water.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NHS reaction can be performed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NHS reagents have longer half-life before hydrolysis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which is around 4-6 h. This will result in a three-day surface prep procedure.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r>
      <w:r>
        <w:rPr>
          <w:rFonts w:ascii="Calibri" w:hAnsi="Calibri" w:cs="Calibri" w:eastAsia="Calibri"/>
          <w:color w:val="auto"/>
          <w:spacing w:val="0"/>
          <w:position w:val="0"/>
          <w:sz w:val="24"/>
          <w:shd w:fill="FFFF00" w:val="clear"/>
        </w:rPr>
        <w:t xml:space="preserve">Add 100 &amp;#181;L of 0.1 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containing 1 mg/mL of sulfo-NHS acetate to a set of “sandwich” coverslips (two coverslips facing towards each other with reaction buffer in between). Allow passivation to occur for at least 30 min.</w:t>
      </w:r>
      <w:r>
        <w:rPr>
          <w:rFonts w:ascii="Calibri" w:hAnsi="Calibri" w:cs="Calibri" w:eastAsia="Calibri"/>
          <w:color w:val="auto"/>
          <w:spacing w:val="0"/>
          <w:position w:val="0"/>
          <w:sz w:val="24"/>
          <w:shd w:fill="auto" w:val="clear"/>
        </w:rPr>
        <w:t xml:space="preserve"> To save reagent, this step could be done with 50 &amp;#181;L of 1 mg/mL sulfo-NHS acetate. Rinse with water three times after passivation.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r>
      <w:r>
        <w:rPr>
          <w:rFonts w:ascii="Calibri" w:hAnsi="Calibri" w:cs="Calibri" w:eastAsia="Calibri"/>
          <w:color w:val="auto"/>
          <w:spacing w:val="0"/>
          <w:position w:val="0"/>
          <w:sz w:val="24"/>
          <w:shd w:fill="FFFF00" w:val="clear"/>
        </w:rPr>
        <w:t xml:space="preserve">Add 0.5 mL of gold nanoparticles (AuNP, 8.8 nm, tannic acid, 0.05 mg/mL) to each coverslip and incubate for 30 min at room temperature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To save the reagent, this step can be done by sandwiching two coverslips as well. Make sure no salts are present in the system from previous steps to avoid aggregation of gold nanoparticles. Do not leave the coverslips to dry after this 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Meanwhile, pre-hybridize 4.7 pN hairpin, Cy3B ligand strand, and BHQ2 anchor strand that form the DNA tension probes construct at a ratio of 1.1:1:1 in 1 M NaCl at 300 nM in a PCR tube. Anneal the strands by heating the solution up to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min, then gradually cool down by decreasing the temperature to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 30 min in a thermal cycler.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r>
      <w:r>
        <w:rPr>
          <w:rFonts w:ascii="Calibri" w:hAnsi="Calibri" w:cs="Calibri" w:eastAsia="Calibri"/>
          <w:color w:val="auto"/>
          <w:spacing w:val="0"/>
          <w:position w:val="0"/>
          <w:sz w:val="24"/>
          <w:shd w:fill="FFFF00" w:val="clear"/>
        </w:rPr>
        <w:t xml:space="preserve">Rinse the coverslips with water three times after 30 min of incubation with gold nanoparticles. Add additional BHQ2 anchor strand (from 100 &amp;#181;M stock) to the annealed DNA solution to make the ratio between BHQ2 anchor strand and Cy3B ligand strand 10:1. At this point, the DNA solution should contain 300 nM of tension probe construct and 2.7 &amp;#181;M BHQ2 strand. Add 100 &amp;#181;L per two coverslips to make the “sandwich”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w:t>
        <w:tab/>
      </w:r>
      <w:r>
        <w:rPr>
          <w:rFonts w:ascii="Calibri" w:hAnsi="Calibri" w:cs="Calibri" w:eastAsia="Calibri"/>
          <w:color w:val="auto"/>
          <w:spacing w:val="0"/>
          <w:position w:val="0"/>
          <w:sz w:val="24"/>
          <w:shd w:fill="FFFF00" w:val="clear"/>
        </w:rPr>
        <w:t xml:space="preserve">Carefully place a wet lab tissue ball in the Petri dish (away from coverslips) and seal the dish with paraffin film to prevent the solution from drying up. Cover the dish with foil and incubate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Wash off the excess probes from the coverslips with 1x PBS. Check for DNA tension probe surface quality under an epifluorescent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Prepare 40 &amp;#181;g/mL of streptavidin in 1x PBS and incubate on coverslips for 30 min at room temperature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Usually, 100 &amp;#181;L is sufficient for a 25 mm coverslip. Rinse with PBS 3 times after incubation to wash away the excess amount of streptavidin.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Prepare 40 &amp;#181;g/mL biotinylated antibody/ligand in 1x PBS. Add 50-100 &amp;#181;L per sandwich and incubate for 30 min at room temperature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Rinse with PBS three times after incubation to wash away the excess amount of biotinylated antibody/ligand.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Assemble the clean imaging chambers with surfaces carefully. Surfaces can be easily cracked when tightening the chambers. Add 0.5-1 mL of Hank’s balanced salt solution (HBSS) to the imaging chambers and keep them ready for imaging with cells (</w:t>
      </w:r>
      <w:r>
        <w:rPr>
          <w:rFonts w:ascii="Calibri" w:hAnsi="Calibri" w:cs="Calibri" w:eastAsia="Calibri"/>
          <w:b/>
          <w:color w:val="auto"/>
          <w:spacing w:val="0"/>
          <w:position w:val="0"/>
          <w:sz w:val="24"/>
          <w:shd w:fill="FFFF00" w:val="clear"/>
        </w:rPr>
        <w:t xml:space="preserve">Figure 3H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Imaging cell receptor forces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immune cells of interest in HBSS at 1-2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OT-1 CD8+ na&amp;#239;ve cells are used as an example in this paper. Purify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OT-1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na&amp;#239;ve T cells a from the spleens of sacrificed mice using the MACS mouse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isolation kit with a MACS separator following manufacturer’s instruction. Isolate and enrich the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by removing any non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that magnetic depleting antibody cocktail bound to. Resuspend purified OT-1 CD8+ na&amp;#239;ve T cells in HBSS at 2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cells/mL and keep on ice prior to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Check the quality of DNA hairpin tension probe surface under a fluorescence microscope (100x objective) for quality control before adding ligands or plating cells. Image and quantify the average background intensity in Cy3B channel of a DNA hairpin tension probe surface from at least 5 different positions and 3 replicates. Keep the imaging acquisition conditions consistent so that this value can be used as a reliable marker of surface quality and probe density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Quantify the number of DNA strands per gold nanoparticle and the number of gold nanoparticles per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first few times of surface preparation according to literature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can be used as another reliable marker of surface quality.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Plate ~4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- 10 x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cells onto each DNA tension probe functionalized coverslip and allow them to attach and spread for ~15 min at room temperature.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As cells are plated onto the DNA hairpin tension probes and start to spread, image the fluorescence signals that are generated in the Cy3B channel with the 100x objective (</w:t>
      </w:r>
      <w:r>
        <w:rPr>
          <w:rFonts w:ascii="Calibri" w:hAnsi="Calibri" w:cs="Calibri" w:eastAsia="Calibri"/>
          <w:b/>
          <w:color w:val="auto"/>
          <w:spacing w:val="0"/>
          <w:position w:val="0"/>
          <w:sz w:val="24"/>
          <w:shd w:fill="FFFF00" w:val="clear"/>
        </w:rPr>
        <w:t xml:space="preserve">Figure 3I</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After cells start to produce real-time tension signal on the DNA hairpin tension probe surface in the Cy3B channel, acquire images in both Cy3B and Atto647N channels (TIRF microscopy gives better signal-to-noise ratio than epifluorescence). Subsequently, add Atto647N strand to the imaging chambers at a final concentration of 200 nM for mechanically selective hybridization.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After 10 min of incubation, quickly and gently remove the buffer containing the fluorescent Atto647N locking strand and replace with fresh Hank’s balanced salts. Image in both Cy3B and Atto647N channels again and determine the Pearson’s correlation coefficient with Fiji software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At the timepoint of interest for the investigation, introduce non-fluorescent locking strand to the cells in the imaging chamber to store the tension signal. Prepare locking strand stock (100 &amp;#181;M) and add to the cells at a final concentration of 1 &amp;#181;M. Gently pipette to mix. The duration of locking can vary but 10 min is the recommended time.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Acquire time-lapse movies or end-point images in epifluorescence for both qualitative tension mapping and quantitative analysis as needed (</w:t>
      </w:r>
      <w:r>
        <w:rPr>
          <w:rFonts w:ascii="Calibri" w:hAnsi="Calibri" w:cs="Calibri" w:eastAsia="Calibri"/>
          <w:b/>
          <w:color w:val="auto"/>
          <w:spacing w:val="0"/>
          <w:position w:val="0"/>
          <w:sz w:val="24"/>
          <w:shd w:fill="FFFF00" w:val="clear"/>
        </w:rPr>
        <w:t xml:space="preserve">Figure 3J</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tension measurement at multiple time points is desired, initiate erasing of stored tension signals by the addition of an unlocking strand. To avoid excess rinsing, a higher final concentration of unlocking strand at 2 &amp;#181;M is used to initiate a toehold-mediated strand displacement reaction with the locking strand for 3 min, which erases the stored signals (</w:t>
      </w:r>
      <w:r>
        <w:rPr>
          <w:rFonts w:ascii="Calibri" w:hAnsi="Calibri" w:cs="Calibri" w:eastAsia="Calibri"/>
          <w:b/>
          <w:color w:val="auto"/>
          <w:spacing w:val="0"/>
          <w:position w:val="0"/>
          <w:sz w:val="24"/>
          <w:shd w:fill="auto" w:val="clear"/>
        </w:rPr>
        <w:t xml:space="preserve">Figure 3J</w:t>
      </w:r>
      <w:r>
        <w:rPr>
          <w:rFonts w:ascii="Calibri" w:hAnsi="Calibri" w:cs="Calibri" w:eastAsia="Calibri"/>
          <w:color w:val="auto"/>
          <w:spacing w:val="0"/>
          <w:position w:val="0"/>
          <w:sz w:val="24"/>
          <w:shd w:fill="auto" w:val="clear"/>
        </w:rPr>
        <w:t xml:space="preserve">). Gently rinse the excess oligonucleotides off with HBSS. The DNA hairpin tension probe surface and the cells are ready for another round of tension storing and mapping. Unlocking of tension signals is not necessary if only one time point is of interest in the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analysis is performed using Fiji software, and the quantitative analysis is performed using analysis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Correct any drift during image acquisition with </w:t>
      </w:r>
      <w:r>
        <w:rPr>
          <w:rFonts w:ascii="Calibri" w:hAnsi="Calibri" w:cs="Calibri" w:eastAsia="Calibri"/>
          <w:b/>
          <w:color w:val="auto"/>
          <w:spacing w:val="0"/>
          <w:position w:val="0"/>
          <w:sz w:val="24"/>
          <w:shd w:fill="auto" w:val="clear"/>
        </w:rPr>
        <w:t xml:space="preserve">Correct 3D drift</w:t>
      </w:r>
      <w:r>
        <w:rPr>
          <w:rFonts w:ascii="Calibri" w:hAnsi="Calibri" w:cs="Calibri" w:eastAsia="Calibri"/>
          <w:color w:val="auto"/>
          <w:spacing w:val="0"/>
          <w:position w:val="0"/>
          <w:sz w:val="24"/>
          <w:shd w:fill="auto" w:val="clear"/>
        </w:rPr>
        <w:t xml:space="preserve"> command in </w:t>
      </w:r>
      <w:r>
        <w:rPr>
          <w:rFonts w:ascii="Calibri" w:hAnsi="Calibri" w:cs="Calibri" w:eastAsia="Calibri"/>
          <w:b/>
          <w:color w:val="auto"/>
          <w:spacing w:val="0"/>
          <w:position w:val="0"/>
          <w:sz w:val="24"/>
          <w:shd w:fill="auto" w:val="clear"/>
        </w:rPr>
        <w:t xml:space="preserve">Registration</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menu.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the camera background of the image with </w:t>
      </w:r>
      <w:r>
        <w:rPr>
          <w:rFonts w:ascii="Calibri" w:hAnsi="Calibri" w:cs="Calibri" w:eastAsia="Calibri"/>
          <w:b/>
          <w:color w:val="auto"/>
          <w:spacing w:val="0"/>
          <w:position w:val="0"/>
          <w:sz w:val="24"/>
          <w:shd w:fill="auto" w:val="clear"/>
        </w:rPr>
        <w:t xml:space="preserve">Subtract</w:t>
      </w:r>
      <w:r>
        <w:rPr>
          <w:rFonts w:ascii="Calibri" w:hAnsi="Calibri" w:cs="Calibri" w:eastAsia="Calibri"/>
          <w:color w:val="auto"/>
          <w:spacing w:val="0"/>
          <w:position w:val="0"/>
          <w:sz w:val="24"/>
          <w:shd w:fill="auto" w:val="clear"/>
        </w:rPr>
        <w:t xml:space="preserve"> command under the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menu.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Determine the Pearson’s correlation coefficient with the </w:t>
      </w:r>
      <w:r>
        <w:rPr>
          <w:rFonts w:ascii="Calibri" w:hAnsi="Calibri" w:cs="Calibri" w:eastAsia="Calibri"/>
          <w:b/>
          <w:color w:val="auto"/>
          <w:spacing w:val="0"/>
          <w:position w:val="0"/>
          <w:sz w:val="24"/>
          <w:shd w:fill="auto" w:val="clear"/>
        </w:rPr>
        <w:t xml:space="preserve">Colocalization</w:t>
      </w:r>
      <w:r>
        <w:rPr>
          <w:rFonts w:ascii="Calibri" w:hAnsi="Calibri" w:cs="Calibri" w:eastAsia="Calibri"/>
          <w:color w:val="auto"/>
          <w:spacing w:val="0"/>
          <w:position w:val="0"/>
          <w:sz w:val="24"/>
          <w:shd w:fill="auto" w:val="clear"/>
        </w:rPr>
        <w:t xml:space="preserve"> function under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tab/>
        <w:t xml:space="preserve">Average and subtract the fluorescence background produced by the unopened probes from three different local background regions. Draw ROIs of cells on either background-subtracted images or RICM (reflection interference contrast microscopy) images with Image J </w:t>
      </w:r>
      <w:r>
        <w:rPr>
          <w:rFonts w:ascii="Calibri" w:hAnsi="Calibri" w:cs="Calibri" w:eastAsia="Calibri"/>
          <w:b/>
          <w:color w:val="auto"/>
          <w:spacing w:val="0"/>
          <w:position w:val="0"/>
          <w:sz w:val="24"/>
          <w:shd w:fill="auto" w:val="clear"/>
        </w:rPr>
        <w:t xml:space="preserve">Freehand Selections</w:t>
      </w:r>
      <w:r>
        <w:rPr>
          <w:rFonts w:ascii="Calibri" w:hAnsi="Calibri" w:cs="Calibri" w:eastAsia="Calibri"/>
          <w:color w:val="auto"/>
          <w:spacing w:val="0"/>
          <w:position w:val="0"/>
          <w:sz w:val="24"/>
          <w:shd w:fill="auto" w:val="clear"/>
        </w:rPr>
        <w:t xml:space="preserve"> tool. Measure any metric of interest of the ROIs, e.g., integrated fluorescence intensity and tension occupancy using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tool under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Export the measurements for quantitative analysis with analysis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Plot the data with any analysis software.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representative surface quality control images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high-quality surface should have a clean background in RICM channel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uniform fluorescence intensity in Cy3B channel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With the same imaging equipment and identical fluorescence imaging acquisition conditions, the background fluorescence intensity should be consistent and reproducible each time when conducting experiments with DNA probes. We recommend using it as a marker for the surface quality control before each set of individual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show some representative data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with OT-1 na&amp;#239;ve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 a model cell type, which specifically recognize chicken ovalbumin. The CD3</w:t>
      </w:r>
      <w:r>
        <w:rPr>
          <w:rFonts w:ascii="Calibri" w:hAnsi="Calibri" w:cs="Calibri" w:eastAsia="Calibri"/>
          <w:color w:val="auto"/>
          <w:spacing w:val="0"/>
          <w:position w:val="0"/>
          <w:sz w:val="24"/>
          <w:shd w:fill="auto" w:val="clear"/>
        </w:rPr>
        <w:t xml:space="preserve">ε antibody is included as a positive control for the system and the cognate antigen pMHC N4 (SIINFEKL) is used as an example. Cells were plated on substrates that were functionalized with 4.7 pN DNA hairpin probes presenting either antiCD3ε or pMHC N4. After 30 min, cell spreading in RICM and the real-time tension in Cy3B channel were captured, and the locking strand was introduced at a final concentration of 1 &amp;#181;M. The time-lapse of tension locking showed that both TCR-antiCD3ε and TCR-pMHC tension signals were amplified because of hairpin locking and signal accumulation. Furthermore, TCR-pMHC N4 interaction showed weak force signal in real-time (0 min), likely due to its short bond lifetimes. The locking strand recorded these short-lived mechanical pulling events, which facilitates quantitative analysis. Additionally, locking revealed the pattern of the TCR-pMHC force as it accumulates, which was quite distinct from the antiCD3ε control and resembled the “bull’s-eye” pattern of immune synapses. The quantification of the fluorescence signal is described in step 4.4. We typically use the tension occupancy (defined as the percentage of area that has tension signal over the contact area) and integrated fluorescence intensity of each cell as a metric to evaluate accumulated tension that is &amp;gt; 4.7 pN.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Scheme of the state-of-art molecular tension probes.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General design of real-time molecular tension probe,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Strands for the DNA-based tension probe construct,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engineered DNA-based tension probes and their toggling between real-time state and locked state.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oligonucleotide preparation.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HPLC chromatogram of Cy3B ligand strand purification;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MALDI-TOF-MS spectra of the product;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Table of the calculated mass and found m/z peaks of the starting material and the labeled oligonucleotide.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Functionalization of the DNA tension probe substrates and experiment procedures. Steps are described in the corresponding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DNA-tension probe surface with good quality.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atomic force microscopy (AFM) characterization of the DNA tension probe surface; and raw microscopy images of a DNA tension probe surface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RICM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Cy3B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raw microscopy images of a successful experiment.</w:t>
      </w:r>
      <w:r>
        <w:rPr>
          <w:rFonts w:ascii="Calibri" w:hAnsi="Calibri" w:cs="Calibri" w:eastAsia="Calibri"/>
          <w:color w:val="auto"/>
          <w:spacing w:val="0"/>
          <w:position w:val="0"/>
          <w:sz w:val="24"/>
          <w:shd w:fill="auto" w:val="clear"/>
        </w:rPr>
        <w:t xml:space="preserve"> Images show OT-1 na&amp;#239;ve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producing TCR forces against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antiCD3</w:t>
      </w:r>
      <w:r>
        <w:rPr>
          <w:rFonts w:ascii="Calibri" w:hAnsi="Calibri" w:cs="Calibri" w:eastAsia="Calibri"/>
          <w:color w:val="auto"/>
          <w:spacing w:val="0"/>
          <w:position w:val="0"/>
          <w:sz w:val="24"/>
          <w:shd w:fill="auto" w:val="clear"/>
        </w:rPr>
        <w:t xml:space="preserve">ε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pMHC N4. Scale bar = 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Examples of data processing and quantitative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Examples of successful and unsuccessful surfaces and tension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that do not spread compared to cells that spread on the pMHC N4 surfaces in RICM.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OT-1 cell that spread but did not generate any tension signal on an antiCD3</w:t>
      </w:r>
      <w:r>
        <w:rPr>
          <w:rFonts w:ascii="Calibri" w:hAnsi="Calibri" w:cs="Calibri" w:eastAsia="Calibri"/>
          <w:color w:val="auto"/>
          <w:spacing w:val="0"/>
          <w:position w:val="0"/>
          <w:sz w:val="24"/>
          <w:shd w:fill="auto" w:val="clear"/>
        </w:rPr>
        <w:t xml:space="preserve">ε surface with low DNA tension probe density.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Picture showing that the successful surface is pale pink, and the unsuccessful surface is colorless.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in Cy3B channel showing the fluorescent aggregates from an old DNA stock.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pattern in RICM channel and Cy3B channel that is likely due to either insufficient washing or accidental surface drying between steps.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Images in RICM and Cy3B channels showing the effect of using Au NPs of different sizes.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RICM and Cy3B images of OT-1 cells that did not exert tension signals but instead depleted DNA. Scale bar = 5 &amp;#181;m. Note the raw data shown here was collected by different group members with different image acquisition settings from 3 microscopes, thus having different fluorescence background levels.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Troubleshooting with the DNA-based tension probe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detailed procedures provided here, one can prepare DNA hairpin tension probe substrates to map and quantify the receptor tension produced by immune cells. When cells are plated onto the DNA hairpin tension probe substrate, they land, attach, and spread as the receptors sense the ligands both chemically and mechanically, the latter of which is detected by our probes. However, in some cases cells may fail to spread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or fail to produce tension signal. This is often a consequence of surface chemistry issues and requires troubleshooting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Low ligand density is one of the most common issues that results in a failure of cell spreading. This could be a result of multiple factors, such as degraded ligand, degraded DNA strands, hydrolyzed reagents like APTES and/or LA-PEG-NHS, aggregated gold nanoparticles, or insufficient glass coverslip cleaning. By comparing substrate background fluorescence intensity over successful experiments and failed ones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one can quickly assess the source of the problem. For example, surfaces with strong fluorescence signal from the background measurements indicate that the immobilization of DNA probes was successful. Low background intensity suggests issues in the preparation steps prior to the addition of the streptavidin and the biotinylated ligand. If the issue is caused by the ligand, its quality can be checked by coating it on a glass slide or wells in a 96-well plate at 10 &amp;#181;g/mL to test for cell adhesion. This is a useful functional test of ligand activity for pMHC ligands and anti-CD3 antibodies. By observing the color change (pale pink) of the functionalized coverslips after the Au NP incubation step, one can assess whether the problem is caused by DNA degradation or the steps preceding incubation with DNA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The DNA strand quality can be validated with HPLC and MALDI-TOF-MS, in which a single DNA sample will show multiple peaks if degraded. The quality of Au NPs can be confirmed by comparing the UV-Vis spectra and TEM images with the characterization provided by manufacturer. If the quality of the ligand, DNA strands, and Au NP is validated and these reagents do not cause the surface issue, we recommend replacing reagents including APTES, LA-PEG-NHS, sulfuric acid,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future surface preparation instead of spending time to precisely locate the cause of the surface chemistry issue. Except for the low-density problem that will cause a major failure of the DNA probe substrate, there are a few minor issues that could affect data quality. Since the surface preparation has multiple incubation steps, buffers used during surface preparation should be made fresh, filtered, and kept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storage to avoid contamination. If a surface is contaminated, it will be visible in the RICM channel and may result in a strange fluorescence background. Other than contamination, aggregates can form in the DNA stock solution over time, which may result in bright dots in Cy3B channel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Usually, a few aggregates will not affect the data quality; however, if a cell lands on regions with such defects, data analysis is less reliable. Occasionally, irregular patterns that affect tension mapping can be observed in both the RICM and Cy3B channels, which could come from insufficient washing after the APTES step, or accidental drying of the surface during the steps after gold particles are functionalized onto the surface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These patterns might affect the tension mapping depending on how severe it is. To save relatively precious reagents such as antibodies or pMHCs, we recommend always checking the surface quality (see 2.2.1 and 3.3) before functionalization of DNA hairpin tension probes with antibody/ligand. Though this surface preparation protocol has been robust and reliable in our hands, note that it does not always tolerate alterations at certain steps very well. For example, when base and plasma etching are used instead of piranha etching, it is very likely that the probe density decreases, and more surface defects are present. Alterations of Au NP size and capping reagents will likely dramatically affect the surface functionalization results (</w:t>
      </w:r>
      <w:r>
        <w:rPr>
          <w:rFonts w:ascii="Calibri" w:hAnsi="Calibri" w:cs="Calibri" w:eastAsia="Calibri"/>
          <w:b/>
          <w:color w:val="auto"/>
          <w:spacing w:val="0"/>
          <w:position w:val="0"/>
          <w:sz w:val="24"/>
          <w:shd w:fill="auto" w:val="clear"/>
        </w:rPr>
        <w:t xml:space="preserve">Figure 7F</w:t>
      </w:r>
      <w:r>
        <w:rPr>
          <w:rFonts w:ascii="Calibri" w:hAnsi="Calibri" w:cs="Calibri" w:eastAsia="Calibri"/>
          <w:color w:val="auto"/>
          <w:spacing w:val="0"/>
          <w:position w:val="0"/>
          <w:sz w:val="24"/>
          <w:shd w:fill="auto" w:val="clear"/>
        </w:rPr>
        <w:t xml:space="preserve">). For example, we have found that the 5 and 10 nm Au NPs do not bind to the lipoic acid modified surfaces very well, which results in minimal DNA after the surface preparation. However, 8.8 nm and 13 nm Au NPs can bind to the lipoic acid surfaces at a much high density, which has been observed in RICM (roughness), and Cy3B channel (fluorescence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DNA hairpin tension probe surfaces of good quality are prepared, one can conduct experiments with cells of interest and acquire data with a fluorescence microscope. The real-time tension can be captured with an ordinary fluorescence microscope equipped with a high NA (numerical aperture) objective and EMCCD. Do note however that we have observed that primary T cells occasionally display artifacts on the DNA tension probe surfaces due to that particular mouse’s conditions. Anecdotally, such artifacts are more likely to happen with older mice. For example, we have observed negative depletion of the fluorescence instead of turn-on fluorescence signals (</w:t>
      </w:r>
      <w:r>
        <w:rPr>
          <w:rFonts w:ascii="Calibri" w:hAnsi="Calibri" w:cs="Calibri" w:eastAsia="Calibri"/>
          <w:b/>
          <w:color w:val="auto"/>
          <w:spacing w:val="0"/>
          <w:position w:val="0"/>
          <w:sz w:val="24"/>
          <w:shd w:fill="auto" w:val="clear"/>
        </w:rPr>
        <w:t xml:space="preserve">Figure 7G</w:t>
      </w:r>
      <w:r>
        <w:rPr>
          <w:rFonts w:ascii="Calibri" w:hAnsi="Calibri" w:cs="Calibri" w:eastAsia="Calibri"/>
          <w:color w:val="auto"/>
          <w:spacing w:val="0"/>
          <w:position w:val="0"/>
          <w:sz w:val="24"/>
          <w:shd w:fill="auto" w:val="clear"/>
        </w:rPr>
        <w:t xml:space="preserve">). In this case, terminate the experiment and redo with a new batch of cells. Before using non-fluorescent locking strand for quantitative analysis of receptor forces, the tension signal storage and erasing need to be confirmed with a fluorescent Atto647N locking strand. After initial locking for 10 min, the Atto647N signal should be strongly co-localized with Cy3B signal, as it reflects tension history during this incubation. As Cy3B signal reflects not only the tension history but also real-time forces after removing locking strand, it is possible that a small subset of Cy3B signal is not accompanied by Atto647N signal (</w:t>
      </w:r>
      <w:r>
        <w:rPr>
          <w:rFonts w:ascii="Calibri" w:hAnsi="Calibri" w:cs="Calibri" w:eastAsia="Calibri"/>
          <w:b/>
          <w:color w:val="auto"/>
          <w:spacing w:val="0"/>
          <w:position w:val="0"/>
          <w:sz w:val="24"/>
          <w:shd w:fill="auto" w:val="clear"/>
        </w:rPr>
        <w:t xml:space="preserve">Figure 3J</w:t>
      </w:r>
      <w:r>
        <w:rPr>
          <w:rFonts w:ascii="Calibri" w:hAnsi="Calibri" w:cs="Calibri" w:eastAsia="Calibri"/>
          <w:color w:val="auto"/>
          <w:spacing w:val="0"/>
          <w:position w:val="0"/>
          <w:sz w:val="24"/>
          <w:shd w:fill="auto" w:val="clear"/>
        </w:rPr>
        <w:t xml:space="preserve">). For a more quantitative analysis of tension, we recommend using a non-fluorescent locking strand which would eliminate the potential energy transfer between the Cy3B and Atto647N, as well as avoiding excess washes in between image acquisitions. Note that the addition of locking strand will inevitably cause a slight fluorescence background increase, as the thermodynamics will drive some minor hybridization between the hairpin and the locking strand, which can be subtracted before quantification. One can quantify the integrated intensity of each cell after locking procedure to study the force generated by a certain receptor. Additionally, the kinetics of locking likely reflects the 2D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of a receptor to its ligand.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mechanical information storage is particularly useful for mapping receptor forces generated by immune cells, which are often transient and less abundant. As determined by single-molecule spectroscopy measurements, the peak bond lifetime is observed with the application of ~10 pN of force with a lifetime ranging from less than 100 milliseconds to several seconds long. Such short duration bonds are difficult to capture with conventional DNA hairpin tension probe imaging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Another use of this mechanical storage system is when the density of the receptor of interest is relatively low on the cell surface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which results in a sparse signal that is often difficult to distinguish from the background with conventional DNA hairpin tension probes. Such low-density receptor forces can be revealed by accumulated tension mapping with this strategy. Note that we specifically limit the application of this strategy to immune cells, as the forces present in immune cells are known to be in the lower regime (TCRs &amp;lt; 19 pN) comparing to integrins in fibroblasts or platelets (up to or more than 56 pN)</w:t>
      </w:r>
      <w:r>
        <w:rPr>
          <w:rFonts w:ascii="Calibri" w:hAnsi="Calibri" w:cs="Calibri" w:eastAsia="Calibri"/>
          <w:color w:val="auto"/>
          <w:spacing w:val="0"/>
          <w:position w:val="0"/>
          <w:sz w:val="24"/>
          <w:shd w:fill="auto" w:val="clear"/>
          <w:vertAlign w:val="superscript"/>
        </w:rPr>
        <w:t xml:space="preserve">12,13,15</w:t>
      </w:r>
      <w:r>
        <w:rPr>
          <w:rFonts w:ascii="Calibri" w:hAnsi="Calibri" w:cs="Calibri" w:eastAsia="Calibri"/>
          <w:color w:val="auto"/>
          <w:spacing w:val="0"/>
          <w:position w:val="0"/>
          <w:sz w:val="24"/>
          <w:shd w:fill="auto" w:val="clear"/>
        </w:rPr>
        <w:t xml:space="preserve">. The reason is that the hybridization rate constant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hyb</w:t>
      </w:r>
      <w:r>
        <w:rPr>
          <w:rFonts w:ascii="Calibri" w:hAnsi="Calibri" w:cs="Calibri" w:eastAsia="Calibri"/>
          <w:color w:val="auto"/>
          <w:spacing w:val="0"/>
          <w:position w:val="0"/>
          <w:sz w:val="24"/>
          <w:shd w:fill="auto" w:val="clear"/>
        </w:rPr>
        <w:t xml:space="preserve"> is not impaired when the load is less than 20 pN according to optical tweezers measurements, which is in the range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Moreover,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hyb</w:t>
      </w:r>
      <w:r>
        <w:rPr>
          <w:rFonts w:ascii="Calibri" w:hAnsi="Calibri" w:cs="Calibri" w:eastAsia="Calibri"/>
          <w:color w:val="auto"/>
          <w:spacing w:val="0"/>
          <w:position w:val="0"/>
          <w:sz w:val="24"/>
          <w:shd w:fill="auto" w:val="clear"/>
        </w:rPr>
        <w:t xml:space="preserve"> under forces &amp;lt; 20 pN is predicted to be slightly higher than at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hyb</w:t>
      </w:r>
      <w:r>
        <w:rPr>
          <w:rFonts w:ascii="Calibri" w:hAnsi="Calibri" w:cs="Calibri" w:eastAsia="Calibri"/>
          <w:color w:val="auto"/>
          <w:spacing w:val="0"/>
          <w:position w:val="0"/>
          <w:sz w:val="24"/>
          <w:shd w:fill="auto" w:val="clear"/>
        </w:rPr>
        <w:t xml:space="preserve"> at zero force, as the weak force helps aligns the strand for the complementary strand to hybridize with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 the other hand, larger forces are expected to hinder the hybridization, as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off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increases and creates a barrier for hybridization to happen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a lock that is 15-17 nucleotide long, we estimate that a force around 27.8 to 30.8 pN will hinder the hybridization. Given these limitations, we suggest to exclusively apply this method in investigations of immune cell receptor forces. Additionally, the presence of the locking strand is likely to tilt the energy landscape for hairpin unfolding, which might slightly decrease the effective F</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Grants R01GM131099, NIH R01GM124472, and NSF CAREER 1350829. We thank the NIH Tetramer Facility for pMHC ligands. This study was supported, in part, by the Emory Comprehensive Glycomics Core.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Dustin, M. L. T-cell activation through immunological synapses and kinapses.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(1), 77-89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Spillane, K. M., Tolar, P. B cell antigen extraction is regulated by physical properties of antigen-presenting cells.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 217-230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Feng, Y. et al. Mechanosensing drives acuity of &amp;#945;&amp;#946; T-cell recognition.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(39), E8204-E8213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Hong, J. et al. A TCR mechanotransduction signaling loop induces negative selection in the thymus.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1379-1390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Basu, R. et al. Cytotoxic T cells use mechanical force to potentiate target cell killing.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 100-110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Bashour, K. T. et al. CD28 and CD3 have complementary roles in T-cell traction forces.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 2241-2246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 V. P. Y., Salaita, K. DNA nanotechnology as an emerging tool to study mechanotransduction in living systems.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(26), 1900961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Liu, Y., Yehl, K., Narui, Y.,Salaita, K. Tension sensing nanoparticles for mechano-imaging at the living/nonliving interface.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(14), 5320-5323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Glazier, R. et al. DNA mechanotechnology reveals that integrin receptors apply pN forces in podosomes on fluid substrates.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Galior, K., Liu, Y., Yehl, K., Vivek, S., Salaita, K. Titin-based nanoparticle tension sensors map high-magnitude integrin forces within focal adhesions.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341-348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Y., Ge, C., Zhu, C., Salaita, K. DNA-based digital tension probes reveal integrin forces during early cell adhesion.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5167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Liu, Y. et al. DNA-based nanoparticle tension sensors reveal that T-cell receptors transmit defined pN forces to their antigens for enhanced fidelity.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(20), 5610-5615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Zhang, Y. et al. Platelet integrins exhibit anisotropic mechanosensing and harness piconewton forces to mediate platelet aggregation.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 325-330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Huang, J. et al. The kinetics of two-dimensional TCR and pMHC interactions determine T-cell responsiveness.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(7290), 932-936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 R. et al. DNA probes that store mechanical information reveal transient piconewton forces applied by T cells.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(34), 16949-16954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Hui, E. et al. T cell costimulatory receptor CD28 is a primary target for PD-1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mediated inhibition.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(6332), 1428-1433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Whitley, K. D., Comstock, M. J., Chemla, Y. R. Elasticity of the transition state for oligonucleotide hybridization.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547-555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Brockman, J. M. et al. Live-cell super-resolved PAINT imaging of piconewton cellular traction forces.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1018-1024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