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Imaging of Chimeric Antigen Receptor T Cells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F]Tetrafluoroborate Positron Emission Tomography/Computed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tab/>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Reona Sakemura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Michelle J. Cox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Aditya Bansal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Mehrdad Hefazi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Cynthia J. Vernon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Dianna L. Glynn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Mukesh K. Pandey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Timothy R. DeGrado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Elizabeth L. Siegler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Saad S. Kenderian</w:t>
      </w:r>
      <w:r>
        <w:rPr>
          <w:rFonts w:ascii="Calibri" w:hAnsi="Calibri" w:cs="Calibri" w:eastAsia="Calibri"/>
          <w:color w:val="auto"/>
          <w:spacing w:val="0"/>
          <w:position w:val="0"/>
          <w:sz w:val="24"/>
          <w:shd w:fill="auto" w:val="clear"/>
          <w:vertAlign w:val="superscript"/>
        </w:rPr>
        <w:t xml:space="preserve">1,2,4,5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 Cell Engineering,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Division of Hematology,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Department of Radiology,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Molecular Medicine,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Department of Immunology,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Reona Sakemura </w:t>
        <w:tab/>
        <w:tab/>
        <w:tab/>
        <w:t xml:space="preserve">(Sakemura.Reona@mayo.edu)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J. Cox </w:t>
        <w:tab/>
        <w:tab/>
        <w:tab/>
        <w:t xml:space="preserve">(Cox.Michelle@mayo.edu)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Aditya Bansal </w:t>
        <w:tab/>
        <w:tab/>
        <w:tab/>
        <w:tab/>
        <w:t xml:space="preserve">(Bansa.Aditya@mayo.edu)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Mehrdad Hefazi </w:t>
        <w:tab/>
        <w:tab/>
        <w:tab/>
        <w:t xml:space="preserve">(HefaziTorghabeh.Mehrdad@mayo.edu)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Cynthia J. Vernon </w:t>
        <w:tab/>
        <w:tab/>
        <w:tab/>
        <w:t xml:space="preserve">(Vernon.Cynthia@mayo.edu)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Dianna L. Glynn </w:t>
        <w:tab/>
        <w:tab/>
        <w:tab/>
        <w:t xml:space="preserve">(Glynn.Dianna@mayo.edu)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Mukesh K. Pandey </w:t>
        <w:tab/>
        <w:tab/>
        <w:tab/>
        <w:t xml:space="preserve">(Pandey.Mukesh@mayo.edu)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R. DeGrado </w:t>
        <w:tab/>
        <w:tab/>
        <w:tab/>
        <w:t xml:space="preserve">(Timothy.DeGrado@cuanschutz.edu)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L. Siegler </w:t>
        <w:tab/>
        <w:tab/>
        <w:tab/>
        <w:t xml:space="preserve">(Siegler.Elizabeth@mayo.edu)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Saad S. Kenderian</w:t>
        <w:tab/>
        <w:tab/>
        <w:tab/>
        <w:t xml:space="preserve">(Kenderian.Saad@mayo.edu)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 T cell, NIS reporter,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non-invasive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methodology for non-invasively tracking T cells genetically engineered to express chimeric antigen receptors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a clinically available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cells genetically engineered to express chimeric antigen receptors (CAR) have shown unprecedented results in pivotal clinical trials for patients with B-cell malignancies or multiple myeloma (MM). However, numerous obstacles limit the efficacy and prohibit the widespread use of CAR T cell therapies due to poor trafficking and infiltration into tumor sites as well as lack of persistence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Moreover, life-threatening toxicities, such as cytokine release syndrome or neurotoxicity, are major concerns. Efficient and sensitive imaging and tracking of CAR T cells enables the evaluation of T cell trafficking, expansion,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characterization and allows the development of strategies to overcome the current limitations of CAR T cell therapy. This paper describes the methodology for incorporating the sodium iodide symporter (NIS) in CAR T cells and for CAR T cell imaging using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F]tetrafluoroborate-positron emission tomography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in preclinical models. The methods described in this protocol can be applied to other CAR constructs and target genes in addition to the ones used for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T (CAR T) cell therapy is a rapidly emerging and potentially curative approach in hematological malignancies</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Extraordinary clinical outcomes were reported after CD19-directed CAR T (CART19) or B cell maturation antigen (BCMA) CAR T cell therapy. This led to the US Food and Drug Administration (FDA) approval of CART19 cells for aggressive B-cell lymphoma (axicabtagene ciloleucel (Axi-Cel), tisagenlecleucel (tisacel), and lisocabtagene maraleucel), acute lymphoblastic leukemia (tisacel)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mantle cell lymphoma (brexucabtagene autoleucel)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follicular lymphoma (Axi-Cel)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Most recently, the FDA approved BCMA-directed CAR T cell therapy in patients with multiple myeloma (MM) (idecabtagene vicleucel)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Moreover, CAR T cell therapy for chronic lymphocytic leukemia (CLL) is in late-stage clinical development and is expected to receive FDA approval within the next three years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unprecedented results of CAR T cell therapy, its widespread use is limited by 1) insufficient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CAR T cell expansion or poor trafficking to tumor sites, which leads to lower rates of durable response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2) the development of life-threatening adverse events, including cytokine release syndrome (CRS)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hallmarks of CRS include not only immune activation resulting in elevated levels of inflammatory cytokines/chemokines but also massive T cell proliferation after CAR T cell infusion</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Thus, the development of a validated, clinical-grade strategy to image CAR T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would allow 1) CAR T cell tracking in real time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to monitor their trafficking to tumor sites and uncover potential mechanisms of resistance, and 2) monitoring of CAR T cell expansion and potentially predicting their toxicities such as the development of CRS.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features of mild CRS are high fever, fatigue, headache, rash, diarrhea, arthralgia, myalgia, and malaise. In more severe CRS, patients may develop tachycardia/hypotension, capillary leak, cardiac dysfunction, renal/hepatic failure, and disseminated intravascular coagulation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In general, the degree of elevation of cytokines, including interferon-gamma, granulocyte-macrophage colony-stimulating factor, interleukin (IL)-10, and IL-6, has been shown to correlate with the severity of clinical symptoms</w:t>
      </w:r>
      <w:r>
        <w:rPr>
          <w:rFonts w:ascii="Calibri" w:hAnsi="Calibri" w:cs="Calibri" w:eastAsia="Calibri"/>
          <w:color w:val="auto"/>
          <w:spacing w:val="0"/>
          <w:position w:val="0"/>
          <w:sz w:val="24"/>
          <w:shd w:fill="auto" w:val="clear"/>
          <w:vertAlign w:val="superscript"/>
        </w:rPr>
        <w:t xml:space="preserve">1,6,21,28,29</w:t>
      </w:r>
      <w:r>
        <w:rPr>
          <w:rFonts w:ascii="Calibri" w:hAnsi="Calibri" w:cs="Calibri" w:eastAsia="Calibri"/>
          <w:color w:val="auto"/>
          <w:spacing w:val="0"/>
          <w:position w:val="0"/>
          <w:sz w:val="24"/>
          <w:shd w:fill="auto" w:val="clear"/>
        </w:rPr>
        <w:t xml:space="preserve">. However, the extensive application of “real-time” serum cytokine monitoring to predict CRS is difficult due to the high cost and limited availability. To exploit the beneficial characteristics of CAR T cell therapy, non-invasive imaging of adoptive T cells can be potentially utilized to predict the efficacy, toxicities, and relapse after CAR T cell infusion.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researchers have developed strategies to use radionuclide-based imaging with positron emission tomography (PET) or single-photon emission computed tomography (SPECT), which provides high resolution and high sensitivity</w:t>
      </w:r>
      <w:r>
        <w:rPr>
          <w:rFonts w:ascii="Calibri" w:hAnsi="Calibri" w:cs="Calibri" w:eastAsia="Calibri"/>
          <w:color w:val="auto"/>
          <w:spacing w:val="0"/>
          <w:position w:val="0"/>
          <w:sz w:val="24"/>
          <w:shd w:fill="auto" w:val="clear"/>
          <w:vertAlign w:val="superscript"/>
        </w:rPr>
        <w:t xml:space="preserve">30-39</w:t>
      </w:r>
      <w:r>
        <w:rPr>
          <w:rFonts w:ascii="Calibri" w:hAnsi="Calibri" w:cs="Calibri" w:eastAsia="Calibri"/>
          <w:color w:val="auto"/>
          <w:spacing w:val="0"/>
          <w:position w:val="0"/>
          <w:sz w:val="24"/>
          <w:shd w:fill="auto" w:val="clear"/>
        </w:rPr>
        <w:t xml:space="preserve">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and monitoring of CAR T cell trafficking. Among those radionuclide-based imaging strategies, the sodium iodide symporter (NIS) has been developed as a sensitive modality to image cells and viruses using PET scans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CAR T cell imaging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is a sensitive, efficient, and convenient technology to assess and diagnose CAR T cell expansion, trafficking, and toxicity. This protocol describes 1) the development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CAR T cells through dual transduction with high efficacy and 2) a methodology for imaging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CAR T cells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scan. BCMA-CAR T cells for MM are used as a proof-of-concept model to describe NIS as a reporter for CAR T cell imaging. However, these methodologies can be applied to any other CAR T cell 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guidelines of Mayo Clinic’s Institutional Review Board, Institutional Biosafety Committee, and Mayo Clinic’s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NIS</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BCMA-CAR T cell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follows the guidelines of the Mayo Clinic’s Institutional Review Board (IRB 17-008762) and Institutional Biosafety Committee (IBC Bios00000006.04).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Production of BCMA-CAR, NIS, and luciferase-green fluorescent protein (GFP)-encoding lentiviruses.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second-generation BCMA-CAR construct was synthesized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cloned into a third-generation lentiviral vector under the control of an elongation factor-1 alpha (EF-1&amp;#945;) promotor. The BCMA-CAR construct (C11D5.3-41BBz) included 4-1BB costimulation and a single-chain variable fragment (scFv) derived from an anti-human BCMA antibody clone C11D5.3</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NIS is under the control of the EF-1&amp;#945; promotor and binds to the puromycin resistance gene via self-cleaving peptides (P2A). The lentiviral vector encoding luciferase-GFP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is used to transduce tumor cells, which then express GFP and luciferase.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lentiviral vector plasmids: pLV-EF1&amp;#945;-BCMA-CAR (15 &amp;#181;g), pBMN-CMV-GFP-Luc2-Puro (15 &amp;#181;g), and pLV-EF1&amp;#945;-NIS-P2A-Puro (15 &amp;#181;g).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pBMN-CMV-GFP-Luc2-Puro and pLV-EF1&amp;#945;-NIS-P2A-Puro contain the puromycin resistance gene. Therefore, NIS- or luciferase-GFP-transduced cells can be selected with 1 &amp;#181;g/mL or 2 &amp;#181;g/mL of puromycin dihydrochloride, as described previously</w:t>
      </w:r>
      <w:r>
        <w:rPr>
          <w:rFonts w:ascii="Calibri" w:hAnsi="Calibri" w:cs="Calibri" w:eastAsia="Calibri"/>
          <w:color w:val="auto"/>
          <w:spacing w:val="0"/>
          <w:position w:val="0"/>
          <w:sz w:val="24"/>
          <w:shd w:fill="auto" w:val="clear"/>
          <w:vertAlign w:val="superscript"/>
        </w:rPr>
        <w:t xml:space="preserve">21,45,46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Seed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293T cells in a T175 flask and incubate for 24 h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Confirm that 293T cells are evenly distributed on the flask at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by direct visualization under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a master mix of 15 &amp;#181;g of the expression vector (e.g., CAR, NIS, or luciferase-GFP linear DNA), 7 &amp;#181;g of the envelope vector (VSV-G), and 18 &amp;#181;g of the packaging vector (gag, pol, rev, and tat). Dilute the DNA master mix in 4.5 mL of the transfection medium, and then add 111 &amp;#181;L of the pre-complexing reagent (Mixture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a new tube, and dilute 129 &amp;#181;L of the liposomal transfection reagent in 4.5 mL of the transfection medium (Mixture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Combine Mixtures A and B and flick the tube to mix the contents. Incubate for 30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After the incubation, simply aspirate the cell supernatant without detaching the cells and add 16 mL of a growth medium containing 10% fetal bovine serum (FBS) and 1% penicillin-streptomycin-glutamine. Then, add the mixture of Mixtures A and B on 293T cells dropwise. Finally, incubate the transfected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On days 1 and 2 post-transfection, harvest the supernatant of 293T, spin down at 900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filter through a 0.45 &amp;#181;m nylon filter. Concentrate the filtrate at 24 and 48 h by ultracentrifugation at 112,700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h, and freeze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i/>
          <w:color w:val="auto"/>
          <w:spacing w:val="0"/>
          <w:position w:val="0"/>
          <w:sz w:val="24"/>
          <w:shd w:fill="FFFF00" w:val="clear"/>
        </w:rPr>
        <w:t xml:space="preserve">Ex-vivo</w:t>
      </w:r>
      <w:r>
        <w:rPr>
          <w:rFonts w:ascii="Calibri" w:hAnsi="Calibri" w:cs="Calibri" w:eastAsia="Calibri"/>
          <w:color w:val="auto"/>
          <w:spacing w:val="0"/>
          <w:position w:val="0"/>
          <w:sz w:val="24"/>
          <w:shd w:fill="FFFF00" w:val="clear"/>
        </w:rPr>
        <w:t xml:space="preserve"> T cell isolation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cell culture work in a laminar flow cabinet using aseptic technique and personal protective equipment. Peripheral blood mononuclear cells (PBMCs) are harvested from healthy volunteer donor blood collected during apheresis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Use the standard density gradient technique to isolate PBMCs.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Gently add 15 mL of density gradient medium (density of 1.077 g/mL) (containing alpha-D-glucopyranoside, beta-D-fructofuranosyl homopolymer, and, 3-(acetylamino)-5-(acetylmethylamino)-2,4,6-triodobenzoic acid monosodium salt) to a 50 mL density gradient separation tube without creating air bubbles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w:t>
        <w:tab/>
        <w:t xml:space="preserve">To avoid cell trapping, dilute the blood sample with phosphate-buffered saline (PBS, 0.2 g/L of potassium chloride, 0.2 g/L of potassium phosphate monobasic, 8 g/L of sodium chloride, and 1.15 g/L of sodium phosphate dibasic) containing 2% FBS at a 1:1 volume ratio. Gently transfer the diluted blood on top of the density gradient medium without breaking the interface between the two. Spin down at 1,200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50 mL density gradient separation tube can be used for the isolation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mL of a blood sample. The 50 mL density gradient separation tube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used in this protocol does not require the “brake off” during centrifugation. However, when standard 50 mL tubes are used, the brake needs to be off and requires 30 min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w:t>
        <w:tab/>
        <w:t xml:space="preserve">Transfer the supernatant into a new 50 mL conical tube, wash with PBS + 2% FBS by filling up to 50 mL, and then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w:t>
        <w:tab/>
        <w:t xml:space="preserve">Aspirate the supernatant, and resuspend the pelleted cells in 50 mL of PBS + 2% FBS. Count the number of cells, and then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RT. Repeat the previous step for a total of 2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Aspirate the supernatant, and resuspend the pelleted cells to a concentration of 50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with PBS + 2%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Perform T cell isolation from PBMCs using a negative selection magnetic bead kit.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ideal negative selection kit includes magnetic beads attached to antibodies against antigens expressed on cells other than T cells. A commonly used kit contains antibodies conjugated to magnetic beads against CD15, CD14, CD34, CD36, CD56, CD123, CD235a, CD19, and CD16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w:t>
        <w:tab/>
        <w:t xml:space="preserve">Transfer PBMCs to a 14 mL polystyrene round-bottom tube. Then, place the PBMCs and the negative selection antibody cocktail in a fully automated cell separator, and perform T cell isolation according to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 cell stimulation and T cell expansion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To culture the isolated T cells, prepare T cell expansion medium (TCM) made with serum-free hematopoietic cell medium supplemented with 10% human serum albumin and 1% penicillin-streptomycin-glutamine</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After T cell isolation, count the cells and culture at a concentration of 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with TCM.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Wash anti-CD3/CD28 beads three times with TCM before culturing with T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1.3.2.1.</w:t>
        <w:tab/>
        <w:t xml:space="preserve">Mix the vial containing the beads by swirling. Then, pipette the required volume of beads (3:1 beads:cell) (e.g., when stimulating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of T cells, use 3.0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of anti-CD3/CD28 beads) into a sterile microcentrifuge tube (1.5 mL) and resuspend in 1 mL of TCM.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Place the microcentrifuge tube with the beads on a magnet for 1 min, and aspirate the supernatant. Remove the tube from the magnet, and resuspend the washed beads in 1 mL of TCM. Repeat the previous two steps for a total of 3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Resuspend the beads in 1 mL of TCM and transfer them to the T cells. Then, dilute the T cells to a final concentration of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with TCM. Transfer the T-cell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bead suspension to a tissue-culture-treated 6-well plate and place it in the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Titration of lentiviruses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T cells for titration assay. Ensure that approximately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are available to titrate one type of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Stimulate T cells as described in section 1.3.2.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Plate 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of stimulated T cells in a 96-well plate (titer plate)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Isolate and stimulate the T cells as described in section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Prepare a dilution plate (96-well plate) by adding 100 &amp;#181;L of TCM into the wells of the designated columns and the untransduced control wells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Thaw one vial of lentiviral particles on ice and gently pipette up and down to mix well. Transfer 50 &amp;#181;L of the virus supernatant into the wells of Column 6 of the 96-well plate (dilution 3)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Pipette up and down to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Perform serial dilutions (2-fold serial dilution): transfer 50 &amp;#181;L from well A6 to well B6 and then 50 &amp;#181;L from well B6 to well C6; repeat until G6. Then, add 50 &amp;#181;L of the diluted virus to the titer plate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Incubate the titer plate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48 h, and determine the percentages of CAR-, NIS-, or GFP-positive cells by flow cytometry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Wash the wells by spinning down the titer plate two times at 650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1.4.7.2.</w:t>
        <w:tab/>
        <w:t xml:space="preserve">Stain the transduced T cells as described in steps 1.5.3 to 1.5.9.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1.4.7.3.</w:t>
        <w:tab/>
        <w:t xml:space="preserve">Determine the titers based on the percentages of CAR-, NIS-, or GFP-positive cells by using formula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Titers = Percentage of BCMA-CAR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&amp;#215; T cell count at transduction &amp;#215; the specific dilution / volume </w:t>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Transduction of lentiviruses and NIS</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BCMA-CAR T cell expansion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Twenty-four to 48 h after T cell stimulation, perform lentiviral transduction on stimulated T cells (T cells should form clusters).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1.5.1.1.</w:t>
        <w:tab/>
        <w:t xml:space="preserve">Thaw the frozen lentiviruses encoding CAR or NIS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1.5.1.2.</w:t>
        <w:tab/>
        <w:t xml:space="preserve">Mix the stimulated T cells well to break up the clusters, and simply add freshly thawed virus at a multiplicity of infection (MOI) of 5.0 (when transducing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 cells, use 5.0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of lentivirons). Incubate the transduced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1.5.1.3.</w:t>
        <w:tab/>
        <w:t xml:space="preserve">On days 3, 4, and 5, count the transduced T cells using a hematocytometer</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auto" w:val="clear"/>
        </w:rPr>
        <w:t xml:space="preserve"> o</w:t>
      </w:r>
      <w:r>
        <w:rPr>
          <w:rFonts w:ascii="Calibri" w:hAnsi="Calibri" w:cs="Calibri" w:eastAsia="Calibri"/>
          <w:color w:val="auto"/>
          <w:spacing w:val="0"/>
          <w:position w:val="0"/>
          <w:sz w:val="24"/>
          <w:shd w:fill="FFFF00" w:val="clear"/>
        </w:rPr>
        <w:t xml:space="preserve">r a fully automated cell counter</w:t>
      </w:r>
      <w:r>
        <w:rPr>
          <w:rFonts w:ascii="Calibri" w:hAnsi="Calibri" w:cs="Calibri" w:eastAsia="Calibri"/>
          <w:color w:val="auto"/>
          <w:spacing w:val="0"/>
          <w:position w:val="0"/>
          <w:sz w:val="24"/>
          <w:shd w:fill="FFFF00" w:val="clear"/>
          <w:vertAlign w:val="superscript"/>
        </w:rPr>
        <w:t xml:space="preserve">49</w:t>
      </w:r>
      <w:r>
        <w:rPr>
          <w:rFonts w:ascii="Calibri" w:hAnsi="Calibri" w:cs="Calibri" w:eastAsia="Calibri"/>
          <w:color w:val="auto"/>
          <w:spacing w:val="0"/>
          <w:position w:val="0"/>
          <w:sz w:val="24"/>
          <w:shd w:fill="FFFF00" w:val="clear"/>
        </w:rPr>
        <w:t xml:space="preserve"> and adjust the cell concentration to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by adding fresh, pre-warmed TCM. For NIS-transduced T cells carrying the puromycin resistance gene, treat the cells with 1 &amp;#181;g/mL of puromycin dihydrochloride on days 3, 4, and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On day 6, remove the anti-CD3/CD28 beads from the transduced T cells (from step 1.3.4) by mixing well to break up the T cell clusters and placing them in a magnet for 1 min. Then, simply place the collected transduced T cells back in culture at a concentration of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After removing the beads from the T cells, assess the expression of CAR and NIS by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single-chain variable fragment of the BCMA-CAR is derived from mouse, it can be stained with goat anti-mouse IgG (H+L) conjugated with Alexa Fluor 647. NIS can be detected using anti-human ETNL [synthetic peptide corresponding to aa625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643 (SWTPCVGHDGGRDQQETNL)]. This antibody recognizes the cytosolic C-terminus of NIS. Therefore, T cells must be permeabilized before incubation with an anti-human NIS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Perform surface staining of BCMA-CAR using goat anti-mouse IgG (H+L).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1.5.3.1.</w:t>
        <w:tab/>
        <w:t xml:space="preserve">Take an aliquot of the culture (e.g., 50,000 T cells) and wash with flow buffer (PBS, 1% FBS, and 1% sodium azide). Next, resuspend the cells with 50 &amp;#181;L of flow buffer, and stain the cells with 1 &amp;#181;L of goat anti-mouse antibody for detecting CAR expression and 0.3 &amp;#181;L of live-dead aqua for excluding dead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1.5.3.2.</w:t>
        <w:tab/>
        <w:t xml:space="preserve">Incubate for 15 min in the dark at RT, wash the cells by adding 150 &amp;#181;L of flow buffer, and centrifuge the cells at 650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After surface CAR staining, fix and permeabilize the cells by adding 100 &amp;#181;L of fixation medium (PBS with 4.21% formaldehyde) and incubate for 20 min at 4 &amp;#176;C. Wash the cells twice with 100 &amp;#181;L of a buffer that contains a cell-permeabilizing agent such as saponin (650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w:t>
        <w:tab/>
        <w:t xml:space="preserve"> Resuspend the fixed/permeabilized cells in 50 &amp;#181;L of a permeabilizing buffer. Then, add 0.3 ng of anti-human ETNL NIS antibody in 50 &amp;#181;L of flow buffer and incubate for 1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w:t>
        <w:tab/>
        <w:t xml:space="preserve">Add 150 &amp;#181;L of flow buffer, and centrifuge the cells at 650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4 &amp;#176;C. Incubate the cells with 2.5 &amp;#181;L of anti-rabbit secondary antibody in 50 &amp;#181;L of flow buffer for 30 min at 4 &amp;#176;C, wash the cells by adding 150 &amp;#181;L of flow buffer, and centrifuge at 650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w:t>
        <w:tab/>
        <w:t xml:space="preserve">Finally, resuspend in 200 &amp;#181;L of flow buffer and perform flow cytometry to determine the transduction efficiency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1.5.8.</w:t>
        <w:tab/>
        <w:t xml:space="preserve">On day 8, count and spin down the T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8 min at 4 &amp;#176;C. Resuspend the T cells with freezing medium (90% FBS + 10% dimethylsulfoxide [DMSO]) at a concentration of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then transfer 1 mL each to labeled cryovials.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1.5.9.</w:t>
        <w:tab/>
        <w:t xml:space="preserve">Place the vials in a -80 &amp;#176;C freezer for 48 h. After 48 h (and by day 10), transfer the T cells to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overview of NIS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CAR T cell production.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represents examples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 cell expansion from three different donors.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NIS</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BCMA-CAR T cell imaging with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F]TFB-PET scan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follows the guidelines of Mayo Clinic’s Institutional Animal Care and Use Committee (IACUC A00001767-16), IRB, and IBC (Bios00000006.04). OPM-2 is a BCMA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MM cell line, which is often used as a target cell line for BCMA-CAR T cells</w:t>
      </w:r>
      <w:r>
        <w:rPr>
          <w:rFonts w:ascii="Calibri" w:hAnsi="Calibri" w:cs="Calibri" w:eastAsia="Calibri"/>
          <w:color w:val="auto"/>
          <w:spacing w:val="0"/>
          <w:position w:val="0"/>
          <w:sz w:val="24"/>
          <w:shd w:fill="auto" w:val="clear"/>
          <w:vertAlign w:val="superscript"/>
        </w:rPr>
        <w:t xml:space="preserve">50-52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Establish 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BCMA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OPM-2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Seed 500,000 OPM-2 cells in a tissue culture-treated 24-well plate. Thaw lentivirus encoding luciferase-GFP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Add the freshly thawed virus at an MOI of 3.0 to OPM-2 cells and mix well by pipetting. Place the plate in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Forty-eight hours after the transduction, add 2 &amp;#181;g/mL of puromycin to select the transduced cells. Four days after the transduction, assess the GFP-positive cells (luciferase-positive) by flow cytometry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Establish BCMA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OPM-2 xenograft mouse models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Count 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OPM-2 cells and spin them down twice to remove all cell culture medium. Resuspend the OPM-2 cells at a concentration of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On day -21, inject 100 &amp;#181;L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OPM-2 cells into the tails of 8-to-12-week-old immunocompromised </w:t>
      </w:r>
      <w:r>
        <w:rPr>
          <w:rFonts w:ascii="Calibri" w:hAnsi="Calibri" w:cs="Calibri" w:eastAsia="Calibri"/>
          <w:color w:val="auto"/>
          <w:spacing w:val="0"/>
          <w:position w:val="0"/>
          <w:sz w:val="24"/>
          <w:shd w:fill="FFFFFF" w:val="clear"/>
        </w:rPr>
        <w:t xml:space="preserve">NOD-</w:t>
      </w:r>
      <w:r>
        <w:rPr>
          <w:rFonts w:ascii="Calibri" w:hAnsi="Calibri" w:cs="Calibri" w:eastAsia="Calibri"/>
          <w:i/>
          <w:color w:val="auto"/>
          <w:spacing w:val="0"/>
          <w:position w:val="0"/>
          <w:sz w:val="24"/>
          <w:shd w:fill="FFFFFF" w:val="clear"/>
        </w:rPr>
        <w:t xml:space="preserve">scid IL2r&amp;#947;</w:t>
      </w:r>
      <w:r>
        <w:rPr>
          <w:rFonts w:ascii="Calibri" w:hAnsi="Calibri" w:cs="Calibri" w:eastAsia="Calibri"/>
          <w:i/>
          <w:color w:val="auto"/>
          <w:spacing w:val="0"/>
          <w:position w:val="0"/>
          <w:sz w:val="24"/>
          <w:shd w:fill="FFFFFF" w:val="clear"/>
          <w:vertAlign w:val="superscript"/>
        </w:rPr>
        <w:t xml:space="preserve">null</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NSG) mice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On day 20 after the OPM-2 cell injection (day -1 of CAR T cell injection), check the tumor burden via bioluminescence imaging (BLI)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OPM-2 cells form a slow-growing tumor, which usually takes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to engraft.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Administer 10 &amp;#181;L/g of D-luciferin to OPM-2 xenograft mice via intraperitoneal (IP) injection. After 10 min, perform BLI on the mice under 2% isoflurane gas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confirming tumor engraftment, randomize the mice according to the tumor burden.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On day -1 of the CAR T cell injection, thaw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and remove the freezing medium by centrifugation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8 min, 4 &amp;#176;C). Then, the resuspend cells with TCM at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and incubate overnight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On day 0, count and centrifuge the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8 min, 4 &amp;#176;C). Resuspend the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at 50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Administer 100 &amp;#181;L (5.0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via tail vein injection to the OPM-2 xenograft mice. On days 7 and 15, image the mice using a PET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NIS</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BCMA-CAR T cell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imaging using BCMA</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OPM-2 xenograft mouse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Weigh the mice before the imaging, and remove any metal ear tags to eliminate metal-related artifacts.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Prepare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F]TFB as previously described</w:t>
      </w:r>
      <w:r>
        <w:rPr>
          <w:rFonts w:ascii="Calibri" w:hAnsi="Calibri" w:cs="Calibri" w:eastAsia="Calibri"/>
          <w:color w:val="auto"/>
          <w:spacing w:val="0"/>
          <w:position w:val="0"/>
          <w:sz w:val="24"/>
          <w:shd w:fill="FFFF00" w:val="clear"/>
          <w:vertAlign w:val="superscript"/>
        </w:rPr>
        <w:t xml:space="preserve">53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must be produced the day of its use. Radiochemical purity should be &amp;gt;99% and molar activity &amp;gt;5 GBq/mmol.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Inject 9.25 MBq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F]TFB intravenously via tail vein injection. Allow an uptake period of ~40 min for the radiotracer to be distributed in the body and clear the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Anesthetize the mouse using isoflurane inhalation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Isoflurane is the preferred inhaled anesthetic as it has rapid and reliable onset and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Prior to anesthetizing the mouse, clean all surfaces of the anesthesia machine with disinfectant cleaners.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Place the mouse inside the induction chamber. Turn the vaporizer dial to 2% and wait for the mouse to become recumbent and non-responsive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Monitor the mouse to avoid insufficient anesthesia or excessive depression of respiratory functions. In brief, pinch toe to confirm the insufficient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normal respiratory rate is up to 180/min, and the acceptable drop rate is 50%.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Apply ophthalmic ointment to avoid corneal drying and trauma.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Acquire PET/CT images 45 min post-injection with the anesthetized mouse in a micro PET/CT imaging workstation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Next, acquire static PET images for 15 min followed by CT image acquisition for 5 min with 360&amp;#176; rotation and 180 projections at 500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&amp;#181;A, 80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keV, and 200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ms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Analyzing acquired imaging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Analyze the images using PET image processing software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Video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Define the volume of interest (VOI).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Calculate the standardized uptake value (SUV) using formula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SUV in VOI = Concentration of activity in VOI (MBq/mL) &amp;#215; body weight (g) / administered dose (MBq)</w:t>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Confirmation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 trafficking to the tumor sites with the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After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imaging, place the mouse back into the cage. Following cessation of anesthesia, monitor the animals until they are capable of purposeful movement and ensure that they have access to food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Monitor the mice until the decay of the injected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Once the radioisotope is not detectable, euthanize the mice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To euthanize, place the mice into the cage (no more than 5 mice per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Expose the mice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complete cessation of breathing in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To ensure the death of the mice, perform cervical dislocation by grasping the tail with one hand and hold the neck with the other hand. Then, quickly pull the neck.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Harvest the bone marrow to confirm that the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efficiently traffic to the tumor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Transfer the harvested femurs and tibia to a 6-well plate containing 5 mL of cell culture medium. Remove the muscles and tendons from the femurs and tibia, and simply cut both ends (above the joints) of the femurs and tibia.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Fill an insulin syringe with the cell culture medium, and flush bone marrow onto the 6-well plate. For femurs, use 22 G needles and 5 mL syringes because the femur diameter is larger than that of the tibia.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Use the flat end of the plunger to grind the bone marrow.</w:t>
      </w:r>
      <w:r>
        <w:rPr>
          <w:rFonts w:ascii="Calibri" w:hAnsi="Calibri" w:cs="Calibri" w:eastAsia="Calibri"/>
          <w:color w:val="auto"/>
          <w:spacing w:val="0"/>
          <w:position w:val="0"/>
          <w:sz w:val="24"/>
          <w:shd w:fill="FFFFFF" w:val="clear"/>
        </w:rPr>
        <w:t xml:space="preserve"> Place a 70 &amp;#181;m cell strainer on a sterile 50 mL conical tube, and filter the ground bone marrow. Then, fill up the tube with the flow buffer, and centrifuge the tube at 300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8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r>
      <w:r>
        <w:rPr>
          <w:rFonts w:ascii="Calibri" w:hAnsi="Calibri" w:cs="Calibri" w:eastAsia="Calibri"/>
          <w:color w:val="auto"/>
          <w:spacing w:val="0"/>
          <w:position w:val="0"/>
          <w:sz w:val="24"/>
          <w:shd w:fill="FFFFFF" w:val="clear"/>
        </w:rPr>
        <w:t xml:space="preserve">Aspirate the supernatant, and resuspend the bone marrow with 5 mL of flow buffer. Transfer 200 &amp;#181;L of bone marrow to a 96-well plate. Centrifuge the plate at 300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at 4 &amp;#176;C. Decant the supernatant, and resuspend the cells with 50 &amp;#181;L of flow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r>
      <w:r>
        <w:rPr>
          <w:rFonts w:ascii="Calibri" w:hAnsi="Calibri" w:cs="Calibri" w:eastAsia="Calibri"/>
          <w:color w:val="auto"/>
          <w:spacing w:val="0"/>
          <w:position w:val="0"/>
          <w:sz w:val="24"/>
          <w:shd w:fill="FFFFFF" w:val="clear"/>
        </w:rPr>
        <w:t xml:space="preserve">Stain the bone marrow with flow antibodies against 0.25 &amp;#181;g of mouse CD45, 0.03 &amp;#181;g of human CD45, 0.06 &amp;#181;g of human CD3, 0.24 &amp;#181;g of human BCMA, and 0.3 &amp;#181;L of live/dead aqua. Incubate the plate for 15 min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2.5.12.</w:t>
        <w:tab/>
      </w:r>
      <w:r>
        <w:rPr>
          <w:rFonts w:ascii="Calibri" w:hAnsi="Calibri" w:cs="Calibri" w:eastAsia="Calibri"/>
          <w:color w:val="auto"/>
          <w:spacing w:val="0"/>
          <w:position w:val="0"/>
          <w:sz w:val="24"/>
          <w:shd w:fill="FFFFFF" w:val="clear"/>
        </w:rPr>
        <w:t xml:space="preserve">Centrifuge the plate at 300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at 4 &amp;#176;C. Then, add 200 &amp;#181;L of flow buffer, and run on the flow cytometer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represents the steps of generating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On day 0, isolate PBMCs and then isolate T cells by negative selection. Then, stimulate T cells with anti-CD3/CD28 beads. On day 1, transduce T cells with both NIS and BCMA-CAR lentiviruses. On days 3, 4, and 5, count T cells and feed with media to adjust the concentration to be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For NIS-transduced T cells, add 1 &amp;#956;g/mL of puromycin to select NIS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On day 6, remove the beads by placing the cells in the magnet for a minute. Then, put the de-beaded cells from the tube into a new flask. Take an aliquot of cells (e.g., 50,000 cells) and stain with antibodies to check the expression of NIS and CAR on the surface of T cells using flow cytometry. On day 8, count the T cells and cryopreserve with freezing media at the concentration of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the outline of titrating the lentiviruses. On day 0, resuspend T cells at the concentration of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TCM. Then, stimulate T cells with anti-CD3/CD28 beads at a 1:3 cell:beads ratio. Add 100 &amp;#956;L (100,000 cells) of T cells to the colored wells as indicated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plate is called a “titer plate.” Incubate the titer plate at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 On day 1, prepare the dilution plate. Add 100 &amp;#956;L of TCM to the colored wells as indicated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Then, add 50 &amp;#956;L of freshly thawed lentiviruses into the first row (e.g., A6, A7, or A8 as depicted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Perform serial dilution by transferring 50 &amp;#181;L from A6 to B6, and then 50 &amp;#181;L from B6 to C6, repeating until G6. Perform serial dilution for A7 and A8 as well. Then transfer 50 &amp;#181;L of the diluted virus to the titer plate. Twenty-four hours after transferring the virus from the dilution plate to the titer plate, feed the cells with 100 &amp;#956;L of TCM. On day 3, stain cells with antibodies and analyze the expression of NIS and BCMA on the T cells via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show the representative flow plots of BCMA-CAR T or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T cells are gated on FSC/SSC, followed by singlet and live-cell discrimination. Over 90% of cells are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the representative flow plot for the composition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Similar to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 cells are gated on FSC/SSC, followed by singlet and live-cell discrimination.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the T cell expansion curve from days 0 to 8. There are no fold expansion differences between UTD, BCMA-CAR T, or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depicts the GFP expression on OPM-2 cells after the transduction of lentivirus that encodes GFP and luciferase followed by puromycin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the outline of imaging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Inoculate six to eight-week-old mice with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OPM-2 cells via tail vein injection on day -21. Assess the tumor burden by BLI on day -1. On day 0, randomize the mice according to the tumor burden to be treated with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through tail vein injection or monitored without any treatment (untreated xenograft). Image the mice with BLI on day 6. Perform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on day 7 to image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representative BLI 20 days after the inoculation of 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OPM-2 cells into the NSG mice.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representative PET imaging a week after administration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uptake is observed in the sternum, spines, pelvis, and femurs. In addition, physiological uptake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is seen in the thyroid and stomach.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the representative flow plots of femur-derived bone marrow harvested from the untreated xenograft or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cell-treated mice. Bone marrow samples are stained with mouse CD45, human CD45, human CD3, and human BCMA. Cells are gated on FSC/SSC, followed by singlet, live, and human-cell discrimination. Bone marrow samples derived from untreated xenograft show BCMA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whereas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 treated mouse shows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support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finding.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NIS</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BCMA-CAR T cell production schema.</w:t>
      </w:r>
      <w:r>
        <w:rPr>
          <w:rFonts w:ascii="Calibri" w:hAnsi="Calibri" w:cs="Calibri" w:eastAsia="Calibri"/>
          <w:color w:val="auto"/>
          <w:spacing w:val="0"/>
          <w:position w:val="0"/>
          <w:sz w:val="24"/>
          <w:shd w:fill="auto" w:val="clear"/>
        </w:rPr>
        <w:t xml:space="preserve"> Normal donor CD3 T cells (isolated from peripheral blood mononuclear cells) using negative bead selection. T cells are plated at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and expanded in TCM using anti-CD3/CD28 beads added on day 0 of culture and removed on day 6. T cells are dually transduced with lentiviruses encoding NIS or BCMA-CAR on day 1 (MOI=5).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are treated with 1 &amp;#181;g/mL of puromycin on days 3, 4, and 5. T cells are expanded in culture for 8 days. T cells are cryopreserved in FBS with 10% DMSO for future experiments. T cells are thawed and rested overnight at 37 &amp;#176;C before all experiments. Abbreviations: CD = cluster of differentiation; TCM = T-cell expansion medium; BCMA = B cell maturation antigen; CAR = chimeric antigen receptor; NIS = sodium iodide symporter; GFP = green fluorescent protein; PBMCs = peripheral blood mononuclear cells; MOI = multiplicity of infection; FBS = fetal bovine serum; DMSO = dimethylsulfoxide.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Lentivirus titration.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day 0, stimulate T cells with anti-CD3/CD28 beads at a 3:1 beads:cell ratio. Add 100 &amp;#181;L of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of stimulated T cells to the colored wells as indicated in the cartoon. Then, incubate the titer plate at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a dilution plate by adding 100 &amp;#181;L of TCM to the colored wells as indicated in the cartoon. Add 50 &amp;#181;L of freshly thawed virus to A6, A7, or A8 (e.g., BCMA-CAR to A6, NIS to A7, and luciferase-GFP to A8). Then, serially dilute the virus by transferring 50 &amp;#181;L from A6 to B6, and then 50 &amp;#181;L from B6 to C6, repeating until G6. Perform serial dilution for A7 and A8 as well. Transfer 50 &amp;#181;L of the diluted virus to the titer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 day 3, stain the cells with corresponding antibodies and analyze the titer plate by flow cytometry. Abbreviations: CD = cluster of differentiation; TCM = T-cell expansion medium; BCMA = B cell maturation antigen; CAR = chimeric antigen receptor; NIS = sodium iodide symporter; GFP =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generation of NIS</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BCMA-CAR T cells and luciferase-GFP positive OPM-2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are gated on FSC/SSC, followed by singlet and live-cell discrimination. Representative flow plots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untransduced T and BCMA-CAR T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UTD and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are shown.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are generated by co-transduction of two viruses on day 1 of T cell expansion,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 day 6, cells are stained for CARs and NIS.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phenotypic analysis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The representative flow plot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is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Summary of the UTD, BCMA-CAR T, or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 growth kinetics. Incorporation of BCMA-CAR and/or NIS does not impact T cell expansion (two-way ANOVA, n=3 biological replicates, mean &amp;plusmn; SD).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cytometric analysis of luciferase-GFP-transduced OPM-2. OPM-2 cells are transduced with lentivirus encoding luciferase-GFP with puromycin resistance. Forty-eight hours after transduction, OPM-2 cells are treated with 2 &amp;#181;g/mL of puromycin. Cells are expanded for two more days, and the expression of GFP is analyzed via flow cytometry. Abbreviations: CD = cluster of differentiation; BCMA = B cell maturation antigen; CAR = chimeric antigen receptor; NIS = sodium iodide symporter; GFP = green fluorescent protein; UTD = untransduced; FSC/SSC = forward scattering/side scattering; ANOVA = analysis of variance; n.s.= not significant; SD = standard deviation; FL-1-A = area of fluorophore 1; FITC-A = area of fluorescein isothiocyanate.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Scheme for i</w:t>
      </w:r>
      <w:r>
        <w:rPr>
          <w:rFonts w:ascii="Calibri" w:hAnsi="Calibri" w:cs="Calibri" w:eastAsia="Calibri"/>
          <w:b/>
          <w:i/>
          <w:color w:val="auto"/>
          <w:spacing w:val="0"/>
          <w:position w:val="0"/>
          <w:sz w:val="24"/>
          <w:shd w:fill="auto" w:val="clear"/>
        </w:rPr>
        <w:t xml:space="preserve">n vivo </w:t>
      </w:r>
      <w:r>
        <w:rPr>
          <w:rFonts w:ascii="Calibri" w:hAnsi="Calibri" w:cs="Calibri" w:eastAsia="Calibri"/>
          <w:b/>
          <w:color w:val="auto"/>
          <w:spacing w:val="0"/>
          <w:position w:val="0"/>
          <w:sz w:val="24"/>
          <w:shd w:fill="auto" w:val="clear"/>
        </w:rPr>
        <w:t xml:space="preserve">trafficking assay in a systemic OPM2 xenograft model. </w:t>
      </w:r>
      <w:r>
        <w:rPr>
          <w:rFonts w:ascii="Calibri" w:hAnsi="Calibri" w:cs="Calibri" w:eastAsia="Calibri"/>
          <w:color w:val="auto"/>
          <w:spacing w:val="0"/>
          <w:position w:val="0"/>
          <w:sz w:val="24"/>
          <w:shd w:fill="auto" w:val="clear"/>
        </w:rPr>
        <w:t xml:space="preserve">Inject six to eight-week-old NSG mice with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luciferase-positive OPM-2 cells via the tail vein on day -21. On day -1, perform bioluminescent imaging on the mice to confirm the engraftment of OPM-2 cells. On day 0, inject mice with 5.0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Image mice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F]TFB-PET/CT on day 7 to assess the trafficking of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Abbreviations: BCMA = B cell maturation antigen; CAR = chimeric antigen receptor; NIS = sodium iodide symporter; BLI = bioluminescent imaging; NSG = immunocompromised </w:t>
      </w:r>
      <w:r>
        <w:rPr>
          <w:rFonts w:ascii="Calibri" w:hAnsi="Calibri" w:cs="Calibri" w:eastAsia="Calibri"/>
          <w:color w:val="auto"/>
          <w:spacing w:val="0"/>
          <w:position w:val="0"/>
          <w:sz w:val="24"/>
          <w:shd w:fill="FFFFFF" w:val="clear"/>
        </w:rPr>
        <w:t xml:space="preserve">NOD-</w:t>
      </w:r>
      <w:r>
        <w:rPr>
          <w:rFonts w:ascii="Calibri" w:hAnsi="Calibri" w:cs="Calibri" w:eastAsia="Calibri"/>
          <w:i/>
          <w:color w:val="auto"/>
          <w:spacing w:val="0"/>
          <w:position w:val="0"/>
          <w:sz w:val="24"/>
          <w:shd w:fill="FFFFFF" w:val="clear"/>
        </w:rPr>
        <w:t xml:space="preserve">scid IL2r&amp;#947;</w:t>
      </w:r>
      <w:r>
        <w:rPr>
          <w:rFonts w:ascii="Calibri" w:hAnsi="Calibri" w:cs="Calibri" w:eastAsia="Calibri"/>
          <w:i/>
          <w:color w:val="auto"/>
          <w:spacing w:val="0"/>
          <w:position w:val="0"/>
          <w:sz w:val="24"/>
          <w:shd w:fill="FFFFFF" w:val="clear"/>
          <w:vertAlign w:val="superscript"/>
        </w:rPr>
        <w:t xml:space="preserve">null</w:t>
      </w:r>
      <w:r>
        <w:rPr>
          <w:rFonts w:ascii="Calibri" w:hAnsi="Calibri" w:cs="Calibri" w:eastAsia="Calibri"/>
          <w:color w:val="auto"/>
          <w:spacing w:val="0"/>
          <w:position w:val="0"/>
          <w:sz w:val="24"/>
          <w:shd w:fill="FFFFFF" w:val="clear"/>
        </w:rPr>
        <w:t xml:space="preserve">; luc = luciferase;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F]TFB-PET/CT =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F]tetrafluoroborate positron emission tomography/computed tomography.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trafficking assay in a systemic OPM2 xenograft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BCMA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luciferase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OPM2 cells are intravenously injected into NSG mice. Mice receive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 CAR T cells three weeks after the inoculation of OPM-2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BLI confirms the engraftment of OPM-2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reveals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 trafficking to the bone marrow.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confirm that OPM-2 cells engraft in the bone marrow and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traffic to the tumor site, mice are euthanized after the imaging, and the bone marrow is harvested. Flow cytometric analysis revealed that OPM-2 cells are engrafted in the bone marrow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are present in the bone marrow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Abbreviations: BCMA = B cell maturation antigen; CAR = chimeric antigen receptor; NIS = sodium iodide symporter; BLI = bioluminescent imaging; NSG = immunocompromised </w:t>
      </w:r>
      <w:r>
        <w:rPr>
          <w:rFonts w:ascii="Calibri" w:hAnsi="Calibri" w:cs="Calibri" w:eastAsia="Calibri"/>
          <w:color w:val="auto"/>
          <w:spacing w:val="0"/>
          <w:position w:val="0"/>
          <w:sz w:val="24"/>
          <w:shd w:fill="FFFFFF" w:val="clear"/>
        </w:rPr>
        <w:t xml:space="preserve">NOD-</w:t>
      </w:r>
      <w:r>
        <w:rPr>
          <w:rFonts w:ascii="Calibri" w:hAnsi="Calibri" w:cs="Calibri" w:eastAsia="Calibri"/>
          <w:i/>
          <w:color w:val="auto"/>
          <w:spacing w:val="0"/>
          <w:position w:val="0"/>
          <w:sz w:val="24"/>
          <w:shd w:fill="FFFFFF" w:val="clear"/>
        </w:rPr>
        <w:t xml:space="preserve">scid IL2r&amp;#947;</w:t>
      </w:r>
      <w:r>
        <w:rPr>
          <w:rFonts w:ascii="Calibri" w:hAnsi="Calibri" w:cs="Calibri" w:eastAsia="Calibri"/>
          <w:i/>
          <w:color w:val="auto"/>
          <w:spacing w:val="0"/>
          <w:position w:val="0"/>
          <w:sz w:val="24"/>
          <w:shd w:fill="FFFFFF" w:val="clear"/>
          <w:vertAlign w:val="superscript"/>
        </w:rPr>
        <w:t xml:space="preserve">null</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F]TFB-PET/CT =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F]tetrafluoroborate positron emission tomography/computed tomography; IVIS =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CD = cluster of differentiation; SUV = standardized uptake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w:t>
      </w:r>
      <w:r>
        <w:rPr>
          <w:rFonts w:ascii="Calibri" w:hAnsi="Calibri" w:cs="Calibri" w:eastAsia="Calibri"/>
          <w:color w:val="auto"/>
          <w:spacing w:val="0"/>
          <w:position w:val="0"/>
          <w:sz w:val="24"/>
          <w:shd w:fill="auto" w:val="clear"/>
        </w:rPr>
        <w:t xml:space="preserve"> Three-Dimensional (3D) rendering of PET/CT data showing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distribution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in the thyroid, stomach, and bone marrow. Abbreviations: BCMA = B cell maturation antigen; CAR = chimeric antigen receptor; NIS = sodium iodide symporter; PET/CT = positron emission tomography/computed tomography.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methodology for incorporating NIS into CAR T cells and imaging infused CAR T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As proof of concept, NIS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BCMA-CAR T cells were generated via dual transduction. We have recently reported that incorporating NIS into CAR T cells does not impair CAR T cell functions and efficacy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allows CAR T cell trafficking and expansion</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As CAR T cell therapies continue to expand beyond the current B-cell malignancies to applications in CLL, there will be a greater need for tools that allow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and monitoring of infused adoptive T cells. Dynamic imaging of T cells will enable the validation of adoptive T cell trafficking and potentially allow earlier detection of efficacy and 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NIS has been investigated and validated as a sensitive modality to image cells and viruses in clinical trials</w:t>
      </w:r>
      <w:r>
        <w:rPr>
          <w:rFonts w:ascii="Calibri" w:hAnsi="Calibri" w:cs="Calibri" w:eastAsia="Calibri"/>
          <w:color w:val="auto"/>
          <w:spacing w:val="0"/>
          <w:position w:val="0"/>
          <w:sz w:val="24"/>
          <w:shd w:fill="auto" w:val="clear"/>
          <w:vertAlign w:val="superscript"/>
        </w:rPr>
        <w:t xml:space="preserve">41,55</w:t>
      </w:r>
      <w:r>
        <w:rPr>
          <w:rFonts w:ascii="Calibri" w:hAnsi="Calibri" w:cs="Calibri" w:eastAsia="Calibri"/>
          <w:color w:val="auto"/>
          <w:spacing w:val="0"/>
          <w:position w:val="0"/>
          <w:sz w:val="24"/>
          <w:shd w:fill="auto" w:val="clear"/>
        </w:rPr>
        <w:t xml:space="preserve">. Physiological accumulation of tracers for NIS is mainly seen in the thyroid/salivary glands, stomach, and bladder, which are not common organs affected by liquid tumors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Especially in MM, malignant plasma cells are often distributed in the bone marrow or bones, and an extramedullary plasmacytoma in lesions, where the physiological accumulation of tracers for NIS occurs, is a rare phenomenon</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Furthermore, NIS is non-immunogenic and therefore suitable for longitudinal imaging studies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NIS is an intrinsic membrane protein that transports iodide into the cytosol and contains 13 putative transmembrane segments with an extracellular amino terminus site and cytosolic carboxy terminus</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NIS can be visualized with gamma- or positron-emitting radioisotopes such as technetium-99m (</w:t>
      </w:r>
      <w:r>
        <w:rPr>
          <w:rFonts w:ascii="Calibri" w:hAnsi="Calibri" w:cs="Calibri" w:eastAsia="Calibri"/>
          <w:color w:val="auto"/>
          <w:spacing w:val="0"/>
          <w:position w:val="0"/>
          <w:sz w:val="24"/>
          <w:shd w:fill="auto" w:val="clear"/>
          <w:vertAlign w:val="superscript"/>
        </w:rPr>
        <w:t xml:space="preserve">99m</w:t>
      </w:r>
      <w:r>
        <w:rPr>
          <w:rFonts w:ascii="Calibri" w:hAnsi="Calibri" w:cs="Calibri" w:eastAsia="Calibri"/>
          <w:color w:val="auto"/>
          <w:spacing w:val="0"/>
          <w:position w:val="0"/>
          <w:sz w:val="24"/>
          <w:shd w:fill="auto" w:val="clear"/>
        </w:rPr>
        <w:t xml:space="preserve">Tc) pertechnetate, iodide-123 (</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I), </w:t>
      </w:r>
      <w:r>
        <w:rPr>
          <w:rFonts w:ascii="Calibri" w:hAnsi="Calibri" w:cs="Calibri" w:eastAsia="Calibri"/>
          <w:color w:val="auto"/>
          <w:spacing w:val="0"/>
          <w:position w:val="0"/>
          <w:sz w:val="24"/>
          <w:shd w:fill="auto" w:val="clear"/>
          <w:vertAlign w:val="superscript"/>
        </w:rPr>
        <w:t xml:space="preserve">131</w:t>
      </w:r>
      <w:r>
        <w:rPr>
          <w:rFonts w:ascii="Calibri" w:hAnsi="Calibri" w:cs="Calibri" w:eastAsia="Calibri"/>
          <w:color w:val="auto"/>
          <w:spacing w:val="0"/>
          <w:position w:val="0"/>
          <w:sz w:val="24"/>
          <w:shd w:fill="auto" w:val="clear"/>
        </w:rPr>
        <w:t xml:space="preserve">I, </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I,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Recently,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has emerged as </w:t>
      </w:r>
      <w:r>
        <w:rPr>
          <w:rFonts w:ascii="Calibri" w:hAnsi="Calibri" w:cs="Calibri" w:eastAsia="Calibri"/>
          <w:color w:val="auto"/>
          <w:spacing w:val="0"/>
          <w:position w:val="0"/>
          <w:sz w:val="24"/>
          <w:shd w:fill="FFFFFF" w:val="clear"/>
        </w:rPr>
        <w:t xml:space="preserve">a promising iodide analog for NIS-based PET imaging, as it has similar biochemical properties and is radiosynthesized</w:t>
      </w:r>
      <w:r>
        <w:rPr>
          <w:rFonts w:ascii="Calibri" w:hAnsi="Calibri" w:cs="Calibri" w:eastAsia="Calibri"/>
          <w:color w:val="auto"/>
          <w:spacing w:val="0"/>
          <w:position w:val="0"/>
          <w:sz w:val="24"/>
          <w:shd w:fill="FFFFFF" w:val="clear"/>
          <w:vertAlign w:val="superscript"/>
        </w:rPr>
        <w:t xml:space="preserve">61</w:t>
      </w:r>
      <w:r>
        <w:rPr>
          <w:rFonts w:ascii="Calibri" w:hAnsi="Calibri" w:cs="Calibri" w:eastAsia="Calibri"/>
          <w:color w:val="auto"/>
          <w:spacing w:val="0"/>
          <w:position w:val="0"/>
          <w:sz w:val="24"/>
          <w:shd w:fill="FFFFFF" w:val="clear"/>
        </w:rPr>
        <w:t xml:space="preserve">. One advantage of TFB is that it does not undergo organification in thyroid cells and therefore has a comparatively mild uptake in normal thyroid tissue</w:t>
      </w:r>
      <w:r>
        <w:rPr>
          <w:rFonts w:ascii="Calibri" w:hAnsi="Calibri" w:cs="Calibri" w:eastAsia="Calibri"/>
          <w:color w:val="auto"/>
          <w:spacing w:val="0"/>
          <w:position w:val="0"/>
          <w:sz w:val="24"/>
          <w:shd w:fill="FFFFFF" w:val="clear"/>
          <w:vertAlign w:val="superscript"/>
        </w:rPr>
        <w:t xml:space="preserve">61</w:t>
      </w:r>
      <w:r>
        <w:rPr>
          <w:rFonts w:ascii="Calibri" w:hAnsi="Calibri" w:cs="Calibri" w:eastAsia="Calibri"/>
          <w:color w:val="auto"/>
          <w:spacing w:val="0"/>
          <w:position w:val="0"/>
          <w:sz w:val="24"/>
          <w:shd w:fill="FFFFFF" w:val="clear"/>
        </w:rPr>
        <w:t xml:space="preserve">. Another advantage of TFB is its short half-life of 109.8 min, while the half-lives of other tracers range from 12 h to 8 days, which could present safety issues for clinical applications</w:t>
      </w:r>
      <w:r>
        <w:rPr>
          <w:rFonts w:ascii="Calibri" w:hAnsi="Calibri" w:cs="Calibri" w:eastAsia="Calibri"/>
          <w:color w:val="auto"/>
          <w:spacing w:val="0"/>
          <w:position w:val="0"/>
          <w:sz w:val="24"/>
          <w:shd w:fill="FFFFFF" w:val="clear"/>
          <w:vertAlign w:val="superscript"/>
        </w:rPr>
        <w:t xml:space="preserve">62</w:t>
      </w:r>
      <w:r>
        <w:rPr>
          <w:rFonts w:ascii="Calibri" w:hAnsi="Calibri" w:cs="Calibri" w:eastAsia="Calibri"/>
          <w:color w:val="auto"/>
          <w:spacing w:val="0"/>
          <w:position w:val="0"/>
          <w:sz w:val="24"/>
          <w:shd w:fill="FFFFFF" w:val="clear"/>
        </w:rPr>
        <w:t xml:space="preserve">. The main limitation of NIS-based CAR T cell imaging is that tracers, including TFB, do not penetrate the blood-brain barrier (BBB), making it difficult to assess neurotoxicity after CAR T cell treatment</w:t>
      </w:r>
      <w:r>
        <w:rPr>
          <w:rFonts w:ascii="Calibri" w:hAnsi="Calibri" w:cs="Calibri" w:eastAsia="Calibri"/>
          <w:color w:val="auto"/>
          <w:spacing w:val="0"/>
          <w:position w:val="0"/>
          <w:sz w:val="24"/>
          <w:shd w:fill="FFFFFF" w:val="clear"/>
          <w:vertAlign w:val="superscript"/>
        </w:rPr>
        <w:t xml:space="preserve">63-65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Neurotoxicity is associated with the infiltration of T cells and the activation of myeloid cells in the central nervous system. However, in most cases of neurotoxicity after CAR T cell therapy, the integrity of the BBB is disrupted</w:t>
      </w:r>
      <w:r>
        <w:rPr>
          <w:rFonts w:ascii="Calibri" w:hAnsi="Calibri" w:cs="Calibri" w:eastAsia="Calibri"/>
          <w:color w:val="auto"/>
          <w:spacing w:val="0"/>
          <w:position w:val="0"/>
          <w:sz w:val="24"/>
          <w:shd w:fill="FFFFFF" w:val="clear"/>
          <w:vertAlign w:val="superscript"/>
        </w:rPr>
        <w:t xml:space="preserve">63,66</w:t>
      </w:r>
      <w:r>
        <w:rPr>
          <w:rFonts w:ascii="Calibri" w:hAnsi="Calibri" w:cs="Calibri" w:eastAsia="Calibri"/>
          <w:color w:val="auto"/>
          <w:spacing w:val="0"/>
          <w:position w:val="0"/>
          <w:sz w:val="24"/>
          <w:shd w:fill="FFFFFF" w:val="clear"/>
        </w:rPr>
        <w:t xml:space="preserve">. Therefore, it is unclear whether the tracer is unable to cross the BBB in this compromised setting. Further studies need to be carried out to validate whether neurotoxicity after CAR T cell therapy can be imaged with [</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F]TFB-PET. Although the short half-life of </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F-TFB is safe for patients and staff, it makes its procurement difficult for the hospital. Therefore, institutes must be equipped with cyclotrons or have access to a regional facility.</w:t>
      </w:r>
      <w:r>
        <w:rPr>
          <w:rFonts w:ascii="Calibri" w:hAnsi="Calibri" w:cs="Calibri" w:eastAsia="Calibri"/>
          <w:color w:val="auto"/>
          <w:spacing w:val="0"/>
          <w:position w:val="0"/>
          <w:sz w:val="24"/>
          <w:shd w:fill="auto" w:val="clear"/>
        </w:rPr>
        <w:t xml:space="preserve"> The methodology described in the protocol here can potentially be applied to a variety of other CAR T cells via dual transduction to visualize and assess CAR T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F]TFB-PET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SSK is an inventor on patents in CAR immunotherapy licensed to Novartis (through an agreement between Mayo Clinic, University of Pennsylvania, and Novartis) and Mettaforge (through Mayo Clinic). RS and SSK are inventors on patents in the field of CAR immunotherapy that are licensed to Humanigen. SSK receives research funding from Kite, Gilead, Juno, Celgene, Novartis, Humanigen, MorphoSys, Tolero, Sunesis, Leahlabs, and Lentigen.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partly supported through the Mayo Clinic K2R pipeline (SSK), the Mayo Clinic Center for Individualized Medicine (SSK), and the Predolin Foundation (RS).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Maude,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cells for sustained remissions in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(16), 1507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Kochenderfer,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Chemotherapy-refractory diffuse large B-cell lymphoma and indolent B-cell malignancies can be effectively treated with autologous T cells expressing an anti-CD19 chimeric antigen receptor.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Turtle, C. J. et al. Immunotherapy of non-Hodgkin's lymphoma with a defined ratio of CD8+ and CD4+ CD19-specific chimeric antigen receptor-modified T cells.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(355), 355ra116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Kochenderfer, J. N. et al. Lymphoma remissions caused by anti-CD19 chimeric antigen receptor T cells are associated with high serum interleukin-15 levels.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(16), 1803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Kochenderfer,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Long-duration complete remissions of diffuse large B cell lymphoma after anti-CD19 chimeric antigen receptor T cell therapy.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2245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 cells expressing CD19 chimeric antigen receptors for acute lymphoblastic leukaemia in children and young adults: a phase 1 dose-escalation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(9967),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Turtle,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CD19 CAR-T cells of defined CD4+:CD8+ composition in adult B cell ALL patients.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 2123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Brentjens,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CD19-targeted T cells rapidly induce molecular remissions in adults with chemotherapy-refractory acute lymphoblastic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(177), 177ra138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Porter,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cells persist and induce sustained remissions in relapsed refractory chronic lymphocytic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(303), 303ra139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Turtle, C. J. et al. Durable molecular remissions in chronic lymphocytic leukemia treated with CD19-specific chimeric antigen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modified T cells after failure of ibrutinib.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(26), 3010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Porter, D. L., Levine, B. L., Kalos, M., Bagg, A., June, C. H. Chimeric antigen receptor-modified T cells in chronic lymphoid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(8),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Fraietta, J. A. et al. Determinants of response and resistance to CD19 chimeric antigen receptor (CAR) T cell therapy of chronic lymphocytic leukemia.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Raje,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Anti-BCMA CAR T-cell therapy bb2121 in relapsed or refractory multiple myeloma.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(18), 1726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Brudno,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 Cells genetically modified to express an anti-B-cell maturation antigen chimeric antigen receptor cause remissions of poor-prognosis relapsed multiple myeloma.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(22), 2267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Cohen,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 cell maturation antigen-specific CAR T cells are clinically active in multiple myeloma.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2210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Schuster,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Tisagenlecleucel in adult relapsed or refractory diffuse large B-cell lymphoma.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KTE-X19 CAR T-cell therapy in relapsed or refractory mantle-cell lymphoma.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(14),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Jacobson, C. et al. Primary analysis of Zuma-5: a phase 2 study of axicabtagene ciloleucel (Axi-Cel) in patients with relapsed/refractory (R/R) indolent non-Hodgkin lymphoma (iNHL).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(Supplement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Munshi,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Idecabtagene vicleucel (ide-cel; bb2121), a BCMA-targeted CAR T-cell therapy, in patients with relapsed and refractory multiple myeloma (RRMM): initial KarMMa results.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(15 Suppl), 8503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Sakemura, R., Cox, M. J., Hefazi, M., Siegler, E. L., Kenderian, S. S. Resistance to CART cell therapy: lessons learned from the treatment of hematological malignancies. </w:t>
      </w:r>
      <w:r>
        <w:rPr>
          <w:rFonts w:ascii="Calibri" w:hAnsi="Calibri" w:cs="Calibri" w:eastAsia="Calibri"/>
          <w:i/>
          <w:color w:val="auto"/>
          <w:spacing w:val="0"/>
          <w:position w:val="0"/>
          <w:sz w:val="24"/>
          <w:shd w:fill="auto" w:val="clear"/>
        </w:rPr>
        <w:t xml:space="preserve">Leukemia &amp;amp; Lymphoma.</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doi:10.1080/10428194.2021.1894648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Sterner,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GM-CSF inhibition reduces cytokine release syndrome and neuroinflammation but enhances CAR-T cell function in xenografts.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(7),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Grupp, S. A. et al. Chimeric antigen receptor-modified T cells for acute lymphoid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(16), 1509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Neelapu,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Axicabtagene ciloleucel CAR T-cell therapy in refractory large B-cell lymphoma.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(26), 2531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Maude,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Tisagenlecleucel in children and young adults with B-cell lymphoblastic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(5),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Teachey, D. T. et al. Identification of predictive biomarkers for cytokine release syndrome after chimeric antigen receptor T-cell therapy for acute lymphoblastic leukemia.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Hay,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Kinetics and biomarkers of severe cytokine release syndrome after CD19 chimeric antigen receptor-modified T-cell therapy.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(21), 2295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Lee,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ASTCT consensus grading for cytokine release syndrome and neurologic toxicity associated with immune effector cells. </w:t>
      </w:r>
      <w:r>
        <w:rPr>
          <w:rFonts w:ascii="Calibri" w:hAnsi="Calibri" w:cs="Calibri" w:eastAsia="Calibri"/>
          <w:i/>
          <w:color w:val="auto"/>
          <w:spacing w:val="0"/>
          <w:position w:val="0"/>
          <w:sz w:val="24"/>
          <w:shd w:fill="auto" w:val="clear"/>
        </w:rPr>
        <w:t xml:space="preserve">Biology of Blood and Marrow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Davila, M. L. et al. Efficacy and toxicity management of 19-28z CAR T cell therapy in B cell acute lymphoblastic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(224), 224ra225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224ra225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Maude, S. L., Barrett, D., Teachey, D. T., Grupp, S. A. Managing cytokine release syndrome associated with novel T cell-engaging therapies. </w:t>
      </w:r>
      <w:r>
        <w:rPr>
          <w:rFonts w:ascii="Calibri" w:hAnsi="Calibri" w:cs="Calibri" w:eastAsia="Calibri"/>
          <w:i/>
          <w:color w:val="auto"/>
          <w:spacing w:val="0"/>
          <w:position w:val="0"/>
          <w:sz w:val="24"/>
          <w:shd w:fill="auto" w:val="clear"/>
        </w:rPr>
        <w:t xml:space="preserve">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Krekorian,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of T-cells and their responses during anti-cancer immunotherapy.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(25), 7924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 W., Jiang, D., Ehlerding, E. B., Luo, Q., Cai, W. Noninvasive PET imaging of T cells.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Volpe,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Spatiotemporal PET imaging reveals differences in CAR-T tumor retention in triple-negative breast cancer models.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Minn,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CAR T cell therapy with PSMA-targeted positron emission tomography.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eaaw5096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Keu, K. V. et al. Reporter gene imaging of targeted T cell immunotherapy in recurrent glioma.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(373), eaag2196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Moroz,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of T cell imaging with human nuclear reporter genes.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Sellmyer,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CAR T cell trafficking with eDHFR as a PET reporter gene.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Weist,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PET of adoptively transferred chimeric antigen receptor T cells with (89)Zr-oxine.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Vedvyas, Y. et al. Longitudinal PET imaging demonstrates biphasic CAR T cell responses in survivors.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(19), e90064,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Sakemura, R., Can, I., Siegler, E. L., Kenderian, S. S. In vivo CART cell imaging: Paving the way for success in CART cell therapy.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Penheiter, A. R., Russell, S. J., Carlson, S. K. The sodium iodide symporter (NIS) as an imaging reporter for gene, viral, and cell-based therapies. </w:t>
      </w:r>
      <w:r>
        <w:rPr>
          <w:rFonts w:ascii="Calibri" w:hAnsi="Calibri" w:cs="Calibri" w:eastAsia="Calibri"/>
          <w:i/>
          <w:color w:val="auto"/>
          <w:spacing w:val="0"/>
          <w:position w:val="0"/>
          <w:sz w:val="24"/>
          <w:shd w:fill="auto" w:val="clear"/>
        </w:rPr>
        <w:t xml:space="preserve">Current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Msaouel, P. et al. Clinical trials with oncolytic measles virus: current status and future prospects. </w:t>
      </w:r>
      <w:r>
        <w:rPr>
          <w:rFonts w:ascii="Calibri" w:hAnsi="Calibri" w:cs="Calibri" w:eastAsia="Calibri"/>
          <w:i/>
          <w:color w:val="auto"/>
          <w:spacing w:val="0"/>
          <w:position w:val="0"/>
          <w:sz w:val="24"/>
          <w:shd w:fill="auto" w:val="clear"/>
        </w:rPr>
        <w:t xml:space="preserve">Current Cancer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Kalled, S., L. Hsu, Yen-Ming. Anti-BCMA antibodies. WO/2010/10949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Carpenter, R.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B-cell maturation antigen is a promising target for adoptive T-cell therapy of multiple myeloma.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2048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Safe engineering of CAR T cells for adoptive cell therapy of cancer using long-term episomal gene transfer.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Sterner, R. M., Cox, M. J., Sakemura, R., Kenderian, S. S. Using CRISPR/Cas9 to knock out GM-CSF in CAR-T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(149), 59629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Yang,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Pirh2 mediates the sensitivity of myeloma cells to bortezomib via canonical NF-</w:t>
      </w:r>
      <w:r>
        <w:rPr>
          <w:rFonts w:ascii="Calibri" w:hAnsi="Calibri" w:cs="Calibri" w:eastAsia="Calibri"/>
          <w:color w:val="auto"/>
          <w:spacing w:val="0"/>
          <w:position w:val="0"/>
          <w:sz w:val="24"/>
          <w:shd w:fill="auto" w:val="clear"/>
        </w:rPr>
        <w:t xml:space="preserve">κB signaling pathway. </w:t>
      </w:r>
      <w:r>
        <w:rPr>
          <w:rFonts w:ascii="Calibri" w:hAnsi="Calibri" w:cs="Calibri" w:eastAsia="Calibri"/>
          <w:i/>
          <w:color w:val="auto"/>
          <w:spacing w:val="0"/>
          <w:position w:val="0"/>
          <w:sz w:val="24"/>
          <w:shd w:fill="auto" w:val="clear"/>
        </w:rPr>
        <w:t xml:space="preserve">Protein &amp;amp;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Dietz,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source of viable peripheral blood mononuclear cells from leukoreduction system chambers. </w:t>
      </w:r>
      <w:r>
        <w:rPr>
          <w:rFonts w:ascii="Calibri" w:hAnsi="Calibri" w:cs="Calibri" w:eastAsia="Calibri"/>
          <w:i/>
          <w:color w:val="auto"/>
          <w:spacing w:val="0"/>
          <w:position w:val="0"/>
          <w:sz w:val="24"/>
          <w:shd w:fill="auto" w:val="clear"/>
        </w:rPr>
        <w:t xml:space="preserve">Transfusion.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2083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Absher, M. in </w:t>
      </w:r>
      <w:r>
        <w:rPr>
          <w:rFonts w:ascii="Calibri" w:hAnsi="Calibri" w:cs="Calibri" w:eastAsia="Calibri"/>
          <w:i/>
          <w:color w:val="auto"/>
          <w:spacing w:val="0"/>
          <w:position w:val="0"/>
          <w:sz w:val="24"/>
          <w:shd w:fill="auto" w:val="clear"/>
        </w:rPr>
        <w:t xml:space="preserve">Tissue Culture</w:t>
      </w:r>
      <w:r>
        <w:rPr>
          <w:rFonts w:ascii="Calibri" w:hAnsi="Calibri" w:cs="Calibri" w:eastAsia="Calibri"/>
          <w:color w:val="auto"/>
          <w:spacing w:val="0"/>
          <w:position w:val="0"/>
          <w:sz w:val="24"/>
          <w:shd w:fill="auto" w:val="clear"/>
        </w:rPr>
        <w:t xml:space="preserve">: Methods and Applications. Kruse, P. F., Patterson, M. K. (Eds), Academic Press Inc.,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Janakiraman, V., Forrest, W. F., Chow, B., Seshagiri, S. A rapid method for estimation of baculovirus titer based on viable cell size.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Works,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B-cell maturation antigen chimeric antigen receptor T cell function against multiple myeloma is enhanced in the presence of lenalidomide.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Smith,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GPRC5D is a target for the immunotherapy of multiple myeloma with rationally designed CAR T cells.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(485), eaau7746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Oden,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Potent anti-tumor response by targeting B cell maturation antigen (BCMA) in a mouse model of multiple myeloma.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1348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Jiang,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Synthesis of 18F-tetrafluoroborate via radiofluorination of boron trifluoride and evaluation in a murine C6-glioma tumor model.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(9), 1454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Sakemura,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sensitive and efficient reporter platform for the detection of chimeric antigen receptor T cell expansion, trafficking, and toxicity.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(Suppl 1), 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Dispenzieri,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I trial of systemic administration of Edmonston strain of measles virus genetically engineered to express the sodium iodide symporter in patients with recurrent or refractory multiple myeloma.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2791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Ravera, S., Reyna-Neyra, A., Ferrandino, G., Amzel, L. M., Carrasco, N. The sodium/iodide symporter (NIS): molecular physiology and preclinical and clinical applications.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Varettoni,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Incidence, presenting features and outcome of extramedullary disease in multiple myeloma: a longitudinal study on 1003 consecutive patients. </w:t>
      </w:r>
      <w:r>
        <w:rPr>
          <w:rFonts w:ascii="Calibri" w:hAnsi="Calibri" w:cs="Calibri" w:eastAsia="Calibri"/>
          <w:i/>
          <w:color w:val="auto"/>
          <w:spacing w:val="0"/>
          <w:position w:val="0"/>
          <w:sz w:val="24"/>
          <w:shd w:fill="auto" w:val="clear"/>
        </w:rPr>
        <w:t xml:space="preserve">Annals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Blad&amp;#233;,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Soft-tissue plasmacytomas in multiple myeloma: incidence, mechanisms of extramedullary spread, and treatment approach.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(28), 3805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Brunton,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transgenic NIS reporter rats for longitudinal tracking of fibrogenesis by high-resolution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14209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Doh&amp;#225;n,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sodium/iodide symporter (NIS): characterization, regulation, and medical significance.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Jiang, H., DeGrado, T. 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F]Tetrafluoroborate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F]TFB) and its analogs for PET imaging of the sodium/iodide symporter.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 3918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Ahn, B.-C. Sodium iodide symporter for nuclear molecular imaging and gene therapy: from bedside to bench and back.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Gust, J. et al. Endothelial activation and blood-brain barrier disruption in neurotoxicity after adoptive immunotherapy with CD19 CAR-T cells.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1404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Gofshteyn,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Neurotoxicity after CTL019 in a pediatric and young adult cohort.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Shalabi,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evaluation of neurotoxicity in children and young adults undergoing CD22 chimeric antigen receptor T-cell therapy. </w:t>
      </w:r>
      <w:r>
        <w:rPr>
          <w:rFonts w:ascii="Calibri" w:hAnsi="Calibri" w:cs="Calibri" w:eastAsia="Calibri"/>
          <w:i/>
          <w:color w:val="auto"/>
          <w:spacing w:val="0"/>
          <w:position w:val="0"/>
          <w:sz w:val="24"/>
          <w:shd w:fill="auto" w:val="clear"/>
        </w:rPr>
        <w:t xml:space="preserve">Journal of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Santomasso,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and biological correlates of neurotoxicity associated with CAR T-cell therapy in patients with B-cell acute lymphoblastic leukemia.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971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