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Protein-Ligand Interactions in Human Cells by Real-Time Quantitative In-Cell NMR Using a High Cell Density Bioreactor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Letizia Barbieri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Enrico Luchinat</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Magnetic Resonance Center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CERM, University of Florence, Via Luigi Sacconi 6, 50019 Sesto Fiorentino, Florence, Italy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Consorzio Interuniversitario Risonanze Magnetiche di Metalloproteine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CIRMMP, Via Luigi Sacconi 6, 50019 Sesto Fiorentino, Florence, Italy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Consorzio per lo Sviluppo dei Sistemi a Grande Interfase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CSGI, Via della Lastruccia 3, 50019 Sesto Fiorentino, Florence, Italy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Letizia Barbieri</w:t>
        <w:tab/>
        <w:t xml:space="preserve">(barbieri@cerm.unifi.it)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Enrico Luchinat</w:t>
        <w:tab/>
        <w:t xml:space="preserve">(eluchinat@cerm.unifi.it)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Enrico Luchinat</w:t>
        <w:tab/>
        <w:t xml:space="preserve">(eluchinat@cerm.unifi.it)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in-cell NMR, real time, bioreactor, multivariate curve resolution, ligand binding, carbonic anhydrase II, acetazolamide, methazolamide, protein oxidation, superoxide dismutase 1, ebselen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setup of an NMR bioreactor to keep encapsulated human cells viable for up to 72 h, followed by time-resolved in-cell NMR data acquisition and analysis. The methodology is applied to monitor intracellular protein-ligand interactions in real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In-cell NMR is a unique approach to observe the structural and dynamic properties of biological macromolecules at atomic resolution directly in living cells. Protein folding, chemical modifications, and conformational changes induced by ligand binding can be observed. Therefore, this method has great potential in the context of drug development. However, the short lifetime of human cells confined in the NMR spectrometer limits the application range of in-cell NMR. To overcome this issue, NMR bioreactors are employed that can greatly improve the cell sample stability over time and, importantly, enable the real-time recording of in-cell NMR spectra. In this way, the evolution of processes such as ligand penetration and binding to the intracellular protein target can be monitored in real time. Bioreactors are often limited by low cell viability at high cell numbers, which results in a trade-off between the overall sensitivity of the experiment and cell viability. We recently reported an NMR bioreactor that maintains a high number of human cells metabolically active for extended periods of time, up to 72 h. This setup was applied to monitor protein-ligand interactions and protein chemical modification. We also introduced a workflow for quantitative analysis of the real-time NMR data, based on multivariate curve resolution. The method provides concentration profiles of the chemical species present in the cells as a function of time, which can be further analyzed to obtain relevant kinetic parameters. Here we provide a detailed description of the NMR bioreactor setup and its application to monitoring protein-ligand interactions in human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In-cell Nuclear Magnetic Resonance (NMR) spectroscopy has recently emerged as a powerful approach to investigate structural and dynamical properties of macromolecules within the cellular environment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In-cell NMR succeeded in the investigation of functionally relevant processes such as protein folding/misfolding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metal binding</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disulfide bond formation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and protein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protein-ligand interaction</w:t>
      </w:r>
      <w:r>
        <w:rPr>
          <w:rFonts w:ascii="Calibri" w:hAnsi="Calibri" w:cs="Calibri" w:eastAsia="Calibri"/>
          <w:color w:val="auto"/>
          <w:spacing w:val="0"/>
          <w:position w:val="0"/>
          <w:sz w:val="24"/>
          <w:shd w:fill="auto" w:val="clear"/>
          <w:vertAlign w:val="superscript"/>
        </w:rPr>
        <w:t xml:space="preserve">14</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nucleic acid-ligand interaction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living human cells. One of the limiting factors of in-cell NMR applications is the short lifetime of the cells during the experiment. The solution to this problem involves the use of NMR bioreactors. In these devices, a constant flow of growth medium is applied to the cells, which are kept confined within the NMR spectrometer, in order to provide oxygen and nutrients and to remove toxic byproducts. Following the advent of in-cell NMR, several NMR bioreactors designs have been developed to improve cell viability for longer periods of time, in which either bacteria or mammalian cells are encapsulated in a hydrogel</w:t>
      </w:r>
      <w:r>
        <w:rPr>
          <w:rFonts w:ascii="Calibri" w:hAnsi="Calibri" w:cs="Calibri" w:eastAsia="Calibri"/>
          <w:color w:val="auto"/>
          <w:spacing w:val="0"/>
          <w:position w:val="0"/>
          <w:sz w:val="24"/>
          <w:shd w:fill="auto" w:val="clear"/>
          <w:vertAlign w:val="superscript"/>
        </w:rPr>
        <w:t xml:space="preserve">19</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kept in suspension and perfused through the use of a microdialysis membrane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Such bioreactors have allowed the acquisition of longer NMR experiments with increased signal-to-noise ratio (S/N)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even more importantly, could be employed to investigate cellular processes in real time</w:t>
      </w:r>
      <w:r>
        <w:rPr>
          <w:rFonts w:ascii="Calibri" w:hAnsi="Calibri" w:cs="Calibri" w:eastAsia="Calibri"/>
          <w:color w:val="auto"/>
          <w:spacing w:val="0"/>
          <w:position w:val="0"/>
          <w:sz w:val="24"/>
          <w:shd w:fill="auto" w:val="clear"/>
          <w:vertAlign w:val="superscript"/>
        </w:rPr>
        <w:t xml:space="preserve">22</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Thanks to the high chemical and conformational sensitivity of NMR, the latter application can provide precious insights on the kinetics of functional processes within living cells at atomic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show how to set up and operate an improved bioreactor recently reported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which was obtained by combining an existing modular bioreactor design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with the approach relying on cell encapsulation in hydrogel that were pioneered by other groups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22,26,27</w:t>
      </w:r>
      <w:r>
        <w:rPr>
          <w:rFonts w:ascii="Calibri" w:hAnsi="Calibri" w:cs="Calibri" w:eastAsia="Calibri"/>
          <w:color w:val="auto"/>
          <w:spacing w:val="0"/>
          <w:position w:val="0"/>
          <w:sz w:val="24"/>
          <w:shd w:fill="auto" w:val="clear"/>
        </w:rPr>
        <w:t xml:space="preserve">. We describe the application of the bioreactor to real-time in-cell NMR studies of intracellular protein-observe ligand binding in HEK293T cells. In the bioreactor, cells are encapsulated at high density in agarose gel threads and are maintained highly viable and metabolically active for up to 72 h, during which real-time in-cell NMR experiments are recorded. The bioreactor is composed of a glass tube that fits standard 5 mm NMR probes that is watertight and connected to a tube holder so that the internal sample chamber has 4.2 mm internal diameter, 38 mm height, and a volume of 526 &amp;#181;L. The inlet is a 7-meter-long PEEK capillary (o.d. = 1/32”, i.d. = 0.5 mm) inserted in the sample chamber down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mm from the bottom, while the outlet is a 7-meter-long PTFE capillary (o.d. = 1/32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i.d. = 0.5 mm) attached at the top of the tube holder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tubing is coaxially inserted in a temperature-controlled line connected to a water bath. The inlet and outlet are connected through PEEK tubing to a 4-way, 2-position valve attached to an FPLC pump for controlling the medium flow and a waste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bioreactor is applied to study the kinetics of the interaction, previously reported</w:t>
      </w:r>
      <w:r>
        <w:rPr>
          <w:rFonts w:ascii="Calibri" w:hAnsi="Calibri" w:cs="Calibri" w:eastAsia="Calibri"/>
          <w:color w:val="auto"/>
          <w:spacing w:val="0"/>
          <w:position w:val="0"/>
          <w:sz w:val="24"/>
          <w:shd w:fill="auto" w:val="clear"/>
          <w:vertAlign w:val="superscript"/>
        </w:rPr>
        <w:t xml:space="preserve">14,25</w:t>
      </w:r>
      <w:r>
        <w:rPr>
          <w:rFonts w:ascii="Calibri" w:hAnsi="Calibri" w:cs="Calibri" w:eastAsia="Calibri"/>
          <w:color w:val="auto"/>
          <w:spacing w:val="0"/>
          <w:position w:val="0"/>
          <w:sz w:val="24"/>
          <w:shd w:fill="auto" w:val="clear"/>
        </w:rPr>
        <w:t xml:space="preserve">, between two drugs, acetazolamide (AAZ) and methazolamide (MZA), in human cells with the second isoform of human carbonic anhydrase (CA II), a pharmacologically relevant target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the kinetics of the formation of the intramolecular disulfide bond, promoted by the small molecule ebselen</w:t>
      </w:r>
      <w:r>
        <w:rPr>
          <w:rFonts w:ascii="Calibri" w:hAnsi="Calibri" w:cs="Calibri" w:eastAsia="Calibri"/>
          <w:color w:val="auto"/>
          <w:spacing w:val="0"/>
          <w:position w:val="0"/>
          <w:sz w:val="24"/>
          <w:shd w:fill="auto" w:val="clear"/>
          <w:vertAlign w:val="superscript"/>
        </w:rPr>
        <w:t xml:space="preserve">25,31</w:t>
      </w:r>
      <w:r>
        <w:rPr>
          <w:rFonts w:ascii="Calibri" w:hAnsi="Calibri" w:cs="Calibri" w:eastAsia="Calibri"/>
          <w:color w:val="auto"/>
          <w:spacing w:val="0"/>
          <w:position w:val="0"/>
          <w:sz w:val="24"/>
          <w:shd w:fill="auto" w:val="clear"/>
        </w:rPr>
        <w:t xml:space="preserve">, of the copper-free, zinc-bound form of human copper, zinc superoxide dismutase (SOD1), an antioxidant enzyme implicated in the onset of amyotrophic lateral sclerosis</w:t>
      </w:r>
      <w:r>
        <w:rPr>
          <w:rFonts w:ascii="Calibri" w:hAnsi="Calibri" w:cs="Calibri" w:eastAsia="Calibri"/>
          <w:color w:val="auto"/>
          <w:spacing w:val="0"/>
          <w:position w:val="0"/>
          <w:sz w:val="24"/>
          <w:shd w:fill="auto" w:val="clear"/>
          <w:vertAlign w:val="superscript"/>
        </w:rPr>
        <w:t xml:space="preserve">7,8,32</w:t>
      </w:r>
      <w:r>
        <w:rPr>
          <w:rFonts w:ascii="Calibri" w:hAnsi="Calibri" w:cs="Calibri" w:eastAsia="Calibri"/>
          <w:color w:val="auto"/>
          <w:spacing w:val="0"/>
          <w:position w:val="0"/>
          <w:sz w:val="24"/>
          <w:shd w:fill="auto" w:val="clear"/>
        </w:rPr>
        <w:t xml:space="preserve">. Finally, quantitative analysis of the real-time NMR data is performed in MATLAB using the Multivariate Curve Resolution-Alternating Least Squares (MCR-ALS) algorithm</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through which the pure spectral components and the concentration profiles as a function of time are obtained for the species observed, that can be further analyzed to obtain relevant kinetic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starts from a T75 flask of HEK293T cells (~3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per flask) transiently overexpressing either human CA II (unlabeled) or human SOD1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N-labeled). The cells were grown and maintained in T75 flasks with DMEM high glucose by 1:10 passages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and transfected with the cDNA encoding the protein of interest 48 h prior to the experiment. The steps involved in this phase are reported in detail elsewhere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Reagent and solution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 prepare complete DMEM, add 5 mL L-glutamine 200 mM, 5 mL penicillin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streptomycin 100x, and 50 mL fetal bovine serum (FBS, 10% vol/vol final concentration) to 440 mL DMEM.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solution can be stored at 4 &amp;#176;C for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agarose solution by dissolving 150 mg of low-gelling agarose in 10 mL of phosphate buffered saline (PBS) at 85 &amp;#176;C to obtain a 1.5% (w/v) solution. Sterilize by filtration with a 0.22 &amp;#181;m filter. Prepare 1 mL aliquots of agarose solution in 1.5 mL capped tubes and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the bioreactor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Dissolve 13.4 g of DMEM powder in 1 L of ultrapure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application, the required final volume may differ (e.g., for 500 mL medium, dissolve 6.7 g of powder in 500 mL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Add 2% FBS, 10 mM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1x penicillin-streptomycin (100x), and 2%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(e.g., for 500 mL medium, add 10 mL of FBS, 0.4 g of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5 mL of penicillin-streptomycin 100x, and 10 mL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Measure the pH using a pH-meter and if needed adjust to 7.4 by adding HCl.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the initial pH is very close to 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Filter the bioreactor medium with a vacuum-driven sterile filter in a sterile 250 mL or 500 mL glass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In the laminar flow hood, seal the bottle with a sterile steel headpiece with two hose nozzles and connect them to a FEP tubing (o.d. = 1/8”, i.d. = 1.6 mm) that will be connected to the pump and to a 0.22 &amp;#181;m PTFE syringe filter for air intake.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Bioreactor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Assemble the flow unit using a second flow unit NMR tube, which will be later replaced with the one containing the cells. Refer to the flow unit operating instructions for the correct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flow unit should be already cleaned (if not, perform step 4.2).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Set the water bath connected to the flow unit temperature control to 37 &amp;#176;C. Place the reservoir bottle in the water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Connect the FEP tubing of the reservoir bottle to the pump.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Turn the bioreactor valve to “bypass” and prefill the pump with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Turn the bioreactor valve to “flow” and prefill the bioreactor with medium at 0.1 mL/min.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Preparation of the cell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Collect the cells from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Take a T75 flask of transfected HEK293T cells from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and remove the spent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Wash the cells twice with 7 mL (each) of PBS at room temperature (~20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Use 2 mL of trypsin/EDTA to detach cells. After adding the solution, incubate for 5 min at room temperature to detach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Transfected cells may take slightly longer to get detached. If necessary, incubate the cells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3.1.4.</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Inactivate trypsin with 20 mL of complete DMEM; thoroughly resuspend the cells by pipetting up and down and transfer them in a 50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Centrifuge the cells at 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Wash the cells with 10 mL of PBS at room temperature to remove the residual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3.1.7. Centrifuge the cells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3.1.8. Transfer the cell pellet to a 1.5 mL capped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Embed cells in agarose threads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Melt one aliquot of solidified agarose at 85 &amp;#176;C in a water bath and subsequently keep it in solution at 37 &amp;#176;C in a block heater.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With a Pasteur pipette, fill the bottom of the flow unit NMR tube with 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&amp;#181;L of 1.5% agarose gel and place it in ice. This will create a ~5 mm high bottom plug that allows placing the cell sample within the active volume of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NMR coil.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Heat up the pellet of cells obtained in step 3.1.8 at 37 &amp;#176;C for 15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s in the thermoblock.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Resuspend cells in 450 &amp;#181;L of agarose solution. Be careful to avoid the formation of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3.2.5. Aspirate the cell</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agarose suspension into a ~30 cm long chromatography PEEK tubing (i.d. = 0.75 mm) connected to a 1 mL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aspiration, the tubing and the dead volume of the syringe should be prefilled with PBS at room temperature to avoid the formation of bubbles. The length of the tubing is not critical.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Let the tubing cool down at room temperature for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 Prefill the flow unit NMR tube with 100 &amp;#181;L of PBS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3.2.8. Cast threads of cells embedded in agarose into the flow unit NMR tube by gently pushing the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fill the NMR tube homogenously, start by placing the end of the PEEK tubing at the bottom of the NMR tube and proceed towards the top while slowly swinging left-right.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Repeat steps 3.2.5, 3.2.6, and 3.2.8 until all the cell-agarose suspension has been cast.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Insert cells in the bioreactor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Remove the empty NMR tube from the flow unit and increase the flow rate to 2 mL/min for a few minutes to remove residual gas bubbles in the inlet tubing.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3.3.2. Set the flow rate to 0.2 mL/min and insert the NMR tube containing the cells by pushing it upwards slowly but steadily.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active flow of medium avoids the backflow of tube content through the inlet, that would otherwise occur during the insertion.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Bioreactor operation </w:t>
      </w:r>
      <w:r>
        <w:rPr>
          <w:rFonts w:ascii="Calibri" w:hAnsi="Calibri" w:cs="Calibri" w:eastAsia="Calibri"/>
          <w:b/>
          <w:color w:val="auto"/>
          <w:spacing w:val="0"/>
          <w:position w:val="0"/>
          <w:sz w:val="24"/>
          <w:shd w:fill="auto" w:val="clear"/>
        </w:rPr>
        <w:t xml:space="preserve">and cleaning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Bioreactor operation during the NMR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Set the temperature in the NMR spectrometer to 310 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Insert the flow unit in the spectrometer.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Supply the bioreactor medium at a flow rate of 0.1 mL/min for the whole duration of the in-cell NMR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At the desired time during the experiment, inject a concentrated solution of external molecule to the medium reservoir bottle by piercing the silicone tubing with a sterile long-needle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concentration of molecule in the medium should be chosen based on previous knowledge of cell toxicity and, if available, on the predicted/estimated diffusion rate through the cell membrane.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4.1.5. At the end of the NMR experiment, replace the tube containing the cells with an empty tube and rinse the flow unit with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Bioreactor clean-in-place.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Clean the flow unit by flowing the following solutions at 1 mL/min: 0.2 M sodium hydroxide (NaOH); 3 M citric acid; 0.2 M NaOH, for at least 30 min each, followed by sterile-filtered ultrapure water for &amp;gt;2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Clean and autoclave the reservoir bottle and tubing assembly after each run.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NMR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Setup of the NMR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these steps beforehand, prior to the preparation of the in-cell NMR sample, to avoid any delays between cell collection and data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Create a new dataset at the NMR spectrometer and set the parameters for the desired NMR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Set parameters for 1D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Center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carrier frequency at 4.7 ppm on the water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Select the zgesgp pulse program, set the spectral width to 20 ppm, and a 1,000-&amp;#181;s 180&amp;#176; square pulse for water suppression. Set an inter-scan delay of 1 s. Acquire the spectrum with 32 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For cells expressing unlabeled CA II: select the p3919gp pulse program, set the spectral width to 30 ppm to cover the imino region of the spectrum, and adjust the delay for binomial water suppression so that the maximum excitation is centered at the chemical shifts of the signals of interest (d7 = 20 &amp;#181;s at 950 MHz). Set an inter-scan delay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s. Acquire with 512 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For cells expressing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N-labeled SOD1: select the sfhmqf3gpph pulse program, set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spectral widths to 16 and 50 ppm, respectively, the shaped pulse offset and excitation bandwidth to 8.5 and 6 ppm, respectively, and a 350 &amp;#181;s pulse for decoupling scheme (garp4 or other depending on the instrument). Set an inter-scan delay of 0.3 s. Acquire with 16 scans and 128 increments in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dimension.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Real-time NMR spectra acquisition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5.2.1. Once the bioreactor is inserted in the NMR spectrometer, wait for a few minutes to allow the exchange of the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is easily monitored from the appearance of the lock signal as the PBS is replaced with medium containing 2%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Adjust the matching and tuning of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channel, shim the magnet, and calculate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90&amp;#176; hard pulse length.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Adjust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power levels in each pulse sequence according to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hard pulse.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Record a first zgesgp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spectrum to check the sample content and the field homogeneity.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5.2.5. Copy the zgesgp and the p3919gp/sfhmqcf3gpph experiments to the desired number and queue them in the acquisition spooler.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zgesgp spectra are only used to control the state of the sample and the field homogeneity; therefore, they can be either skipped or recorded less frequently.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5.2.6. For cells expressing unlabeled CA II: process the p3919gp spectra by applying zero filling and exponential line broadening window function (LB = 20 Hz).</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5.2.7. For cells expressing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N-labeled SOD1: process the sfhmqcf3gpph spectra by applying zero filling and squared sine bell window function (SSB = 2) in both dimensions.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the processed spectra can be further reduced by removing regions free of signals (in Topspin, this is done by setting the desired STSR and STSI values).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MCR-ALS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For the analysis of CA II spectra, import 1D spectral regions in MATLAB R2019b.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In the software, create a list of experiments to be exported in the </w:t>
      </w:r>
      <w:r>
        <w:rPr>
          <w:rFonts w:ascii="Calibri" w:hAnsi="Calibri" w:cs="Calibri" w:eastAsia="Calibri"/>
          <w:b/>
          <w:color w:val="auto"/>
          <w:spacing w:val="0"/>
          <w:position w:val="0"/>
          <w:sz w:val="24"/>
          <w:shd w:fill="auto" w:val="clear"/>
        </w:rPr>
        <w:t xml:space="preserve">Process Dataset List</w:t>
      </w:r>
      <w:r>
        <w:rPr>
          <w:rFonts w:ascii="Calibri" w:hAnsi="Calibri" w:cs="Calibri" w:eastAsia="Calibri"/>
          <w:color w:val="auto"/>
          <w:spacing w:val="0"/>
          <w:position w:val="0"/>
          <w:sz w:val="24"/>
          <w:shd w:fill="auto" w:val="clear"/>
        </w:rPr>
        <w:t xml:space="preserve">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Using a modified version of the au program convbin2asc, export the spectral region of interest in ASCII format for each spectrum.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creates a text file named ascii-spec.txt in each spectrum subdirectory.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6.1.3. In MATLAB, import the spectral regions using the custom script Load_ascii_spectra.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script requires the dataset directory as an input and produces a 2D array spectra containing the stacked 1D spectra and a 1D array cs containing the chemical shifts.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6.1.4 Run the Load_acqus script to extract the timestamps from the 1D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script produces a 1D array times_hours containing the time increment for each spectrum expressed in hours, with the initial spectrum at time =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For the analysis of SOD1 spectra, import 2D spectra in MATLAB R2020b.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In Topspin, create a list of experiments to be exported in the </w:t>
      </w:r>
      <w:r>
        <w:rPr>
          <w:rFonts w:ascii="Calibri" w:hAnsi="Calibri" w:cs="Calibri" w:eastAsia="Calibri"/>
          <w:b/>
          <w:color w:val="auto"/>
          <w:spacing w:val="0"/>
          <w:position w:val="0"/>
          <w:sz w:val="24"/>
          <w:shd w:fill="auto" w:val="clear"/>
        </w:rPr>
        <w:t xml:space="preserve">Process Dataset List</w:t>
      </w:r>
      <w:r>
        <w:rPr>
          <w:rFonts w:ascii="Calibri" w:hAnsi="Calibri" w:cs="Calibri" w:eastAsia="Calibri"/>
          <w:color w:val="auto"/>
          <w:spacing w:val="0"/>
          <w:position w:val="0"/>
          <w:sz w:val="24"/>
          <w:shd w:fill="auto" w:val="clear"/>
        </w:rPr>
        <w:t xml:space="preserve"> menu.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In MATLAB, import the 2D spectra using the custom script Load_2D_spectra.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script requires the dataset directory as an input and produces a 3D array Spectra containing the stacked 2D spectra and a 1D array cs containing the chemical shifts.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Run the Load_acqus script to extract the timestamps from the 2D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 Specify the spectral regions of interest in the custom script Cut_2D_spectra and run the script to cut 3D sub-arrays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x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spectral intensities) x time]; reshape them as 2D arrays (time points x spectral intensities) and join them together.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produces a 2D array JoinSpec_flat containing the reshaped and joined spectral regions.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 Run MCR-ALS 2.0 in GUI mode.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Open MCR-ALS 2.0 GUI by running the mcr_main script.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 In the </w:t>
      </w:r>
      <w:r>
        <w:rPr>
          <w:rFonts w:ascii="Calibri" w:hAnsi="Calibri" w:cs="Calibri" w:eastAsia="Calibri"/>
          <w:b/>
          <w:color w:val="auto"/>
          <w:spacing w:val="0"/>
          <w:position w:val="0"/>
          <w:sz w:val="24"/>
          <w:shd w:fill="FFFF00" w:val="clear"/>
        </w:rPr>
        <w:t xml:space="preserve">Data Selection</w:t>
      </w:r>
      <w:r>
        <w:rPr>
          <w:rFonts w:ascii="Calibri" w:hAnsi="Calibri" w:cs="Calibri" w:eastAsia="Calibri"/>
          <w:color w:val="auto"/>
          <w:spacing w:val="0"/>
          <w:position w:val="0"/>
          <w:sz w:val="24"/>
          <w:shd w:fill="FFFF00" w:val="clear"/>
        </w:rPr>
        <w:t xml:space="preserve"> tab, load the spectra or the JoinSpec_flat matrix. The data can be plotted for checking.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6.3.3. Evaluate the number of components either by Singular Value Decomposition (SVD) or manually.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components should correspond to the number of distinct species present in the experiment. In this case n = 2, corresponding to the free and bound protein.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6.3.4. Select a method for the initial estimation of the pure spectra. Either purest variable detection or Evolving Factor Analysis (EFA) can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6.3.5. In the </w:t>
      </w:r>
      <w:r>
        <w:rPr>
          <w:rFonts w:ascii="Calibri" w:hAnsi="Calibri" w:cs="Calibri" w:eastAsia="Calibri"/>
          <w:b/>
          <w:color w:val="auto"/>
          <w:spacing w:val="0"/>
          <w:position w:val="0"/>
          <w:sz w:val="24"/>
          <w:shd w:fill="FFFF00" w:val="clear"/>
        </w:rPr>
        <w:t xml:space="preserve">Selection of the Data Set</w:t>
      </w:r>
      <w:r>
        <w:rPr>
          <w:rFonts w:ascii="Calibri" w:hAnsi="Calibri" w:cs="Calibri" w:eastAsia="Calibri"/>
          <w:color w:val="auto"/>
          <w:spacing w:val="0"/>
          <w:position w:val="0"/>
          <w:sz w:val="24"/>
          <w:shd w:fill="FFFF00" w:val="clear"/>
        </w:rPr>
        <w:t xml:space="preserve"> window, select </w:t>
      </w:r>
      <w:r>
        <w:rPr>
          <w:rFonts w:ascii="Calibri" w:hAnsi="Calibri" w:cs="Calibri" w:eastAsia="Calibri"/>
          <w:b/>
          <w:color w:val="auto"/>
          <w:spacing w:val="0"/>
          <w:position w:val="0"/>
          <w:sz w:val="24"/>
          <w:shd w:fill="FFFF00" w:val="clear"/>
        </w:rPr>
        <w:t xml:space="preserve">Continue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6.3.6. Set the constraints for the concentrations in the </w:t>
      </w:r>
      <w:r>
        <w:rPr>
          <w:rFonts w:ascii="Calibri" w:hAnsi="Calibri" w:cs="Calibri" w:eastAsia="Calibri"/>
          <w:b/>
          <w:color w:val="auto"/>
          <w:spacing w:val="0"/>
          <w:position w:val="0"/>
          <w:sz w:val="24"/>
          <w:shd w:fill="FFFF00" w:val="clear"/>
        </w:rPr>
        <w:t xml:space="preserve">Constraints: Row Mode</w:t>
      </w:r>
      <w:r>
        <w:rPr>
          <w:rFonts w:ascii="Calibri" w:hAnsi="Calibri" w:cs="Calibri" w:eastAsia="Calibri"/>
          <w:color w:val="auto"/>
          <w:spacing w:val="0"/>
          <w:position w:val="0"/>
          <w:sz w:val="24"/>
          <w:shd w:fill="FFFF00" w:val="clear"/>
        </w:rPr>
        <w:t xml:space="preserve"> window. Apply a non-negativity constraint, select fnnls (Fast nonnegativity-constrained least-squares) as “implementation and 2 species”. Apply 1 closure constraint, set the constraint to 1, the closure condition as “equal to” and apply to all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forces the sum of each species concentrations to be equal to 1, so that the obtained profiles of each species are normalized with respect to the total protein concentration.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6.3.7. Set the constraints for the spectra in the </w:t>
      </w:r>
      <w:r>
        <w:rPr>
          <w:rFonts w:ascii="Calibri" w:hAnsi="Calibri" w:cs="Calibri" w:eastAsia="Calibri"/>
          <w:b/>
          <w:color w:val="auto"/>
          <w:spacing w:val="0"/>
          <w:position w:val="0"/>
          <w:sz w:val="24"/>
          <w:shd w:fill="FFFF00" w:val="clear"/>
        </w:rPr>
        <w:t xml:space="preserve">Constraints: Column Mode</w:t>
      </w:r>
      <w:r>
        <w:rPr>
          <w:rFonts w:ascii="Calibri" w:hAnsi="Calibri" w:cs="Calibri" w:eastAsia="Calibri"/>
          <w:color w:val="auto"/>
          <w:spacing w:val="0"/>
          <w:position w:val="0"/>
          <w:sz w:val="24"/>
          <w:shd w:fill="FFFF00" w:val="clear"/>
        </w:rPr>
        <w:t xml:space="preserve"> window. Apply a non-negativity constraint, select fnnls as “implementation and 2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constraint should not be applied if negative signals are present in the NMR spectra.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6.3.8. In the final window, set 50 iterations and 0.01 convergence criterion. Specify the output names for Concentrations, Spectra, and Std. deviation. Click on </w:t>
      </w:r>
      <w:r>
        <w:rPr>
          <w:rFonts w:ascii="Calibri" w:hAnsi="Calibri" w:cs="Calibri" w:eastAsia="Calibri"/>
          <w:b/>
          <w:color w:val="auto"/>
          <w:spacing w:val="0"/>
          <w:position w:val="0"/>
          <w:sz w:val="24"/>
          <w:shd w:fill="FFFF00" w:val="clear"/>
        </w:rPr>
        <w:t xml:space="preserve">Continue</w:t>
      </w:r>
      <w:r>
        <w:rPr>
          <w:rFonts w:ascii="Calibri" w:hAnsi="Calibri" w:cs="Calibri" w:eastAsia="Calibri"/>
          <w:color w:val="auto"/>
          <w:spacing w:val="0"/>
          <w:position w:val="0"/>
          <w:sz w:val="24"/>
          <w:shd w:fill="FFFF00" w:val="clear"/>
        </w:rPr>
        <w:t xml:space="preserve"> to run the MCR-ALS fitting.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graphical window will show the result of the fitting with plots of the concentration profiles and the spectra of the pure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6.3.9. For the SOD1 dataset: use the custom script Rebuild_2D_spectra to reconstruct the 2D spectral regions from the 1D output of MCR-ALS and plot them.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Trypan blue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Recover the NMR tube content with a Pasteur pipet, and transfer the agarose threads to a 1.5 mL capped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Remove the residual medium by rinsing the agarose threads with 600 &amp;#181;L of PBS and centrifuge them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at room temperature.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Add 250 &amp;#181;L of PBS and 50 &amp;#181;L of 0.4% Trypan blue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Incubate for 2 min with continuous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Wash twice with 600 &amp;#181;L of PBS discarding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Place a few agarose threads on a microscope slide and chop them with razor blades to create small slices of gel. Select the thinnest slices (thickness &amp;lt; 0.4 mm, ideally ~0.2 mm) for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Transfer the gel slices into a self-made cell counting chamber consisting of two glass slides spaced by three layers of paraffin film (~0.4 mm total thickness) on each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chamber slide could also be used; however, the gel slices thicker than the chamber height (0.1 mm) would be squeezed, rupturing the embedded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Acquire images of cells inside the agarose and count white and blue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Calculate cell viability as (total cells - blue cells) / total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 protocol allows the encapsulation of cells in threads of hydrogel to maximize cell viability for long periods of time, necessary to investigate in real time intracellular processes. In the bioreactor, the cells are maintained alive and metabolically active up to 72 h, as confirmed by Trypan blue test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principle, this protocol can be applied to observe an intracellular protein of interest undergoing any conformational or chemical changes. In the first application described above, the bioreactor is applied to monitor in real time the binding of two inhibitors, AAZ and MZA, to CA II overexpressed in the cytosol of HEK293T cells. The first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excitation sculpting spectrum (zgesgp) recorded is used to assess the overall signal intensity (which is proportional to the number of cells), the presence of signals from the overexpressed protein and the field homogeneity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In the case of CA II, the intracellular binding of the two inhibitors can be monitored by WATERGATE 3-9-19</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1D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spectra (p3919gp), by observing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signals in the region between 11 and 16 ppm. These signals arise from the zinc-coordinating histidines and other aromatic residues of CA II</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are perturbed upon ligand binding</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Ligand concentrations can be chosen based on the diffusion rate or, if available, from previously determined permeability values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Successful binding is confirmed visually by the appearance of an additional set of signals in the spectral region of interest, that gradually replaces the original signals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Time-dependent binding curves are obtained by MCR-ALS analysis, which separates the two sets of NMR signals arising from free and bound CA II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simultaneously provides the relative concentration profiles of the two species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 the second application, the bioreactor is applied to monitor the formation of zinc-bound SOD1 intramolecular disulfide bond promoted by ebselen, a glutathione peroxidase mimetic, in human cells. This process is monitored by observing changes in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2D SOFAST-HMQC</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spectra (which provides a fingerprint of the protein backbone conformation) caused by perturbations of the protein structure induced by the disulfide bond formation. Additional signals arising from disulfide-oxidized SOD1 appear in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spectrum and gradually replace those from disulfide-reduced SOD1. MCR-ALS analysis on selected regions of the 2D spectrum separates the signals arising from the two species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provides their relative concentration profiles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obtained concentration curves can be further analyzed by non-linear fitting to provide information on the kinetics of the processes under study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Scheme of the bioreactor.</w:t>
      </w:r>
      <w:r>
        <w:rPr>
          <w:rFonts w:ascii="Calibri" w:hAnsi="Calibri" w:cs="Calibri" w:eastAsia="Calibri"/>
          <w:color w:val="auto"/>
          <w:spacing w:val="0"/>
          <w:position w:val="0"/>
          <w:sz w:val="24"/>
          <w:shd w:fill="auto" w:val="clear"/>
        </w:rPr>
        <w:t xml:space="preserve"> Left: cross-section view of the empty flow unit. Right: scheme of the bioreactor setup. The PEEK inlet tubing is shown in green; the PTFE outlet tubing is shown in blue. The left panel is reproduced with permission from Luchinat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Trypan Blue Test on encapsulated cells and sample check by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NMR. </w:t>
      </w:r>
      <w:r>
        <w:rPr>
          <w:rFonts w:ascii="Calibri" w:hAnsi="Calibri" w:cs="Calibri" w:eastAsia="Calibri"/>
          <w:color w:val="auto"/>
          <w:spacing w:val="0"/>
          <w:position w:val="0"/>
          <w:sz w:val="24"/>
          <w:shd w:fill="auto" w:val="clear"/>
        </w:rPr>
        <w:t xml:space="preserve">Representative slices of agarose containing embedded cells and stained with Trypan blue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immediately after casting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72 h in the bioreactor;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 viability as a function of time in the NMR bioreactor under active flow (black) and under static conditions (red), measured by Trypan Blue Test.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zgesgp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spectra recorded on agarose-embedded cells overexpressing CA II in the absence (black) and in the presence (red) of gas bubbles in the bioreactor. In the latter case, decreased field homogeneity causes line broadening and the appearance of solvent suppression artifacts. Interesting spectral features are labeled. Panels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are reproduced with permission from Luchinat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real-time in-cell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 NMR data obtained on agarose-encapsulated cells in the bioreactor. </w:t>
      </w:r>
      <w:r>
        <w:rPr>
          <w:rFonts w:ascii="Calibri" w:hAnsi="Calibri" w:cs="Calibri" w:eastAsia="Calibri"/>
          <w:color w:val="auto"/>
          <w:spacing w:val="0"/>
          <w:position w:val="0"/>
          <w:sz w:val="24"/>
          <w:shd w:fill="auto" w:val="clear"/>
        </w:rPr>
        <w:t xml:space="preserve">Waterfall plots of 1D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spectra (region between 15.6 and 11.1 ppm) of HEK293T cells overexpressing CA II and subsequently treated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25 &amp;#181;M AAZ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10 &amp;#181;M MZA, recorded as a function of time in the NMR bioreactor. The time of ligand treatment is shown with an arrow. Spectral intensity (a.u.) is color-coded from blue (lowest) to yellow (highest). This figure is reproduced with permission from Luchinat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MCR-ALS output from 1D NMR spectra.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spectra of the pure components reconstructed by MCR-ALS: CA II in the absence of ligands (black) and in the complex with AAZ (red) or MZA (magenta);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concentration profiles of free (black) and bound CA II as a function of time upon addition of AAZ (red) or MZA (magenta) obtained by MCR-ALS. Times of ligand treatment are marked with arrows. This figure is reproduced with permission from Luchinat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MCR-ALS output from 2D NMR spectra.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spectral regions (labeled I-IV) of the pure components reconstructed by MCR-ALS: disulfide-reduced SOD1 (black) and disulfide-oxidized SOD1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concentration profile of the pure components as a function of time upon addition of ebselen (marked with an arrow) obtained by MCR-ALS. This figure is reproduced with permission from Luchinat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using a bioreactor for in-cell NMR experiment is to keep cells alive and metabolically active for a prolonged period of time. A number of critical aspects must be taken into consideration to achieve this aim. First, it is paramount to avoid bacterial contamination when preparing the cell sample and during the NMR data acquisition. If strains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or other bacteria commonly used for gene cloning and recombinant protein expression are used in the laboratory, they may contaminate the cells during sample preparation. Once in the bioreactor, the bacteria will grow quickly exploiting the fresh growth medium and will cause cell death due to the production of endotoxins. Bacterial contamination is only spotted at an advanced stage, when it turns the growth medium yellow and turbid. Furthermore, incomplete cleaning of the bioreactor could cause contamination of the pump or the tubing with bacteria, yeasts, or common molds.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requirement for the success of the experiment is the avoidance of gas bubble formation. Gas bubbles trapped between the agarose threads in the active volume of the NMR coil would introduce large magnetic field inhomogeneities, causing incomplete suppression of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signal and severe loss of spectral quality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Bubbles may be caused by air trapped in the system or by the formation of gaseous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former can be easily avoided by flushing the system with medium prior to inserting the cell sample, while to avoid the latter it is recommended to decrease the concentration of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the growth medium, and to keep all parts of the system at a constant temperature to minimize differences in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solubility. Cellular aerobic metabolism may also cause the formation of gaseous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which can be prevented by increasing the flow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viability should be checked after each run by Trypan Blue Test. However, that does not provide insights on the metabolic activity. To obtain a more complete picture of the metabolic state of the cells during the bioreactor operation,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spectra can be performed to assess the production of ATP as a function of time</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However, a dedicated probe is often necessary for this measurement, which may allow simultaneous recording with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CA II, the presence of well-resolved reporter signals in an unusual region of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spectrum facilitates the analysis from simple 1D NMR spectra and does not require isotope enrichment during protein expression. In general, other proteins could give rise to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signals useful for monitoring spectral changes in other regions, such as that typical of the protein hydrophobic core between 0 and -1 ppm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these regions tend to be crowded for folded proteins larger than ~10 kDa. In this case, as shown for SOD1, it is preferable to enrich the protein with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by providing uniformly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N-enriched growth medium during protein expression, and to monitor real-time changes in 2D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NMR spectra. 2D spectra are imported as a 2D arrays in MATLAB, rearranged to 1D arrays and stacked prior to MCR-ALS analysis. The latter approach is generally applicable to any intracellular protein that gives rise to detectable signals, and provides information on protein conformational changes at the single residue level. In principle, the latter approach can be generalized to nD spectra and to other isotope-labeling schemes.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Concerning the application to different types of cells, the protocol should be easily adapted to different cell lines and does not require that the protein of interest is directly expressed in the cells. Therefore, other approaches to in-cell NMR can be combined with this protocol, in which the macromolecule of interest is produced recombinantly, or synthesized, and subsequently inserted into the cells by electroporation or by other delivery methods</w:t>
      </w:r>
      <w:r>
        <w:rPr>
          <w:rFonts w:ascii="Calibri" w:hAnsi="Calibri" w:cs="Calibri" w:eastAsia="Calibri"/>
          <w:color w:val="auto"/>
          <w:spacing w:val="0"/>
          <w:position w:val="0"/>
          <w:sz w:val="24"/>
          <w:shd w:fill="auto" w:val="clear"/>
          <w:vertAlign w:val="superscript"/>
        </w:rPr>
        <w:t xml:space="preserve">1,9,38</w:t>
      </w:r>
      <w:r>
        <w:rPr>
          <w:rFonts w:ascii="Calibri" w:hAnsi="Calibri" w:cs="Calibri" w:eastAsia="Calibri"/>
          <w:color w:val="auto"/>
          <w:spacing w:val="0"/>
          <w:position w:val="0"/>
          <w:sz w:val="24"/>
          <w:shd w:fill="auto" w:val="clear"/>
        </w:rPr>
        <w:t xml:space="preserve">. When working with different cell lines or sample preparation protocols, parameters such as the agarose concentration, the thread thickness, and the final cell density in the agarose threads may need to be optimized empirically. Furthermore, the applicability of the protocol described here is limited to cells that tolerate agarose encapsulation. Other cell types may require different hydrogel formulations, whereas a different setup is recommended when analyzing cells that natively grow in suspension, for example, making use of a coaxial microdialysis membrane to ensure nutrient diffusion while keeping suspended cells confined in the NMR tube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other NMR bioreactor designs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device described here relies on a commercially available flow-unit, adapted with minor modifications. Therefore, the device can be easily replicated in different laboratories with high reproducibility. Furthermore, it allows standardized operation and full compliance with strict laboratory safety regulations, if needed. Overall, the flexibility and ease of operation of the bioreactor should allow many other applications of solution NMR, both in cells and in vitro, in addition to those as already reported</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Eventually, the same bioreactor design could be applied to samples that resemble more of the physiological environment of a tissue, such as spheroids or organoids, provided that appropriate scaffolds are found for keeping such samples alive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or even sustaining their growth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the NMR spectrometer.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there is no conflict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been supported by iNEXT-Discovery, grant number 871037, funded by the Horizon 2020 programme of the European Commission, by Instruct-ULTRA, grant number 731005, an EU H2020 project to further develop the services of Instruct-ERIC, and by Ministero dell’Istruzione, dell’Università e della Ricerca PRIN grant 20177XJCHX. The authors acknowledge the support of Instruct-ERIC, a Landmark ESFRI project, through the JRA Award number 815 and the use of resources of the CERM/CIRMMP Italy Centre. We thank Matteo Pennestri (Bruker, UK) for providing support for the InsightMR flow unit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Inomata, K. et al. High-resolution multi-dimensional NMR spectroscopy of proteins in human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458</w:t>
      </w:r>
      <w:r>
        <w:rPr>
          <w:rFonts w:ascii="Calibri" w:hAnsi="Calibri" w:cs="Calibri" w:eastAsia="Calibri"/>
          <w:color w:val="auto"/>
          <w:spacing w:val="0"/>
          <w:position w:val="0"/>
          <w:sz w:val="24"/>
          <w:shd w:fill="auto" w:val="clear"/>
        </w:rPr>
        <w:t xml:space="preserve"> (7234),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(2009).</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Luchinat, E., Banci, L. In-cell NMR: a topical review.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(Pt 2), 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(2017).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Dzatko, S. et al. Evaluation of the stability of DNA i-motifs in the nuclei of living mammalian cells. </w:t>
      </w:r>
      <w:r>
        <w:rPr>
          <w:rFonts w:ascii="Calibri" w:hAnsi="Calibri" w:cs="Calibri" w:eastAsia="Calibri"/>
          <w:i/>
          <w:color w:val="auto"/>
          <w:spacing w:val="0"/>
          <w:position w:val="0"/>
          <w:sz w:val="24"/>
          <w:shd w:fill="auto" w:val="clear"/>
        </w:rPr>
        <w:t xml:space="preserve">Angewandte Chemie (International Ed.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(8), 2165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2169 (2018).</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Luchinat, E., Banci, L. In-cell NMR in human cells: direct protein expression allows structural studies of protein folding and maturation.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(6), 1550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1557 (2018).</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Tanaka, T. et al. High-resolution protein 3D structure determination in living eukaryotic cells. </w:t>
      </w:r>
      <w:r>
        <w:rPr>
          <w:rFonts w:ascii="Calibri" w:hAnsi="Calibri" w:cs="Calibri" w:eastAsia="Calibri"/>
          <w:i/>
          <w:color w:val="auto"/>
          <w:spacing w:val="0"/>
          <w:position w:val="0"/>
          <w:sz w:val="24"/>
          <w:shd w:fill="auto" w:val="clear"/>
        </w:rPr>
        <w:t xml:space="preserve">Angewandte Chemie (International Ed.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(22), 7284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7288 (2019).</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Siegal, G., Selenko, P. Cells, drugs and NMR. </w:t>
      </w:r>
      <w:r>
        <w:rPr>
          <w:rFonts w:ascii="Calibri" w:hAnsi="Calibri" w:cs="Calibri" w:eastAsia="Calibri"/>
          <w:i/>
          <w:color w:val="auto"/>
          <w:spacing w:val="0"/>
          <w:position w:val="0"/>
          <w:sz w:val="24"/>
          <w:shd w:fill="auto" w:val="clear"/>
        </w:rPr>
        <w:t xml:space="preserve">Journal of Magnetic Resonance (San Diego, Calif.: 1997)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202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(2019).</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Banci, L. et al. Atomic-resolution monitoring of protein maturation in live human cells by NMR.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(2013).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Luchinat, E. et al. In-cell NMR reveals potential precursor of toxic species from SOD1 fALS mutants.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5502 (2014).</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Theillet, F.-X. et al. Structural disorder of monomeric &amp;#945;-synuclein persists in mammalian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530</w:t>
      </w:r>
      <w:r>
        <w:rPr>
          <w:rFonts w:ascii="Calibri" w:hAnsi="Calibri" w:cs="Calibri" w:eastAsia="Calibri"/>
          <w:color w:val="auto"/>
          <w:spacing w:val="0"/>
          <w:position w:val="0"/>
          <w:sz w:val="24"/>
          <w:shd w:fill="auto" w:val="clear"/>
        </w:rPr>
        <w:t xml:space="preserve"> (7588),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Barbieri, L., Luchinat, E., Banci, L. Intracellular metal binding and redox behavior of human DJ-1. </w:t>
      </w:r>
      <w:r>
        <w:rPr>
          <w:rFonts w:ascii="Calibri" w:hAnsi="Calibri" w:cs="Calibri" w:eastAsia="Calibri"/>
          <w:i/>
          <w:color w:val="auto"/>
          <w:spacing w:val="0"/>
          <w:position w:val="0"/>
          <w:sz w:val="24"/>
          <w:shd w:fill="auto" w:val="clear"/>
        </w:rPr>
        <w:t xml:space="preserve">Journal of biological inorganic chemistry: JBIC: A Publication of the Society of Biological Inorganic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(2018).</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Banci, L., Barbieri, L., Luchinat, E., Secci, E. Visualization of redox-controlled protein fold in living cells. </w:t>
      </w:r>
      <w:r>
        <w:rPr>
          <w:rFonts w:ascii="Calibri" w:hAnsi="Calibri" w:cs="Calibri" w:eastAsia="Calibri"/>
          <w:i/>
          <w:color w:val="auto"/>
          <w:spacing w:val="0"/>
          <w:position w:val="0"/>
          <w:sz w:val="24"/>
          <w:shd w:fill="auto" w:val="clear"/>
        </w:rPr>
        <w:t xml:space="preserve">Chemistry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752 (2013).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Mercatelli, E., Barbieri, L., Luchinat, E., Banci, L. Direct structural evidence of protein redox regulation obtained by in-cell NMR.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1863</w:t>
      </w:r>
      <w:r>
        <w:rPr>
          <w:rFonts w:ascii="Calibri" w:hAnsi="Calibri" w:cs="Calibri" w:eastAsia="Calibri"/>
          <w:color w:val="auto"/>
          <w:spacing w:val="0"/>
          <w:position w:val="0"/>
          <w:sz w:val="24"/>
          <w:shd w:fill="auto" w:val="clear"/>
        </w:rPr>
        <w:t xml:space="preserve"> (2), 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(2016).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Barbieri, L., Luchinat, E., Banci, L. Protein interaction patterns in different cellular environments are revealed by in-cell NMR.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14456 (2015).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Luchinat, E. et al. Drug screening in human cells by NMR spectroscopy allows the early assessment of drug potency. </w:t>
      </w:r>
      <w:r>
        <w:rPr>
          <w:rFonts w:ascii="Calibri" w:hAnsi="Calibri" w:cs="Calibri" w:eastAsia="Calibri"/>
          <w:i/>
          <w:color w:val="auto"/>
          <w:spacing w:val="0"/>
          <w:position w:val="0"/>
          <w:sz w:val="24"/>
          <w:shd w:fill="auto" w:val="clear"/>
        </w:rPr>
        <w:t xml:space="preserve">Angewandte Chemie (International Ed.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(16), 6535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6539 (2020).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Luchinat, E. et al. Intracellular binding/unbinding kinetics of approved drugs to carbonic anhydrase II observed by in-cell NMR.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2792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2800 (2020).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DeMott, C. M. et al. Potent inhibitors of mycobacterium tuberculosis growth identified by using in-cell NMR-based screening.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733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 (2018).</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Krafcikova, M. et al. Monitoring DNA-ligand interactions in living human cells using NMR spectroscopy.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(34), 13281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13285 (2019).</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Broft, P. et al. In-cell NMR of functional riboswitch aptamers in eukaryotic cells. </w:t>
      </w:r>
      <w:r>
        <w:rPr>
          <w:rFonts w:ascii="Calibri" w:hAnsi="Calibri" w:cs="Calibri" w:eastAsia="Calibri"/>
          <w:i/>
          <w:color w:val="auto"/>
          <w:spacing w:val="0"/>
          <w:position w:val="0"/>
          <w:sz w:val="24"/>
          <w:shd w:fill="auto" w:val="clear"/>
        </w:rPr>
        <w:t xml:space="preserve">Angewandte Chemie (International Ed. in English)</w:t>
      </w:r>
      <w:r>
        <w:rPr>
          <w:rFonts w:ascii="Calibri" w:hAnsi="Calibri" w:cs="Calibri" w:eastAsia="Calibri"/>
          <w:color w:val="auto"/>
          <w:spacing w:val="0"/>
          <w:position w:val="0"/>
          <w:sz w:val="24"/>
          <w:shd w:fill="auto" w:val="clear"/>
        </w:rPr>
        <w:t xml:space="preserve"> (2020).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Sharaf, N. G., Barnes, C. O., Charlton, L. M., Young, G. B., Pielak, G. J. A bioreactor for in-cell protein NMR. </w:t>
      </w:r>
      <w:r>
        <w:rPr>
          <w:rFonts w:ascii="Calibri" w:hAnsi="Calibri" w:cs="Calibri" w:eastAsia="Calibri"/>
          <w:i/>
          <w:color w:val="auto"/>
          <w:spacing w:val="0"/>
          <w:position w:val="0"/>
          <w:sz w:val="24"/>
          <w:shd w:fill="auto" w:val="clear"/>
        </w:rPr>
        <w:t xml:space="preserve">Journal of magnetic resonance (San Diego, Calif.: 1997)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(2), 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(2010).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Kubo, S. et al. A gel-encapsulated bioreactor system for NMR studies of protein-protein interactions in living mammalian cells. </w:t>
      </w:r>
      <w:r>
        <w:rPr>
          <w:rFonts w:ascii="Calibri" w:hAnsi="Calibri" w:cs="Calibri" w:eastAsia="Calibri"/>
          <w:i/>
          <w:color w:val="auto"/>
          <w:spacing w:val="0"/>
          <w:position w:val="0"/>
          <w:sz w:val="24"/>
          <w:shd w:fill="auto" w:val="clear"/>
        </w:rPr>
        <w:t xml:space="preserve">Angewandte Chemie (International Ed.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(4), 1208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1211 (2013).</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Inomata, K., Kamoshida, H., Ikari, M., Ito, Y., Kigawa, T. Impact of cellular health conditions on the protein folding state in mammalian cells. </w:t>
      </w:r>
      <w:r>
        <w:rPr>
          <w:rFonts w:ascii="Calibri" w:hAnsi="Calibri" w:cs="Calibri" w:eastAsia="Calibri"/>
          <w:i/>
          <w:color w:val="auto"/>
          <w:spacing w:val="0"/>
          <w:position w:val="0"/>
          <w:sz w:val="24"/>
          <w:shd w:fill="auto" w:val="clear"/>
        </w:rPr>
        <w:t xml:space="preserve">Chemical Communications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(81), 11245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11248 (2017).</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Breindel, L., DeMott, C., Burz, D. S., Shekhtman, A. Real-time in-cell nuclear magnetic resonance: ribosome-targeted antibiotics modulate quinary protein interactions.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(5), 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546 (2018).</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Cerofolini, L. et al. Real-time insights into biological events: in-cell processes and protein-ligand interactions.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(2019).</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Breindel, L., Burz, D. S., Shekhtman, A. Active metabolism unmasks functional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 in real time in-cell NMR.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(2020).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Luchinat, E., Barbieri, L., Campbell, T. F., Banci, L. Real-time quantitative in-cell NMR: ligand binding and protein oxidation monitored in human cells using multivariate curve resolution.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(14), 9997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10006 (2020).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Koczula, K.M. et al. Metabolic plasticity in CLL: adaptation to the hypoxic niche.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(2016).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Alshamleh, I. et al. Real-time NMR spectroscopy for studying metabolism. </w:t>
      </w:r>
      <w:r>
        <w:rPr>
          <w:rFonts w:ascii="Calibri" w:hAnsi="Calibri" w:cs="Calibri" w:eastAsia="Calibri"/>
          <w:i/>
          <w:color w:val="auto"/>
          <w:spacing w:val="0"/>
          <w:position w:val="0"/>
          <w:sz w:val="24"/>
          <w:shd w:fill="auto" w:val="clear"/>
        </w:rPr>
        <w:t xml:space="preserve">Angewandte Chemie (International Ed.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(6), 2304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2308 (2020).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Supuran, C. T. Carbonic anhydrases: novel therapeutic applications for inhibitors and activators.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(2008).</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Neri, D., Supuran, C. T. Interfering with pH regulation in tumours as a therapeutic strategy.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767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777 (2011).</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Alterio, V., Di Fiore, A., D’Ambrosio, K., Supuran, C. T., De Simone, G. Multiple binding modes of inhibitors to carbonic anhydrases: how to design specific drugs targeting 15 different isoforms?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(8), 4421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4468 (2012).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Capper, M. J. et al. The cysteine-reactive small molecule ebselen facilitates effective SOD1 maturation.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1693 (2018).</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Trist, B., Hilton, J. B., Crouch, P. J., Hare, D. J., Double, K. L. Superoxide dismutase 1 in health and disease: How a front-line antioxidant becomes neurotoxic. </w:t>
      </w:r>
      <w:r>
        <w:rPr>
          <w:rFonts w:ascii="Calibri" w:hAnsi="Calibri" w:cs="Calibri" w:eastAsia="Calibri"/>
          <w:i/>
          <w:color w:val="auto"/>
          <w:spacing w:val="0"/>
          <w:position w:val="0"/>
          <w:sz w:val="24"/>
          <w:shd w:fill="auto" w:val="clear"/>
        </w:rPr>
        <w:t xml:space="preserve">Angewandte Chemie (International Ed. in English)</w:t>
      </w:r>
      <w:r>
        <w:rPr>
          <w:rFonts w:ascii="Calibri" w:hAnsi="Calibri" w:cs="Calibri" w:eastAsia="Calibri"/>
          <w:color w:val="auto"/>
          <w:spacing w:val="0"/>
          <w:position w:val="0"/>
          <w:sz w:val="24"/>
          <w:shd w:fill="auto" w:val="clear"/>
        </w:rPr>
        <w:t xml:space="preserve"> (2020).</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Tauler, R. Multivariate curve resolution applied to second order data. </w:t>
      </w:r>
      <w:r>
        <w:rPr>
          <w:rFonts w:ascii="Calibri" w:hAnsi="Calibri" w:cs="Calibri" w:eastAsia="Calibri"/>
          <w:i/>
          <w:color w:val="auto"/>
          <w:spacing w:val="0"/>
          <w:position w:val="0"/>
          <w:sz w:val="24"/>
          <w:shd w:fill="auto" w:val="clear"/>
        </w:rPr>
        <w:t xml:space="preserve">Chemometrics and Intelligent Laboratory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(1995).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Barbieri, L., Luchinat, E., Banci, L. Characterization of proteins by in-cell NMR spectroscopy in cultured mammalian cells.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1101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1111 (2016).</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Piotto, M., Saudek, V., Sklen&amp;#225;r, V. Gradient-tailored excitation for single-quantum NMR spectroscopy of aqueous solutions.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665 (1992).</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Vasa, S. K., Singh, H., Grohe, K., Linser, R. Assessment of a large enzyme-drug complex by proton-detected solid-state NMR spectroscopy without deuteration. </w:t>
      </w:r>
      <w:r>
        <w:rPr>
          <w:rFonts w:ascii="Calibri" w:hAnsi="Calibri" w:cs="Calibri" w:eastAsia="Calibri"/>
          <w:i/>
          <w:color w:val="auto"/>
          <w:spacing w:val="0"/>
          <w:position w:val="0"/>
          <w:sz w:val="24"/>
          <w:shd w:fill="auto" w:val="clear"/>
        </w:rPr>
        <w:t xml:space="preserve">Angewandte Chemie (International Ed.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(17), 5758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5762 (2019).</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Schanda, P., Brutscher, B. Very fast two-dimensional NMR spectroscopy for real-time investigation of dynamic events in proteins on the time scale of seconds.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(22), 8014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8015 (2005).</w:t>
      </w:r>
    </w:p>
    <w:p>
      <w:pPr>
        <w:tabs>
          <w:tab w:val="left" w:pos="3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Ogino, S. et al. Observation of NMR signals from proteins introduced into living mammalian cells by reversible membrane permeabilization using a pore-forming toxin, streptolysin O.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(31), 10834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10835 (2009).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