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Agrochemical Risk to Mated Honey Bee Queens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D. Fine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Kendall M. Torres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Jamilyn Martin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Gene E. Robinson</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Invasive Species and Pollinator Health Research Unit, USDA-ARS Invasive Species and Pollinator Health, Davis, CA, United States of America</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Carl R. Woese Institute for Genomic Biology, University of Illinois at Urbana-Champaign, Urbana, IL, United States of America</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Neuroscience Program, University of Illinois at Urbana-Champaign, Urbana, IL, United States of America</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Entomology, University of Illinois at Urbana-Champaign, Urbana, IL, United States of America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D. Fine (Julia.fine@usda.gov)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Kendall M. Torres (torres.kendall93@gmail.com)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Jamilyn Martin (jamimartin13@gmail.com)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 Robinson (generobi@illinois.edu)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developed to enhance the understanding of how agrochemicals affect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reproduction by establishing methods to expose honey bee queens and their worker caretakers to agrochemicals in a controlled, laboratory setting and carefully monitoring their relevant responses.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risk assessment strategies for honey bees rely heavily upon laboratory tests performed on adult or immature worker bees, but these methods may not accurately capture the effects of agrochemical exposure on honey bee queens.  As the sole producer of fertilized eggs inside a honeybee colony, the queen is arguably the most important single member of a functioning colony unit.  Therefore, understanding how agrochemicals affect queen health and productivity should be considered a critical aspect of pesticide risk assessment.  Here, an adapted method is presented to expose honey bee queens and worker queen attendants to agrochemical stressors administered through a worker diet, followed by tracking egg production in the laboratory and assessing first instar eclosion using a specialized cage, referred to as a queen monitoring cage.  To illustrate the method’s intended use, results of an experiment in which worker queen attendants were fed diet containing sublethal doses of imidacloprid and effects on queens were monitored are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increased global demand for agricultural products, modern farming practices often require the use of agrochemicals to control numerous pests known to reduce or harm crop yields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Simultaneously, the growers of many fruit, vegetable, and nut crops rely on the pollination services provided by commercial honey bee colonies to ensure abundant crop yields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practices may result in pollinators, including honey bees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being exposed to harmful levels of pesticide residues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the same time, the widespread presence of parasitic </w:t>
      </w:r>
      <w:r>
        <w:rPr>
          <w:rFonts w:ascii="Calibri" w:hAnsi="Calibri" w:cs="Calibri" w:eastAsia="Calibri"/>
          <w:i/>
          <w:color w:val="auto"/>
          <w:spacing w:val="0"/>
          <w:position w:val="0"/>
          <w:sz w:val="24"/>
          <w:shd w:fill="auto" w:val="clear"/>
        </w:rPr>
        <w:t xml:space="preserve">Varroa destructor</w:t>
      </w:r>
      <w:r>
        <w:rPr>
          <w:rFonts w:ascii="Calibri" w:hAnsi="Calibri" w:cs="Calibri" w:eastAsia="Calibri"/>
          <w:color w:val="auto"/>
          <w:spacing w:val="0"/>
          <w:position w:val="0"/>
          <w:sz w:val="24"/>
          <w:shd w:fill="auto" w:val="clear"/>
        </w:rPr>
        <w:t xml:space="preserve"> mite infestations in honey bee colonies frequently require beekeepers to treat their hives with miticides, which may also exert negative effects on the health and longevity of the colony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reduce and mitigate harmful effects of agrochemical products, it is necessary to fully evaluate their safety to honey bees prior to their implementation so that recommendations for their use can be made to protect beneficial insects.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Environmental Protection Agency (EPA) relies upon a tiered risk-assessment strategy for honey bee pesticide exposure, which involves laboratory tests on adult bees and sometimes honey bee larvae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If lower tier laboratory tests fail to alleviate concerns of toxicity, higher tier field and semi-field testing may be recommended. While these laboratory tests provide valuable insight into the potential effects of agrochemicals on worker longevity, they are not necessarily predictive of their effects on queens, which differ significantly from workers biologically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behaviorally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there are numerous potential effects of agrochemicals on insects beyond mortality, which can have considerable consequences for social insects that rely on coordinated behaviors to function as a colony unit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mortality is the most commonly considered effect of agrochemical pesticides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products can have a wide range of effects on both target and non-target arthropods including altered behavior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repellency or attractancy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changes in feeding patterns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increased or decreased fecundity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social insects, these effects can systemically disrupt colony interactions and functions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Of these functions, reproduction, which is heavily reliant on a single egg-laying queen supported by the rest of the of the colony unit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may be particularly vulnerable to perturbation due to pesticide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performed on immature queens have demonstrated that developmental exposure to miticides can affect adult queen behavior, physiology, survival</w:t>
      </w:r>
      <w:r>
        <w:rPr>
          <w:rFonts w:ascii="Calibri" w:hAnsi="Calibri" w:cs="Calibri" w:eastAsia="Calibri"/>
          <w:color w:val="auto"/>
          <w:spacing w:val="0"/>
          <w:position w:val="0"/>
          <w:sz w:val="24"/>
          <w:shd w:fill="auto" w:val="clear"/>
          <w:vertAlign w:val="superscript"/>
        </w:rPr>
        <w:t xml:space="preserve">26, 27</w:t>
      </w:r>
      <w:r>
        <w:rPr>
          <w:rFonts w:ascii="Calibri" w:hAnsi="Calibri" w:cs="Calibri" w:eastAsia="Calibri"/>
          <w:color w:val="auto"/>
          <w:spacing w:val="0"/>
          <w:position w:val="0"/>
          <w:sz w:val="24"/>
          <w:shd w:fill="auto" w:val="clear"/>
        </w:rPr>
        <w:t xml:space="preserve">. Similarly, studies using full or reduced sized colonies have demonstrated that agrochemicals can affect adult honey bee queens by decreasing mating success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decreasing oviposition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decreasing the viability of the eggs produced</w:t>
      </w:r>
      <w:r>
        <w:rPr>
          <w:rFonts w:ascii="Calibri" w:hAnsi="Calibri" w:cs="Calibri" w:eastAsia="Calibri"/>
          <w:color w:val="auto"/>
          <w:spacing w:val="0"/>
          <w:position w:val="0"/>
          <w:sz w:val="24"/>
          <w:shd w:fill="auto" w:val="clear"/>
          <w:vertAlign w:val="superscript"/>
        </w:rPr>
        <w:t xml:space="preserve">25, 30, 31</w:t>
      </w:r>
      <w:r>
        <w:rPr>
          <w:rFonts w:ascii="Calibri" w:hAnsi="Calibri" w:cs="Calibri" w:eastAsia="Calibri"/>
          <w:color w:val="auto"/>
          <w:spacing w:val="0"/>
          <w:position w:val="0"/>
          <w:sz w:val="24"/>
          <w:shd w:fill="auto" w:val="clear"/>
        </w:rPr>
        <w:t xml:space="preserve">. These phenomena have previously been difficult to observe without the use of whole colonies, due largely to a lack of available laboratory methods. However, a method to study queen oviposition under tightly controlled laboratory conditions using Queen Monitoring Cages (QMC)</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has recently been adapted to examine the effects of agrochemicals on queen fecundity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Here, these techniques are described in detail along with additional methods to measure and track worker diet consumption in QMCs.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methods are more advantageous than experiments requiring full sized colonies because they allow for the administration of precise doses of agrochemicals to a greatly reduced number of workers relative to the tens of thousands typically present inside a colony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which then provision the queen. This exposure technique mirrors the second-hand exposure that queens would experience in real-world scenarios because, within a colony, queens do not feed themselves and rely upon workers to provision them with diet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Similarly, queens do not generally leave the hive except during colony reproduction (swarming) for mating flights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Mated honey bee queens can be purchased from commercial queen breeders and shipped overnight. Typically, queen breeders sell queens directly after confirming that they have started to lay eggs, which is taken as an indication of successful mating. If more precise information on queen age or relatedness is needed, researchers may consult with the queen breeder before placing an order.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QMCs allow for precise observation and quantification of honey bee queen oviposition and egg hatching rates</w:t>
      </w:r>
      <w:r>
        <w:rPr>
          <w:rFonts w:ascii="Calibri" w:hAnsi="Calibri" w:cs="Calibri" w:eastAsia="Calibri"/>
          <w:color w:val="auto"/>
          <w:spacing w:val="0"/>
          <w:position w:val="0"/>
          <w:sz w:val="24"/>
          <w:shd w:fill="auto" w:val="clear"/>
          <w:vertAlign w:val="superscript"/>
        </w:rPr>
        <w:t xml:space="preserve">32, 33</w:t>
      </w:r>
      <w:r>
        <w:rPr>
          <w:rFonts w:ascii="Calibri" w:hAnsi="Calibri" w:cs="Calibri" w:eastAsia="Calibri"/>
          <w:color w:val="auto"/>
          <w:spacing w:val="0"/>
          <w:position w:val="0"/>
          <w:sz w:val="24"/>
          <w:shd w:fill="auto" w:val="clear"/>
        </w:rPr>
        <w:t xml:space="preserve">, yielding valuable data related to the effects of agrochemical exposure on queen fecundity. The representative results presented here describe an experiment quantifying oviposition, diet consumption, and embryo viability in QMCs under chronic exposure to field relevant concentrations of the systemic neurotoxicant neonicotinoid pesticide imidacloprid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Once applied, imidacloprid translocates to plant tissues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residues have been detected the pollen and nectar of numerous bee pollinated plants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Exposure to imidacloprid can have a broad range of detrimental effects on honey bees including impaired foraging performance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impaired immune function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decreased rates of colony expansion and survival</w:t>
      </w:r>
      <w:r>
        <w:rPr>
          <w:rFonts w:ascii="Calibri" w:hAnsi="Calibri" w:cs="Calibri" w:eastAsia="Calibri"/>
          <w:color w:val="auto"/>
          <w:spacing w:val="0"/>
          <w:position w:val="0"/>
          <w:sz w:val="24"/>
          <w:shd w:fill="auto" w:val="clear"/>
          <w:vertAlign w:val="superscript"/>
        </w:rPr>
        <w:t xml:space="preserve">42, 43</w:t>
      </w:r>
      <w:r>
        <w:rPr>
          <w:rFonts w:ascii="Calibri" w:hAnsi="Calibri" w:cs="Calibri" w:eastAsia="Calibri"/>
          <w:color w:val="auto"/>
          <w:spacing w:val="0"/>
          <w:position w:val="0"/>
          <w:sz w:val="24"/>
          <w:shd w:fill="auto" w:val="clear"/>
        </w:rPr>
        <w:t xml:space="preserve">. Here, imidacloprid was selected for use as a test substance because field experiments have shown that it can affect honey bee queen oviposition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4"/>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QMC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Assemble QMCs from parts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with a single egg laying plate (ELP) inserted as shown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Do not add feeder tubes until after the workers have been added to the cage. Temporarily cover the 4 feeder holes with laboratory grade tape.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Insert the queen excluder and the feeding chamber door over the feeding chamber to keep the queen from entering the feeding chamber and contacting the treated diet. See Fine et al.</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for further assembly details.</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numPr>
          <w:ilvl w:val="0"/>
          <w:numId w:val="10"/>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Collect the wax comb frames containing the capped worker brood from honeybee colonies 24 h prior to adult eclosion and place them in an incubator (34.5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inside a brood box.  24 h later, brush the eclosed bees off the frames and into an open container that has been lined with an insect barrier paint (e.g., Fluon) to prevent the bees from crawling out.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2"/>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Add at least 50 bees by weight (5 g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50 bees</w:t>
      </w:r>
      <w:r>
        <w:rPr>
          <w:rFonts w:ascii="Calibri" w:hAnsi="Calibri" w:cs="Calibri" w:eastAsia="Calibri"/>
          <w:color w:val="auto"/>
          <w:spacing w:val="0"/>
          <w:position w:val="0"/>
          <w:sz w:val="24"/>
          <w:shd w:fill="FFFF00" w:val="clear"/>
          <w:vertAlign w:val="superscript"/>
        </w:rPr>
        <w:t xml:space="preserve">44,45</w:t>
      </w:r>
      <w:r>
        <w:rPr>
          <w:rFonts w:ascii="Calibri" w:hAnsi="Calibri" w:cs="Calibri" w:eastAsia="Calibri"/>
          <w:color w:val="auto"/>
          <w:spacing w:val="0"/>
          <w:position w:val="0"/>
          <w:sz w:val="24"/>
          <w:shd w:fill="FFFF00" w:val="clear"/>
        </w:rPr>
        <w:t xml:space="preserve">) to the egg laying chamber of each QMC. To ensure that a diverse genetic pool of workers is represented in the experiment, obtain approximately equal number of worker bees from at least three colonies and mix them prior to adding them to the QMCs.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14"/>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Newly eclosed worker bees less than 1 day old cannot fly or sting due to their underdeveloped flight muscles and unhardened cuticle. If they are added at this age, there is no need to anesthetize them prior to handling. They can be weighed by gently scooping bees from the container using a small ¼ cup volume measuring cup and placing them into a second container (lined with insect barrier paint e.g., Fluon) that has been tared on a scale. The area of the frames covered by capped brood should be roughly equal to ensure that source colonies are equally represented in the QMC worker populations. Homogenization of worker bees can be achieved by brushing newly eclosed bees from frames taken from all colonies into the same container and allowing them to mix for 5 min prior to adding them to QMCs.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Add the feeders containing sucrose solution, water, and pollen supplement (See </w:t>
      </w:r>
      <w:r>
        <w:rPr>
          <w:rFonts w:ascii="Calibri" w:hAnsi="Calibri" w:cs="Calibri" w:eastAsia="Calibri"/>
          <w:b/>
          <w:color w:val="auto"/>
          <w:spacing w:val="0"/>
          <w:position w:val="0"/>
          <w:sz w:val="24"/>
          <w:shd w:fill="FFFF00" w:val="clear"/>
        </w:rPr>
        <w:t xml:space="preserve">section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8"/>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Expose the individual mated queens to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to stimulate egg laying</w:t>
      </w:r>
      <w:r>
        <w:rPr>
          <w:rFonts w:ascii="Calibri" w:hAnsi="Calibri" w:cs="Calibri" w:eastAsia="Calibri"/>
          <w:color w:val="auto"/>
          <w:spacing w:val="0"/>
          <w:position w:val="0"/>
          <w:sz w:val="24"/>
          <w:shd w:fill="FFFF00" w:val="clear"/>
          <w:vertAlign w:val="superscript"/>
        </w:rPr>
        <w:t xml:space="preserve">46</w:t>
      </w:r>
      <w:r>
        <w:rPr>
          <w:rFonts w:ascii="Calibri" w:hAnsi="Calibri" w:cs="Calibri" w:eastAsia="Calibri"/>
          <w:color w:val="auto"/>
          <w:spacing w:val="0"/>
          <w:position w:val="0"/>
          <w:sz w:val="24"/>
          <w:shd w:fill="FFFF00" w:val="clear"/>
        </w:rPr>
        <w:t xml:space="preserve"> and to ease transfer into QMC.  </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keepLines w:val="true"/>
        <w:numPr>
          <w:ilvl w:val="0"/>
          <w:numId w:val="20"/>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Use queens purchased from a commercial breeder within 48 hours of receipt. While the queen is still inside the shipping cage, place it in a clear plastic bag. Place one end of a plastic tube connected to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cannister inside the bag and gently open the cannister valve to allow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to flow.</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keepLines w:val="true"/>
        <w:numPr>
          <w:ilvl w:val="0"/>
          <w:numId w:val="22"/>
        </w:num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When the bag has been inflated with gas, simultaneously close the cannister valve and hold the bag closed to trap the gas inside. Keep the bag closed for 30 s or until the queen has stopped moving. Remove the queen and open the shipment cage once she is observed to be unconscious.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4"/>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Partially open the door to the egg laying chamber, gently place the unconscious queen inside and close the lid, taking care not to crush the queen or workers inside. Add the second egg laying plate to each QMC as shown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Place a piece of laboratory tape across the top of the two ELPs to keep them from separating from the QMC frame and prevent workers from exiting the cage.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6"/>
        </w:numPr>
        <w:spacing w:before="0" w:after="0" w:line="240"/>
        <w:ind w:right="0" w:left="666" w:hanging="576"/>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Place the cages in a dark incubator with stable environmental conditions of 34 &amp;plusmn; 0.5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and 60% &amp;plusmn; 10% relative humidity, like the conditions inside a normal colony.</w:t>
      </w:r>
    </w:p>
    <w:p>
      <w:pPr>
        <w:keepNext w:val="true"/>
        <w:numPr>
          <w:ilvl w:val="0"/>
          <w:numId w:val="26"/>
        </w:numPr>
        <w:spacing w:before="0" w:after="0" w:line="240"/>
        <w:ind w:right="0" w:left="432" w:hanging="432"/>
        <w:jc w:val="both"/>
        <w:rPr>
          <w:rFonts w:ascii="Calibri" w:hAnsi="Calibri" w:cs="Calibri" w:eastAsia="Calibri"/>
          <w:color w:val="auto"/>
          <w:spacing w:val="0"/>
          <w:position w:val="0"/>
          <w:sz w:val="24"/>
          <w:shd w:fill="auto" w:val="clear"/>
        </w:rPr>
      </w:pPr>
    </w:p>
    <w:p>
      <w:pPr>
        <w:keepNext w:val="true"/>
        <w:numPr>
          <w:ilvl w:val="0"/>
          <w:numId w:val="26"/>
        </w:numPr>
        <w:spacing w:before="0" w:after="0" w:line="240"/>
        <w:ind w:right="0" w:left="432" w:hanging="432"/>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[Place Figure 1 Here]</w:t>
      </w:r>
    </w:p>
    <w:p>
      <w:pPr>
        <w:keepNext w:val="true"/>
        <w:numPr>
          <w:ilvl w:val="0"/>
          <w:numId w:val="26"/>
        </w:numPr>
        <w:spacing w:before="240" w:after="60" w:line="240"/>
        <w:ind w:right="0" w:left="432" w:hanging="432"/>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tab/>
      </w:r>
      <w:r>
        <w:rPr>
          <w:rFonts w:ascii="Calibri" w:hAnsi="Calibri" w:cs="Calibri" w:eastAsia="Calibri"/>
          <w:b/>
          <w:color w:val="auto"/>
          <w:spacing w:val="0"/>
          <w:position w:val="0"/>
          <w:sz w:val="24"/>
          <w:shd w:fill="auto" w:val="clear"/>
        </w:rPr>
        <w:t xml:space="preserve">Preparing and administering diets laced with agrochemicals </w:t>
      </w:r>
    </w:p>
    <w:p>
      <w:pPr>
        <w:keepNext w:val="true"/>
        <w:numPr>
          <w:ilvl w:val="0"/>
          <w:numId w:val="26"/>
        </w:numPr>
        <w:spacing w:before="0" w:after="0" w:line="240"/>
        <w:ind w:right="0" w:left="666" w:hanging="576"/>
        <w:jc w:val="both"/>
        <w:rPr>
          <w:rFonts w:ascii="Calibri" w:hAnsi="Calibri" w:cs="Calibri" w:eastAsia="Calibri"/>
          <w:color w:val="auto"/>
          <w:spacing w:val="0"/>
          <w:position w:val="0"/>
          <w:sz w:val="24"/>
          <w:shd w:fill="auto" w:val="clear"/>
        </w:rPr>
      </w:pPr>
    </w:p>
    <w:p>
      <w:pPr>
        <w:keepNext w:val="true"/>
        <w:numPr>
          <w:ilvl w:val="0"/>
          <w:numId w:val="26"/>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 prepare 1000 g of 50% (g/g) sucrose solution, place a stir bar in the bottom of a clean 1 L glass reagent bottle.  Add 500 g sucrose and 500 mL of deionized water. Unscrew the lid of the bottle and use a heated stir plate set to low heat to mix the solution until all the sucrose has dissolved. Allow the solution to cool to room temperature before adding the agrochemical stock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1"/>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Prepare the stock solutions of agrochemicals in an appropriate solvent, such as acetone, at a concentration that can be added to diet to achieve the desired final concentration of the agrochemical of interest.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33"/>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acetone as a vehicle solvent, the Organization for Economic Cooperation and Development (OECD) guidelines stipulate that the final concentration of acetone in diet must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for chronic oral toxicity tests on adult honey bees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some solvents such as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-methyl-2-pyrrolidone</w:t>
      </w:r>
      <w:r>
        <w:rPr>
          <w:rFonts w:ascii="Calibri" w:hAnsi="Calibri" w:cs="Calibri" w:eastAsia="Calibri"/>
          <w:color w:val="auto"/>
          <w:spacing w:val="0"/>
          <w:position w:val="0"/>
          <w:sz w:val="24"/>
          <w:shd w:fill="auto" w:val="clear"/>
          <w:vertAlign w:val="superscript"/>
        </w:rPr>
        <w:t xml:space="preserve">5,31</w:t>
      </w:r>
      <w:r>
        <w:rPr>
          <w:rFonts w:ascii="Calibri" w:hAnsi="Calibri" w:cs="Calibri" w:eastAsia="Calibri"/>
          <w:color w:val="auto"/>
          <w:spacing w:val="0"/>
          <w:position w:val="0"/>
          <w:sz w:val="24"/>
          <w:shd w:fill="auto" w:val="clear"/>
        </w:rPr>
        <w:t xml:space="preserve"> and dimethyl sulfoxide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can exert toxic effects below this concentration, so it is recommended to keep solvent concentrations as low as possible in treatment diet. Depending on the volume and type of solvent used, it may be necessary to include both a solvent control group and a negative control group to ensure that potential effects due to solvent toxicity are detected. When using formulated products, the amount of the product used must be adjusted based on the concentration present in the formulation. Depending on the stability of the agrochemical of interest in the solvent, stock solutions can be kept for up to 2 weeks at -20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5"/>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Select sublethal doses based on the results of OECD Test No. 245: Honey Bee (</w:t>
      </w:r>
      <w:r>
        <w:rPr>
          <w:rFonts w:ascii="Calibri" w:hAnsi="Calibri" w:cs="Calibri" w:eastAsia="Calibri"/>
          <w:i/>
          <w:color w:val="auto"/>
          <w:spacing w:val="0"/>
          <w:position w:val="0"/>
          <w:sz w:val="24"/>
          <w:shd w:fill="auto" w:val="clear"/>
        </w:rPr>
        <w:t xml:space="preserve">Apis mellifera L.</w:t>
      </w:r>
      <w:r>
        <w:rPr>
          <w:rFonts w:ascii="Calibri" w:hAnsi="Calibri" w:cs="Calibri" w:eastAsia="Calibri"/>
          <w:color w:val="auto"/>
          <w:spacing w:val="0"/>
          <w:position w:val="0"/>
          <w:sz w:val="24"/>
          <w:shd w:fill="auto" w:val="clear"/>
        </w:rPr>
        <w:t xml:space="preserve">), Chronic Oral Toxicity Test (10-Day Feeding)</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identify the relevant literature by querying the Ecotox knowledgebase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7"/>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Administer the agrochemical treatments  in a sucrose solution, a commercial pollen supplement (if available as a powder), or both. Prepare the experimental diet for use the same day by adding an appropriate amount of stock solution to chilled/room temperature 50% sucrose solution (w/w). Mix thoroughly by vortexing or with a stir bar set to medium speed. For pollen supplements, add the agrochemical laced sucrose solution to the powdered supplement instead of the syrup according to manufacturer protocols, making sure to adjust the volume of stock solution used according to the final weight of the pollen diet.</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example calculations.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9"/>
        </w:numPr>
        <w:spacing w:before="0" w:after="0" w:line="240"/>
        <w:ind w:right="0" w:left="666" w:hanging="576"/>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Prepare the feeder tubes from 2 mL microcentrifuge tubes.</w:t>
      </w:r>
    </w:p>
    <w:p>
      <w:pPr>
        <w:keepNext w:val="true"/>
        <w:keepLines w:val="true"/>
        <w:numPr>
          <w:ilvl w:val="0"/>
          <w:numId w:val="39"/>
        </w:numPr>
        <w:spacing w:before="200" w:after="0" w:line="240"/>
        <w:ind w:right="0" w:left="720" w:hanging="720"/>
        <w:jc w:val="both"/>
        <w:rPr>
          <w:rFonts w:ascii="Calibri" w:hAnsi="Calibri" w:cs="Calibri" w:eastAsia="Calibri"/>
          <w:b/>
          <w:color w:val="4F81BD"/>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For liquid diet feeders, heat the tip of a 20-gauge needle on a hot plate/stovetop and puncture the bottom of the tube twice. Close the tube lid and pipette approximately 1.5 mL of sucrose solution or water through one of the puncture holes. Set the tube down with the punctured side up until it is added to the QMC.</w:t>
      </w:r>
    </w:p>
    <w:p>
      <w:pPr>
        <w:keepNext w:val="true"/>
        <w:keepLines w:val="true"/>
        <w:numPr>
          <w:ilvl w:val="0"/>
          <w:numId w:val="39"/>
        </w:numPr>
        <w:spacing w:before="20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For pollen supplement feeders, use a razor blade to slice off the bottom of the tube. Close the lid and a push a 1-2 g ball of pollen supplement into the tube until it touches the lid.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2"/>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Record the feeder weights prior to placing them in the QMCs. </w:t>
      </w:r>
      <w:r>
        <w:rPr>
          <w:rFonts w:ascii="Calibri" w:hAnsi="Calibri" w:cs="Calibri" w:eastAsia="Calibri"/>
          <w:color w:val="auto"/>
          <w:spacing w:val="0"/>
          <w:position w:val="0"/>
          <w:sz w:val="24"/>
          <w:shd w:fill="auto" w:val="clear"/>
        </w:rPr>
        <w:t xml:space="preserve">Do not keep unused diet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over 48 hours.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4"/>
        </w:numPr>
        <w:spacing w:before="24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6"/>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Monitoring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Egg Production Rate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8"/>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Quantify the egg laying 1 to 2 times per day in the morning and/or evening. Begin by removing QMCs from the incubator to check for eggs.  </w:t>
      </w:r>
    </w:p>
    <w:p>
      <w:pPr>
        <w:keepNext w:val="true"/>
        <w:numPr>
          <w:ilvl w:val="0"/>
          <w:numId w:val="48"/>
        </w:numPr>
        <w:spacing w:before="0" w:after="0" w:line="240"/>
        <w:ind w:right="0" w:left="666" w:hanging="576"/>
        <w:jc w:val="both"/>
        <w:rPr>
          <w:rFonts w:ascii="Calibri" w:hAnsi="Calibri" w:cs="Calibri" w:eastAsia="Calibri"/>
          <w:color w:val="auto"/>
          <w:spacing w:val="0"/>
          <w:position w:val="0"/>
          <w:sz w:val="24"/>
          <w:shd w:fill="FFFF00" w:val="clear"/>
        </w:rPr>
      </w:pPr>
    </w:p>
    <w:p>
      <w:pPr>
        <w:keepNext w:val="true"/>
        <w:numPr>
          <w:ilvl w:val="0"/>
          <w:numId w:val="48"/>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successful experiment, egg production will commence in most of the control QMCs within 3 days of initial cage assembly. Only take as many QMCs out of the incubator at one time that can be checked and fed within 10 min. Longer periods outside the incubator may disrupt egg production.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0"/>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Examine the backs of the clear ELPs for eggs. If eggs are present, remove the door panel in front of the plate of interest. Remove the tape from across the ELPs and carefully slide the door panel between the ELP and the bees inside the QMC, taking care not to crush any bees that might be cleaning the cells in the ELPs.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2"/>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With the door panel in place, remove the ELP, and count and record the number of eggs inside the ELP cells. Remove the eggs by tapping the edge of the ELP, open cell-side down, on a hard surface (such as the lip of a waste receptacle). Once the eggs fall out, replace the empty ELP in the QMC. Gently remove and replace the door panel behind the ELP on the outside of the QMC. Repeat as necessary with the second ELP and replace the tape across the QMC when finished.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4"/>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Egg production generally declines and mortality increases in QMCs after 2 weeks</w:t>
      </w:r>
      <w:r>
        <w:rPr>
          <w:rFonts w:ascii="Calibri" w:hAnsi="Calibri" w:cs="Calibri" w:eastAsia="Calibri"/>
          <w:color w:val="auto"/>
          <w:spacing w:val="0"/>
          <w:position w:val="0"/>
          <w:sz w:val="24"/>
          <w:shd w:fill="auto" w:val="clear"/>
          <w:vertAlign w:val="superscript"/>
        </w:rPr>
        <w:t xml:space="preserve">32, 33</w:t>
      </w:r>
      <w:r>
        <w:rPr>
          <w:rFonts w:ascii="Calibri" w:hAnsi="Calibri" w:cs="Calibri" w:eastAsia="Calibri"/>
          <w:color w:val="auto"/>
          <w:spacing w:val="0"/>
          <w:position w:val="0"/>
          <w:sz w:val="24"/>
          <w:shd w:fill="auto" w:val="clear"/>
        </w:rPr>
        <w:t xml:space="preserve">, therefore it is recommended to conclude experiments after 14 days.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6"/>
        </w:numPr>
        <w:spacing w:before="0" w:after="6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Monitoring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Food Consumption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8"/>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Replace all the food remaining in QMC feeders with freshly prepared diet every two days. Prepare new feeder tubes (including water) and weigh them before removing QMCs from the incubator for monitoring. Swap all old tubes with new ones and weigh old tubes before disposing of unconsumed diet. Compare the final weight of the feeder tube and unconsumed diet to the weight of the same feeder tube prior to placing it in the QMC to estimate diet consumption.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0"/>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Between days when feeders are scheduled to be replaced, check diet consumption once per day (at the same time when QMCs are monitored for egg production) to ensure that feeders are never empty. If a feeder tube is empty or near empty, remove it, refill it, record the weight of the tube before and after and add the difference to the 2-day diet consumption total for the QMC.</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2"/>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Monitoring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Embryo Viability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4"/>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At a selected point during a QMC experiment, remove ELPs containing freshly laid eggs from the QMC according to </w:t>
      </w:r>
      <w:r>
        <w:rPr>
          <w:rFonts w:ascii="Calibri" w:hAnsi="Calibri" w:cs="Calibri" w:eastAsia="Calibri"/>
          <w:b/>
          <w:color w:val="auto"/>
          <w:spacing w:val="0"/>
          <w:position w:val="0"/>
          <w:sz w:val="24"/>
          <w:shd w:fill="FFFF00" w:val="clear"/>
        </w:rPr>
        <w:t xml:space="preserve">step 3</w:t>
      </w:r>
      <w:r>
        <w:rPr>
          <w:rFonts w:ascii="Calibri" w:hAnsi="Calibri" w:cs="Calibri" w:eastAsia="Calibri"/>
          <w:color w:val="auto"/>
          <w:spacing w:val="0"/>
          <w:position w:val="0"/>
          <w:sz w:val="24"/>
          <w:shd w:fill="FFFF00" w:val="clear"/>
        </w:rPr>
        <w:t xml:space="preserve">, but do not dislodge eggs from the ELP.</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6"/>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Cover the ELP with a universal microplate lid and place it inside a desiccator with a saturated K</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(150 g K</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 </w:t>
      </w:r>
      <w:r>
        <w:rPr>
          <w:rFonts w:ascii="Calibri" w:hAnsi="Calibri" w:cs="Calibri" w:eastAsia="Calibri"/>
          <w:color w:val="auto"/>
          <w:spacing w:val="0"/>
          <w:position w:val="0"/>
          <w:sz w:val="24"/>
          <w:shd w:fill="FFFF00" w:val="clear"/>
        </w:rPr>
        <w:t xml:space="preserve">in 1 L of water, kept in a shallow dish).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8"/>
        </w:num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salt should be visible on the bottom of the dish after the mixture comes to temperature in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0"/>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Keep the desiccator in an incubator set to 34.5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resulting in a relative humidity of 95% inside the desiccator, similar to the conditions  used by Collins</w:t>
      </w:r>
      <w:r>
        <w:rPr>
          <w:rFonts w:ascii="Calibri" w:hAnsi="Calibri" w:cs="Calibri" w:eastAsia="Calibri"/>
          <w:color w:val="auto"/>
          <w:spacing w:val="0"/>
          <w:position w:val="0"/>
          <w:sz w:val="24"/>
          <w:shd w:fill="FFFF00" w:val="clear"/>
          <w:vertAlign w:val="superscript"/>
        </w:rPr>
        <w:t xml:space="preserve">49</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2"/>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Almost all eggs will hatch within 72 &amp;plusmn; 6 hours of when they were laid</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hence hatching rates can be assessed as early as 78 hours after the ELPs were removed from the QMC. A “C” shape larva in the bottom of the cell is indicative of a successful hatching event. Some variation in this timing is possible if, for example, the eggs are drones and not workers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4"/>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Worker Sampling</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6"/>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If the QMCs have been populated with excess workers, sample the worker bees at a selected time point during the experiment for assessment of treatment induced changes in their physiology. Perform the collections in conjunction with daily feeding and egg counting activities to minimize the time for which the QMCs are outside of the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8"/>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Before sampling, place a door panel between an ELP and the interior of the QMC, and remove the ELP. Carefully lift the door panel approximately 0.5 cm from the base of the cage and remove a worker bee from inside the QMC using featherweight tweezers. To prevent bees from escaping, cover portions of the 0.5 cm opening with a gloved finger or piece of cotton as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0"/>
        </w:numPr>
        <w:spacing w:before="0" w:after="0" w:line="240"/>
        <w:ind w:right="0" w:left="66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Preserve the collected bee for follow-up analysis and repeat this process until the desired number of samples have been collected. For gene expression analysis, snap freezing bees in liquid nitrogen and immediate storage at -80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is strongly recommended</w:t>
      </w:r>
      <w:r>
        <w:rPr>
          <w:rFonts w:ascii="Calibri" w:hAnsi="Calibri" w:cs="Calibri" w:eastAsia="Calibri"/>
          <w:color w:val="auto"/>
          <w:spacing w:val="0"/>
          <w:position w:val="0"/>
          <w:sz w:val="24"/>
          <w:shd w:fill="FFFF00" w:val="clear"/>
          <w:vertAlign w:val="superscript"/>
        </w:rPr>
        <w:t xml:space="preserve">51</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numPr>
          <w:ilvl w:val="0"/>
          <w:numId w:val="82"/>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Worker Mortality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4"/>
        </w:numPr>
        <w:spacing w:before="0" w:after="0" w:line="240"/>
        <w:ind w:right="0" w:left="666" w:hanging="576"/>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Assess worker mortality during the experiment by counting the number of dead bees at the bottom of the feeding chamber and the egg laying chamber. Perform this assessment in conjunction with daily egg laying quantification.</w:t>
      </w:r>
    </w:p>
    <w:p>
      <w:pPr>
        <w:keepNext w:val="true"/>
        <w:numPr>
          <w:ilvl w:val="0"/>
          <w:numId w:val="84"/>
        </w:numPr>
        <w:spacing w:before="0" w:after="0" w:line="240"/>
        <w:ind w:right="0" w:left="666" w:hanging="576"/>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numPr>
          <w:ilvl w:val="0"/>
          <w:numId w:val="84"/>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Using forceps, carefully remove the dead bees through the feeder holes, covering the hole with a gloved finger or piece of cotton while the forceps are not inserted.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6"/>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Remove the dead bees from the egg laying chamber by carefully lifting the door panel approximately 0.5 cm from the base of the cage and inserting forceps. To prevent bees from escaping, cover portions of the 0.5 cm opening with a gloved finger or piece of cotton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8"/>
        </w:numPr>
        <w:spacing w:before="0" w:after="0" w:line="240"/>
        <w:ind w:right="0" w:left="66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Assess the worker mortality at the conclusion of the experiment by removing and counting all the dead bees from the QMCs using the previously described methods prior to euthanizing the remaining bees.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0"/>
        </w:numPr>
        <w:spacing w:before="0" w:after="0" w:line="240"/>
        <w:ind w:right="0" w:left="666" w:hanging="576"/>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absence of worker bees, queens will not produce eggs and will starve within 24 hours. Therefore, if all the workers in a QMC are observed to be dead, the QMC should be removed from the experiment. Likewise, if a queen dies during the experiment, the QMC should be removed, and the data should be appropriately censored.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egg production was monitored in QMCs assembled and maintained as described above with once daily observations of egg production and 15 cages per treatment group. Newly mated queens of primarily Carniolan stock were purchased and shipped overnight from a queen breeder, and honey bee workers were obtained from 3 colonies maintained according to standard commercial methods at the bee research facility at the University of Illinois Urbana-Champaign. Here, 4 dietary treatment groups were used: 1) 50 ppb (g/g) imidacloprid in sucrose solution and pollen supplement (50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2) 10 ppb imidacloprid in sucrose solution and pollen supplement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3) 10 ppb imidacloprid in pollen supplement alone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 and 4) a control group given diet containing an equivalent volume of acetone as the treatment groups (CTRL).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Treatment-related changes in daily egg counts were evaluated as described in Fine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with minor modifications. Briefly, a Poisson log-linear GEE with an auto-regressive (AR-1) correlation matrix structure was implemented to assess treatment related changes in egg production over time. Here, time (day) was treated as a continuous variable and treatment was categorical. Wald chi-square post hoc tests were used to determine significance. Because no egg laying was observed on day 1 of the experiment, this day was excluded from analysis to conform to the assumptions of the GEE. The results of this analysis are shown in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Daily egg production was significantly lower in QMCs in the 50 ppb p+s treatment group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=43.99, p</w:t>
      </w:r>
      <w:r>
        <w:rPr>
          <w:rFonts w:ascii="Calibri" w:hAnsi="Calibri" w:cs="Calibri" w:eastAsia="Calibri"/>
          <w:color w:val="000000"/>
          <w:spacing w:val="0"/>
          <w:position w:val="0"/>
          <w:sz w:val="24"/>
          <w:shd w:fill="auto" w:val="clear"/>
        </w:rPr>
        <w:t xml:space="preserve">&amp;lt;0.001;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the total number of eggs produced in QMCs by treatment were analyzed using a one-way ANOVA and Tukey HSD post hoc test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this analysis, any QMC removed from the experiment before the end of the 14-day monitoring period due to queen or worker death was excluded, resulting in N=13 each for the CTRL and the 50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groups, N=14 for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 and N=15 for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A dose dependent effect was observed for treatments administered in both sucrose and pollen, with the largest reduction in egg production relative to control observed in 50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followed by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No difference in total eggs produced was observed between CTRL and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 (F</w:t>
      </w:r>
      <w:r>
        <w:rPr>
          <w:rFonts w:ascii="Calibri" w:hAnsi="Calibri" w:cs="Calibri" w:eastAsia="Calibri"/>
          <w:color w:val="auto"/>
          <w:spacing w:val="0"/>
          <w:position w:val="0"/>
          <w:sz w:val="24"/>
          <w:shd w:fill="auto" w:val="clear"/>
          <w:vertAlign w:val="subscript"/>
        </w:rPr>
        <w:t xml:space="preserve">3, 52</w:t>
      </w:r>
      <w:r>
        <w:rPr>
          <w:rFonts w:ascii="Calibri" w:hAnsi="Calibri" w:cs="Calibri" w:eastAsia="Calibri"/>
          <w:color w:val="auto"/>
          <w:spacing w:val="0"/>
          <w:position w:val="0"/>
          <w:sz w:val="24"/>
          <w:shd w:fill="auto" w:val="clear"/>
        </w:rPr>
        <w:t xml:space="preserve">=17.95, p</w:t>
      </w:r>
      <w:r>
        <w:rPr>
          <w:rFonts w:ascii="Calibri" w:hAnsi="Calibri" w:cs="Calibri" w:eastAsia="Calibri"/>
          <w:color w:val="000000"/>
          <w:spacing w:val="0"/>
          <w:position w:val="0"/>
          <w:sz w:val="24"/>
          <w:shd w:fill="auto" w:val="clear"/>
        </w:rPr>
        <w:t xml:space="preserve">&amp;lt;0.001, Tukey HSD)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Consumption of pollen supplement and water was recorded every 48 hours for 10 days, and consumption of sucrose solution was recorded every 48 hours for 12 days. Changes in diet consumption rates were evaluated using Gaussian distributed GEEs with the same parameters as described above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Results are summarized in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Briefly, daily rates of sucrose consumption significantly increased as the experiment progressed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=6.03, p=0.014), but rates of pollen supplement consumption decreased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=174.98, p</w:t>
      </w:r>
      <w:r>
        <w:rPr>
          <w:rFonts w:ascii="Calibri" w:hAnsi="Calibri" w:cs="Calibri" w:eastAsia="Calibri"/>
          <w:color w:val="000000"/>
          <w:spacing w:val="0"/>
          <w:position w:val="0"/>
          <w:sz w:val="24"/>
          <w:shd w:fill="auto" w:val="clear"/>
        </w:rPr>
        <w:t xml:space="preserve">&amp;lt;0.001</w:t>
      </w:r>
      <w:r>
        <w:rPr>
          <w:rFonts w:ascii="Calibri" w:hAnsi="Calibri" w:cs="Calibri" w:eastAsia="Calibri"/>
          <w:color w:val="auto"/>
          <w:spacing w:val="0"/>
          <w:position w:val="0"/>
          <w:sz w:val="24"/>
          <w:shd w:fill="auto" w:val="clear"/>
        </w:rPr>
        <w:t xml:space="preserve">). Significantly higher rates of pollen consumption were observed when imidacloprid was administered at 10 ppb in pollen supplement alone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=21.44, p</w:t>
      </w:r>
      <w:r>
        <w:rPr>
          <w:rFonts w:ascii="Calibri" w:hAnsi="Calibri" w:cs="Calibri" w:eastAsia="Calibri"/>
          <w:color w:val="000000"/>
          <w:spacing w:val="0"/>
          <w:position w:val="0"/>
          <w:sz w:val="24"/>
          <w:shd w:fill="auto" w:val="clear"/>
        </w:rPr>
        <w:t xml:space="preserve">&amp;lt;0.001</w:t>
      </w:r>
      <w:r>
        <w:rPr>
          <w:rFonts w:ascii="Calibri" w:hAnsi="Calibri" w:cs="Calibri" w:eastAsia="Calibri"/>
          <w:color w:val="auto"/>
          <w:spacing w:val="0"/>
          <w:position w:val="0"/>
          <w:sz w:val="24"/>
          <w:shd w:fill="auto" w:val="clear"/>
        </w:rPr>
        <w:t xml:space="preserve">) and significantly decreased when it was administered at either 10 or 50 ppb in pollen supplement and sucrose solution together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=6.59, p</w:t>
      </w:r>
      <w:r>
        <w:rPr>
          <w:rFonts w:ascii="Calibri" w:hAnsi="Calibri" w:cs="Calibri" w:eastAsia="Calibri"/>
          <w:color w:val="000000"/>
          <w:spacing w:val="0"/>
          <w:position w:val="0"/>
          <w:sz w:val="24"/>
          <w:shd w:fill="auto" w:val="clear"/>
        </w:rPr>
        <w:t xml:space="preserve">=0.010; </w:t>
      </w:r>
      <w:r>
        <w:rPr>
          <w:rFonts w:ascii="Calibri" w:hAnsi="Calibri" w:cs="Calibri" w:eastAsia="Calibri"/>
          <w:color w:val="auto"/>
          <w:spacing w:val="0"/>
          <w:position w:val="0"/>
          <w:sz w:val="24"/>
          <w:shd w:fill="auto" w:val="clear"/>
        </w:rPr>
        <w:t xml:space="preserve">50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=14.47, p</w:t>
      </w:r>
      <w:r>
        <w:rPr>
          <w:rFonts w:ascii="Calibri" w:hAnsi="Calibri" w:cs="Calibri" w:eastAsia="Calibri"/>
          <w:color w:val="000000"/>
          <w:spacing w:val="0"/>
          <w:position w:val="0"/>
          <w:sz w:val="24"/>
          <w:shd w:fill="auto" w:val="clear"/>
        </w:rPr>
        <w:t xml:space="preserve">=0.0001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Eggs were collected from QMCs on day 7 of the experiment, and changes in the number of eggs hatching successfully following maternal exposure to agrochemical treatments was assessed using a generalized linear mixed model (GMLR) with a binomial distribution and QMC identity treated as a random effect. Maternal exposure to imidacloprid administered at 10 ppb in pollen alone or in pollen and sucrose solution did not affect egg hatching rates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p+s: Z=-0.139, p=0.290; 10 ppb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 Z=0.182, p=0.856). Hatching rates could not be assessed for eggs laid by queens in QMCs provisioned with 50 ppb imidacloprid laced diet due to low rates of egg production in this treatment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work, all statistical analysis was performed in R Studio 1.2.5003 (Boston, MA, USA).  Figures were prepared using JMP Pro 15 and Photoshop CC 2019 (Adobe Inc., San Jose, CA).  Data are available in </w:t>
      </w:r>
      <w:r>
        <w:rPr>
          <w:rFonts w:ascii="Calibri" w:hAnsi="Calibri" w:cs="Calibri" w:eastAsia="Calibri"/>
          <w:b/>
          <w:color w:val="auto"/>
          <w:spacing w:val="0"/>
          <w:position w:val="0"/>
          <w:sz w:val="24"/>
          <w:shd w:fill="auto" w:val="clear"/>
        </w:rPr>
        <w:t xml:space="preserve">Supplementary file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w:t>
      </w:r>
      <w:r>
        <w:rPr>
          <w:rFonts w:ascii="Calibri" w:hAnsi="Calibri" w:cs="Calibri" w:eastAsia="Calibri"/>
          <w:color w:val="auto"/>
          <w:spacing w:val="0"/>
          <w:position w:val="0"/>
          <w:sz w:val="24"/>
          <w:shd w:fill="auto" w:val="clear"/>
        </w:rPr>
        <w:t xml:space="preserve">  Disassembled QMC.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Partially assembled QMC with 1 ELP inserted.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Fully assembled QMC with 2 ELPs.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w:t>
      </w:r>
      <w:r>
        <w:rPr>
          <w:rFonts w:ascii="Calibri" w:hAnsi="Calibri" w:cs="Calibri" w:eastAsia="Calibri"/>
          <w:color w:val="auto"/>
          <w:spacing w:val="0"/>
          <w:position w:val="0"/>
          <w:sz w:val="24"/>
          <w:shd w:fill="auto" w:val="clear"/>
        </w:rPr>
        <w:t xml:space="preserve"> Average &amp;plusmn; SE eggs per day in QMCs.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&amp;plusmn; SE pollen supplement,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sucrose solution,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water (g) consumed during 48-hour periods in QMCs.  Significance of treatments (indicated by “*”) determined by GEE and Wald chi-square post hoc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Average &amp;plusmn; SE sum of eggs laid by treatment during experiment.  Significance (indicated by letters) determined by ANOVA and Tukey HSD post hoc test.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recipes for treated sucrose solution, pollen supplement, and stock solution.</w:t>
      </w:r>
      <w:r>
        <w:rPr>
          <w:rFonts w:ascii="Calibri" w:hAnsi="Calibri" w:cs="Calibri" w:eastAsia="Calibri"/>
          <w:color w:val="auto"/>
          <w:spacing w:val="0"/>
          <w:position w:val="0"/>
          <w:sz w:val="24"/>
          <w:shd w:fill="auto" w:val="clear"/>
        </w:rPr>
        <w:t xml:space="preserve">  *Volume based on the density of 50% (w/w) sucrose solution (1.228 g/mL).  **The density of the pollen supplement will vary depending on what product is used, but if this solvent volume is used, the final solvent concentration in pollen supplement will be within the desired range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by volume.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of GEEs analyzing changes in egg laying rates and diet consumption in QMCs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fecundity of female solitary insects as well as queens in eusocial insect colonies can be influenced by abiotic stressors such as agrochemicals</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rPr>
        <w:t xml:space="preserve">.  In honey bees, the effects of agrochemicals on queens may be indirect, as they can occur via changes in their care and feeding by worker bees.  Our representative results, which are similar to those reported in a field-based study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demonstrate that the effects of agrochemicals on queen performance can be measured efficiently in a laboratory environment using QMCs, generating comparable results to field-based approaches.  Furthermore, these results shed light on the influence of imidacloprid on worker diet consumption and on egg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Imidacloprid had clear negative effects on egg production when it was administered in sucrose solution and pollen supplement together. This is similar to results reported using observation hives provisioned with imidacloprid laced syrup and permitted to forage freely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here, a dose-dependent response was observed, with the most pronounced effect seen in QMCs provisioned with 50 ppb imidacloprid relative to the lower concentration. Unlike what was reported for field colonies, this group experienced a near cessation of egg production. It should be noted that all concentrations including 50 ppb used in this work are higher than pollen and nectar residues typically observed when imidacloprid is applied as a seed treatment and are more representative of residues found following soil applications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Examples of relevant plants include cucurbits and ornamentals found in urban landscapes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therefore, these results should be interpreted in this context. Additionally, the differences observed between these results and those generated using field colonies, where results were not as pronounced, even in the highest treatment groups, suggest that like other laboratory-based assays, QMCs may be more sensitive than using full sized colonies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which should be considered when interpreting the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reported work examining oviposition with exposure to insect growth regulators (IGR) in QMCs did not find that IGRs cause reductions in queen egg laying rates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demonstrating that disruption of egg production is not a uniform stress response. Although field level assessments using full-sized colonies may provide a more holistic view of the effects of agrochemicals on colony health, these findings suggests that QMCs have the potential to be used as a tool to identify chemicals like imidacloprid that may affect honey bee queen oviposition. When used in the context of a broad risk assessment strategy accounting for use patterns, exposure patterns, and effects on other metrics of honey bee health, egg production data generated by QMCs may yield a more comprehensive understanding of the potential effects of an agrochemical on honey bee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generating quantitative oviposition data, QMCs can be used to assess patterns in worker diet consumption and changes in physiology.  Here, it was shown that 10 ppb imidacloprid in pollen diet alone stimulates pollen supplement consumption in workers in the presence of a mated queen. This effect was not observed in other dietary treatments when QMCs were provisioned with imidacloprid in both pollen supplement and sucrose solution, even at the same concentration. It should be noted that more precise estimates of consumption rate can be obtained by tracking mortality and adjusting measures of diet consumption based on the exact number of bees remaining in the QMCs, but if mortality is consistently low across treatments, some comparisons can be made. The discrepancy between treatments in the consumption of pollen diet containing the same concentration of imidacloprid may be related to the difference in the higher total dose administered to bees when imidacloprid is present in both sucrose and pollen supplement compared to when it is present in pollen supplement alone.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low levels, there is evidence that honey bees prefer food sources containing neonicotinoid pesticides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they have been reported to exhibit a similar preference for floral resources containing nicotine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It has been suggested that these preferences may be due to the neuro-stimulative properties of nicotine and neonicotinoids, which activate nicotinic acetylcholinesterase receptors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expressed in parts of the honey bee brain involved in learning and memory</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In spider mites, imidacloprid stimulates diet consumption, resulting in increased oviposition and fecundity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imidacloprid-related increases in pollen supplement consumption were not related to increases in oviposition, and the effects of imidacloprid on worker physiology in this work remain to be explored. However, understanding how much of an agrochemical-laced diet bees inside a colony are likely to consume, particularly workers that require more pollen in their diet to actively provision a laying queen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can help inform the risk of an agrochemical to various aspects of colony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Imidacloprid did not cause any measurable changes in embryo viability, as measured by hatching rates in eggs collected from QMCs provisioned with 10 ppb imidacloprid in pollen supplement alone or in both pollen supplement and sucrose solution. This differs from the decreases in egg hatching rates reported following IGR exposure in QMCs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demonstrating again that QMCs can be used to identify specific and diverse aspects of queen fecundity. Imidacloprid is highly water soluble and is likely metabolized and excreted by bees differently than more fat-soluble agrochemicals like IGRs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which may be transovarially eliminated</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to some extent, resulting in effects on embryo development. Alternatively, imidacloprid, which is a neurotoxin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may not affect developing embryos in the same manner as IGRs, which target pathways associated with insect development</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question commonly asked by researchers seeking to understand the effects of agrochemicals on honey bee reproduction is whether adult queens, who rely on workers to provision her with glandular secretions as food</w:t>
      </w:r>
      <w:r>
        <w:rPr>
          <w:rFonts w:ascii="Calibri" w:hAnsi="Calibri" w:cs="Calibri" w:eastAsia="Calibri"/>
          <w:color w:val="auto"/>
          <w:spacing w:val="0"/>
          <w:position w:val="0"/>
          <w:sz w:val="24"/>
          <w:shd w:fill="auto" w:val="clear"/>
          <w:vertAlign w:val="superscript"/>
        </w:rPr>
        <w:t xml:space="preserve">9, 63</w:t>
      </w:r>
      <w:r>
        <w:rPr>
          <w:rFonts w:ascii="Calibri" w:hAnsi="Calibri" w:cs="Calibri" w:eastAsia="Calibri"/>
          <w:color w:val="auto"/>
          <w:spacing w:val="0"/>
          <w:position w:val="0"/>
          <w:sz w:val="24"/>
          <w:shd w:fill="auto" w:val="clear"/>
        </w:rPr>
        <w:t xml:space="preserve">, are directly exposed to agrochemical residues.  This was not explored and is not represented in the results reported here. However, agrochemical residues in worker glandular secretions are typically greatly reduced relative to what workers are provisioned with in controlled colony feeding scenarios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Similarly, when full-sized colonies were exposed to concentrations of imidacloprid that resulted in decreased oviposition, no residues were detected in queens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suggesting that the changes in oviposition rates observed in the referenced work were due to direct exposure to trace amounts that were readily excreted, or that the observed effects on queens were due to effects of imidacloprid on the workers responsible for caring for and provisioning the queen. The method presented here allows for the sampling of worker bees known to have ingested the treated diet from adult eclosion to the time of sampling. Follow-up work examining the effects of imidacloprid on the physiology of worker bees sampled from the described experiment will help to elucidate this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methods presented here will allow researchers to better assess the risk of agrochemicals to honey bees by evaluating endpoints related to the fecundity, survival, and development of honey bees. The described technique has the potential to greatly enhance agrochemical risk assessment by generating quantitative data pertaining to queen fecundity that can be difficult and resource intensive to acquire using field and semi-field experiments.  Additionally, the presence of a laying queen adds realism to experiments performed on young workers, which are typically the members of the colony responsible for the care and feeding of the queen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Using this technique, the risks of agrochemicals on honey bee colony health, longevity, and performance can be better predicted and mitigated.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 you to Dr. Amy Cash-Ahmed, Nathanael J. Beach, and Alison L. Sankey for their assistance in carrying out this work.  Mention of trade names or commercial products in this publication is solely for the purpose of providing specific information and does not imply recommendation 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endorsement by the U.S. Department of Agriculture.  USDA is an equal opportunity provider and employer.  This research was supported by a grant from the Defense Advanced Research Projects Agency # HR0011-16-2-0019 to Gene E. Robinson and Huimin Zhao, USDA project 2030-21000-001-00-D, and the Phenotypic Plasticity Research Experience for Community College Students at the University of Illinois at Urbana Champaign.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Hedlund, J., Longo, S.B., York, R. Agriculture, pesticide use, and economic development: A global examination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w:t>
      </w:r>
      <w:r>
        <w:rPr>
          <w:rFonts w:ascii="Calibri" w:hAnsi="Calibri" w:cs="Calibri" w:eastAsia="Calibri"/>
          <w:i/>
          <w:color w:val="auto"/>
          <w:spacing w:val="0"/>
          <w:position w:val="0"/>
          <w:sz w:val="24"/>
          <w:shd w:fill="auto" w:val="clear"/>
        </w:rPr>
        <w:t xml:space="preserve">Rural Sociology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(2020).</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Calderone, N.W. Insect pollinated crops, insect pollinators and US agriculture: Trend analysis of aggregate data for the period 1992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e37235 (2012).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Johnson, R.M., Ellis, M.D., Mullin, C.A., Frazier, M. Pesticides and honey bee toxicity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USA.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(2010).</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Walsh, E.M., Sweet, S., Knap, A., Ing, N., Rangel, J. Queen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pheromone and reproductive behavior are affected by pesticide exposure during development. </w:t>
      </w:r>
      <w:r>
        <w:rPr>
          <w:rFonts w:ascii="Calibri" w:hAnsi="Calibri" w:cs="Calibri" w:eastAsia="Calibri"/>
          <w:i/>
          <w:color w:val="auto"/>
          <w:spacing w:val="0"/>
          <w:position w:val="0"/>
          <w:sz w:val="24"/>
          <w:shd w:fill="auto" w:val="clear"/>
        </w:rPr>
        <w:t xml:space="preserve">Behavioral Ecology and Sociobiology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33 (2020).</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Zhu, W., Schmehl, D.R., Mullin, C.A., Frazier, J.L. Four Common Pesticides, Their Mixtures and a Formulation Solvent in the Hive Environment Have High Oral Toxicity to Honey Bee Larvae.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e77547 (2014).</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Fisher, A., Rangel, J. Exposure to pesticides during development negatively affects honey bee (Apis mellifera) drone sperm viability.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w:t>
      </w:r>
      <w:r>
        <w:rPr>
          <w:rFonts w:ascii="Helvetica" w:hAnsi="Helvetica" w:cs="Helvetica" w:eastAsia="Helvetica"/>
          <w:color w:val="202020"/>
          <w:spacing w:val="0"/>
          <w:position w:val="0"/>
          <w:sz w:val="20"/>
          <w:shd w:fill="FFFFFF" w:val="clear"/>
        </w:rPr>
        <w:t xml:space="preserve">e0208630 </w:t>
      </w:r>
      <w:r>
        <w:rPr>
          <w:rFonts w:ascii="Calibri" w:hAnsi="Calibri" w:cs="Calibri" w:eastAsia="Calibri"/>
          <w:color w:val="auto"/>
          <w:spacing w:val="0"/>
          <w:position w:val="0"/>
          <w:sz w:val="24"/>
          <w:shd w:fill="auto" w:val="clear"/>
        </w:rPr>
        <w:t xml:space="preserve">(2018).</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US EPA, O. How we assess risks to pollinators. </w:t>
      </w:r>
      <w:r>
        <w:rPr>
          <w:rFonts w:ascii="Calibri" w:hAnsi="Calibri" w:cs="Calibri" w:eastAsia="Calibri"/>
          <w:i/>
          <w:color w:val="auto"/>
          <w:spacing w:val="0"/>
          <w:position w:val="0"/>
          <w:sz w:val="24"/>
          <w:shd w:fill="auto" w:val="clear"/>
        </w:rPr>
        <w:t xml:space="preserve">US EPA</w:t>
      </w:r>
      <w:r>
        <w:rPr>
          <w:rFonts w:ascii="Calibri" w:hAnsi="Calibri" w:cs="Calibri" w:eastAsia="Calibri"/>
          <w:color w:val="auto"/>
          <w:spacing w:val="0"/>
          <w:position w:val="0"/>
          <w:sz w:val="24"/>
          <w:shd w:fill="auto" w:val="clear"/>
        </w:rPr>
        <w:t xml:space="preserve">. at &amp;lt;https://www.epa.gov/pollinator-protection/how-we-assess-risks-pollinators&amp;gt; (2013).</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Snodgrass, R.E. </w:t>
      </w:r>
      <w:r>
        <w:rPr>
          <w:rFonts w:ascii="Calibri" w:hAnsi="Calibri" w:cs="Calibri" w:eastAsia="Calibri"/>
          <w:i/>
          <w:color w:val="auto"/>
          <w:spacing w:val="0"/>
          <w:position w:val="0"/>
          <w:sz w:val="24"/>
          <w:shd w:fill="auto" w:val="clear"/>
        </w:rPr>
        <w:t xml:space="preserve">Anatomy of the honey bee</w:t>
      </w:r>
      <w:r>
        <w:rPr>
          <w:rFonts w:ascii="Calibri" w:hAnsi="Calibri" w:cs="Calibri" w:eastAsia="Calibri"/>
          <w:color w:val="auto"/>
          <w:spacing w:val="0"/>
          <w:position w:val="0"/>
          <w:sz w:val="24"/>
          <w:shd w:fill="auto" w:val="clear"/>
        </w:rPr>
        <w:t xml:space="preserve">. Cornell University Press. (1956).</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Allen, M.D. The honeybee queen and her attendants.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(1960).</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H&amp;#246;lldobler, B., Wilson, E.O., Wilson, H.C. in E. and U.R.P.E.E.O. </w:t>
      </w:r>
      <w:r>
        <w:rPr>
          <w:rFonts w:ascii="Calibri" w:hAnsi="Calibri" w:cs="Calibri" w:eastAsia="Calibri"/>
          <w:i/>
          <w:color w:val="auto"/>
          <w:spacing w:val="0"/>
          <w:position w:val="0"/>
          <w:sz w:val="24"/>
          <w:shd w:fill="auto" w:val="clear"/>
        </w:rPr>
        <w:t xml:space="preserve">The superorganism: The beauty, elegance, and strangeness of insect societies</w:t>
      </w:r>
      <w:r>
        <w:rPr>
          <w:rFonts w:ascii="Calibri" w:hAnsi="Calibri" w:cs="Calibri" w:eastAsia="Calibri"/>
          <w:color w:val="auto"/>
          <w:spacing w:val="0"/>
          <w:position w:val="0"/>
          <w:sz w:val="24"/>
          <w:shd w:fill="auto" w:val="clear"/>
        </w:rPr>
        <w:t xml:space="preserve">. W. W. Norton &amp;amp; Company. (2009).</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Berenbaum, M.R., Liao, L.-H. Honey bees and environmental stress: Toxicologic pathology of a superorganism.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 1076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1081 (2019).</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Yu, S.J. </w:t>
      </w:r>
      <w:r>
        <w:rPr>
          <w:rFonts w:ascii="Calibri" w:hAnsi="Calibri" w:cs="Calibri" w:eastAsia="Calibri"/>
          <w:i/>
          <w:color w:val="auto"/>
          <w:spacing w:val="0"/>
          <w:position w:val="0"/>
          <w:sz w:val="24"/>
          <w:shd w:fill="auto" w:val="clear"/>
        </w:rPr>
        <w:t xml:space="preserve">The toxicology and biochemistry of insecticides</w:t>
      </w:r>
      <w:r>
        <w:rPr>
          <w:rFonts w:ascii="Calibri" w:hAnsi="Calibri" w:cs="Calibri" w:eastAsia="Calibri"/>
          <w:color w:val="auto"/>
          <w:spacing w:val="0"/>
          <w:position w:val="0"/>
          <w:sz w:val="24"/>
          <w:shd w:fill="auto" w:val="clear"/>
        </w:rPr>
        <w:t xml:space="preserve">. CRC Press. (2014).</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Ciarlo, T.J., Mullin, C.A., Frazier, J.L., Schmehl, D.R. Learning impairment in honey bees caused by agricultural spray adjuvants.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e40848 (2012).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Fourrier,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Larval exposure to the juvenile hormone analog pyriproxyfen disrupts acceptance of and social behavior performance in adult honeybees.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(2015).</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Morfin, N., Goodwin, P.H., Correa-Benitez, A., Guzman-Novoa, E. Sublethal exposure to clothianidin during the larval stage causes long-term impairment of hygienic and foraging behaviours of honey bees.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(2019).</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Colin, T., Meikle, W.G., Wu, X., Barron, A.B. Traces of a neonicotinoid induce precocious foraging and reduce foraging performance in honey bees.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(14), 8252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8261 (2019).</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Liao, L.H., Wu, W.Y., Berenbaum, M.R. Behavioral responses of honey bees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to natural and synthetic xenobiotics in food.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Kessler, S.C.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Bees prefer foods containing neonicotinoid pesticides.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(7550),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(2015).</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Metcalf, R.L., Luckmann, W.H. </w:t>
      </w:r>
      <w:r>
        <w:rPr>
          <w:rFonts w:ascii="Calibri" w:hAnsi="Calibri" w:cs="Calibri" w:eastAsia="Calibri"/>
          <w:i/>
          <w:color w:val="auto"/>
          <w:spacing w:val="0"/>
          <w:position w:val="0"/>
          <w:sz w:val="24"/>
          <w:shd w:fill="auto" w:val="clear"/>
        </w:rPr>
        <w:t xml:space="preserve">Introduction to Insect Pest Management</w:t>
      </w:r>
      <w:r>
        <w:rPr>
          <w:rFonts w:ascii="Calibri" w:hAnsi="Calibri" w:cs="Calibri" w:eastAsia="Calibri"/>
          <w:color w:val="auto"/>
          <w:spacing w:val="0"/>
          <w:position w:val="0"/>
          <w:sz w:val="24"/>
          <w:shd w:fill="auto" w:val="clear"/>
        </w:rPr>
        <w:t xml:space="preserve">. John Wiley &amp;amp; Sons. (1994).</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Duncan, J. Post-treatment effects of sublethal doses of dieldrin on the mosquito Aedes aegypti L. </w:t>
      </w:r>
      <w:r>
        <w:rPr>
          <w:rFonts w:ascii="Calibri" w:hAnsi="Calibri" w:cs="Calibri" w:eastAsia="Calibri"/>
          <w:i/>
          <w:color w:val="auto"/>
          <w:spacing w:val="0"/>
          <w:position w:val="0"/>
          <w:sz w:val="24"/>
          <w:shd w:fill="auto" w:val="clear"/>
        </w:rPr>
        <w:t xml:space="preserve">Annals of Applied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(1963).</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Haynes, K.F. Sublethal effects of neurotoxic insecticides on insect behavior.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(1988).</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James, D.G., Price, T.S. Fecundity in twospotted spider mite (Acari: Tetranychidae) is increased by direct and systemic exposure to imidacloprid.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(2002).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Hodjat, S.H. Effects of sublethal doses of insecticides and of diet and crowding on </w:t>
      </w:r>
      <w:r>
        <w:rPr>
          <w:rFonts w:ascii="Calibri" w:hAnsi="Calibri" w:cs="Calibri" w:eastAsia="Calibri"/>
          <w:i/>
          <w:color w:val="auto"/>
          <w:spacing w:val="0"/>
          <w:position w:val="0"/>
          <w:sz w:val="24"/>
          <w:shd w:fill="auto" w:val="clear"/>
        </w:rPr>
        <w:t xml:space="preserve">Dysdercus fasciatus</w:t>
      </w:r>
      <w:r>
        <w:rPr>
          <w:rFonts w:ascii="Calibri" w:hAnsi="Calibri" w:cs="Calibri" w:eastAsia="Calibri"/>
          <w:color w:val="auto"/>
          <w:spacing w:val="0"/>
          <w:position w:val="0"/>
          <w:sz w:val="24"/>
          <w:shd w:fill="auto" w:val="clear"/>
        </w:rPr>
        <w:t xml:space="preserve"> Sign. (Hem., Pyrrhocoridae). </w:t>
      </w:r>
      <w:r>
        <w:rPr>
          <w:rFonts w:ascii="Calibri" w:hAnsi="Calibri" w:cs="Calibri" w:eastAsia="Calibri"/>
          <w:i/>
          <w:color w:val="auto"/>
          <w:spacing w:val="0"/>
          <w:position w:val="0"/>
          <w:sz w:val="24"/>
          <w:shd w:fill="auto" w:val="clear"/>
        </w:rPr>
        <w:t xml:space="preserve">Bulletin of Entomological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(1971).</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Feng, W.B., Bong, L.J., Dai, S.M., Neoh, K.B. Effect of imidacloprid exposure on life history traits in the agricultural generalist predator Paederus beetle: Lack of fitness cost but strong hormetic effect and skewed sex ratio. </w:t>
      </w:r>
      <w:r>
        <w:rPr>
          <w:rFonts w:ascii="Calibri" w:hAnsi="Calibri" w:cs="Calibri" w:eastAsia="Calibri"/>
          <w:i/>
          <w:color w:val="auto"/>
          <w:spacing w:val="0"/>
          <w:position w:val="0"/>
          <w:sz w:val="24"/>
          <w:shd w:fill="auto" w:val="clear"/>
        </w:rPr>
        <w:t xml:space="preserve">Ecotoxicology and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(2019).</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Milchreit, K., Ruhnke, H., Wegener, J., Bienefeld, K. Effects of an insect growth regulator and a solvent on honeybee (</w:t>
      </w:r>
      <w:r>
        <w:rPr>
          <w:rFonts w:ascii="Calibri" w:hAnsi="Calibri" w:cs="Calibri" w:eastAsia="Calibri"/>
          <w:i/>
          <w:color w:val="auto"/>
          <w:spacing w:val="0"/>
          <w:position w:val="0"/>
          <w:sz w:val="24"/>
          <w:shd w:fill="auto" w:val="clear"/>
        </w:rPr>
        <w:t xml:space="preserve">Apis mellifera L</w:t>
      </w:r>
      <w:r>
        <w:rPr>
          <w:rFonts w:ascii="Calibri" w:hAnsi="Calibri" w:cs="Calibri" w:eastAsia="Calibri"/>
          <w:color w:val="auto"/>
          <w:spacing w:val="0"/>
          <w:position w:val="0"/>
          <w:sz w:val="24"/>
          <w:shd w:fill="auto" w:val="clear"/>
        </w:rPr>
        <w:t xml:space="preserve">.) brood development and queen viability. </w:t>
      </w:r>
      <w:r>
        <w:rPr>
          <w:rFonts w:ascii="Calibri" w:hAnsi="Calibri" w:cs="Calibri" w:eastAsia="Calibri"/>
          <w:i/>
          <w:color w:val="auto"/>
          <w:spacing w:val="0"/>
          <w:position w:val="0"/>
          <w:sz w:val="24"/>
          <w:shd w:fill="auto" w:val="clear"/>
        </w:rPr>
        <w:t xml:space="preserve">Ecotoxicology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(2016).</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Haarmann, T., Spivak, M., Weaver, D., Weaver, B., Glenn, T. Effects of fluvalinate and coumaphos on queen honey bees (Hymenoptera: Apidae) in two commercial queen rearing operations.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(2002).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Pettis, J.S., Collins, A.M., Wilbanks, R., Feldlaufer, M.F. Effects of coumaphos on queen rearing in the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(2004).</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Thompson, H.M., Wilkins, S., Battersby, A.H., Waite, R.J., Wilkinson, D. The effects of four insect growth-regulating (IGR) insecticides on honeybee (</w:t>
      </w:r>
      <w:r>
        <w:rPr>
          <w:rFonts w:ascii="Calibri" w:hAnsi="Calibri" w:cs="Calibri" w:eastAsia="Calibri"/>
          <w:i/>
          <w:color w:val="auto"/>
          <w:spacing w:val="0"/>
          <w:position w:val="0"/>
          <w:sz w:val="24"/>
          <w:shd w:fill="auto" w:val="clear"/>
        </w:rPr>
        <w:t xml:space="preserve">Apis mellifera L.</w:t>
      </w:r>
      <w:r>
        <w:rPr>
          <w:rFonts w:ascii="Calibri" w:hAnsi="Calibri" w:cs="Calibri" w:eastAsia="Calibri"/>
          <w:color w:val="auto"/>
          <w:spacing w:val="0"/>
          <w:position w:val="0"/>
          <w:sz w:val="24"/>
          <w:shd w:fill="auto" w:val="clear"/>
        </w:rPr>
        <w:t xml:space="preserve">) colony development, queen rearing and drone sperm production. </w:t>
      </w:r>
      <w:r>
        <w:rPr>
          <w:rFonts w:ascii="Calibri" w:hAnsi="Calibri" w:cs="Calibri" w:eastAsia="Calibri"/>
          <w:i/>
          <w:color w:val="auto"/>
          <w:spacing w:val="0"/>
          <w:position w:val="0"/>
          <w:sz w:val="24"/>
          <w:shd w:fill="auto" w:val="clear"/>
        </w:rPr>
        <w:t xml:space="preserve">Ecotoxicology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769 (2005).</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Wu-Smart, J., Spivak, M. Sub-lethal effects of dietary neonicotinoid insecticide exposure on honey bee queen fecundity and colony development.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Chen, Y.W., Wu, P.S., Yang, E.C., Nai, Y.S., Huang, Z.Y. The impact of pyriproxyfen on the development of honey bee (Apis mellifera L.) colony in field. </w:t>
      </w:r>
      <w:r>
        <w:rPr>
          <w:rFonts w:ascii="Calibri" w:hAnsi="Calibri" w:cs="Calibri" w:eastAsia="Calibri"/>
          <w:i/>
          <w:color w:val="auto"/>
          <w:spacing w:val="0"/>
          <w:position w:val="0"/>
          <w:sz w:val="24"/>
          <w:shd w:fill="auto" w:val="clear"/>
        </w:rPr>
        <w:t xml:space="preserve">Journal of Asia-Pacific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(2016).</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Fine, J.D., Mullin, C.A., Frazier, M.T., Reynolds, R.D. Field residues and effects of the insect growth regulator novaluron and its major co-formulant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-methyl-2-pyrrolidone on honey bee reproduction and development.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 1993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 (2017).</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Fine, J.D.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Quantifying the effects of pollen nutrition on honey bee queen egg laying with a new laboratory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e0203444 (2018).</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Fine, J.D. Evaluation and comparison of the effects of three insect growth regulators on honey bee queen oviposition and egg eclosion. </w:t>
      </w:r>
      <w:r>
        <w:rPr>
          <w:rFonts w:ascii="Calibri" w:hAnsi="Calibri" w:cs="Calibri" w:eastAsia="Calibri"/>
          <w:i/>
          <w:color w:val="auto"/>
          <w:spacing w:val="0"/>
          <w:position w:val="0"/>
          <w:sz w:val="24"/>
          <w:shd w:fill="auto" w:val="clear"/>
        </w:rPr>
        <w:t xml:space="preserve">Ecotoxicology and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111142 (2020).</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The Colony and Its Organization | MAAREC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Mid Atlantic Apiculture Research &amp;amp; Extension Consortium. at &amp;lt;https://agdev.anr.udel.edu/maarec/honey-bee-biology/the-colony-and-its-organization/&amp;gt;.</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Winston, M.L. </w:t>
      </w:r>
      <w:r>
        <w:rPr>
          <w:rFonts w:ascii="Calibri" w:hAnsi="Calibri" w:cs="Calibri" w:eastAsia="Calibri"/>
          <w:i/>
          <w:color w:val="auto"/>
          <w:spacing w:val="0"/>
          <w:position w:val="0"/>
          <w:sz w:val="24"/>
          <w:shd w:fill="auto" w:val="clear"/>
        </w:rPr>
        <w:t xml:space="preserve">The biology of the honey bee</w:t>
      </w:r>
      <w:r>
        <w:rPr>
          <w:rFonts w:ascii="Calibri" w:hAnsi="Calibri" w:cs="Calibri" w:eastAsia="Calibri"/>
          <w:color w:val="auto"/>
          <w:spacing w:val="0"/>
          <w:position w:val="0"/>
          <w:sz w:val="24"/>
          <w:shd w:fill="auto" w:val="clear"/>
        </w:rPr>
        <w:t xml:space="preserve">. Harvard University Press. (1991).</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Mullins, J.W. Imidacloprid. </w:t>
      </w:r>
      <w:r>
        <w:rPr>
          <w:rFonts w:ascii="Calibri" w:hAnsi="Calibri" w:cs="Calibri" w:eastAsia="Calibri"/>
          <w:i/>
          <w:color w:val="auto"/>
          <w:spacing w:val="0"/>
          <w:position w:val="0"/>
          <w:sz w:val="24"/>
          <w:shd w:fill="auto" w:val="clear"/>
        </w:rPr>
        <w:t xml:space="preserve">Pest control with enhanced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(1993).</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Sur, R., Stork, A. Uptake, translocation and metabolism of imidacloprid in plants. </w:t>
      </w:r>
      <w:r>
        <w:rPr>
          <w:rFonts w:ascii="Calibri" w:hAnsi="Calibri" w:cs="Calibri" w:eastAsia="Calibri"/>
          <w:i/>
          <w:color w:val="auto"/>
          <w:spacing w:val="0"/>
          <w:position w:val="0"/>
          <w:sz w:val="24"/>
          <w:shd w:fill="auto" w:val="clear"/>
        </w:rPr>
        <w:t xml:space="preserve">Bulletin of Insectology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(2003).</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Dively, G.P., Kamel, A. Insecticide residues in pollen and nectar of a cucurbit crop and their potential exposure to pollinators.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(18), 4449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4456 (2012).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Goulson, D. Review: An overview of the environmental risks posed by neonicotinoid insecticides. </w:t>
      </w:r>
      <w:r>
        <w:rPr>
          <w:rFonts w:ascii="Calibri" w:hAnsi="Calibri" w:cs="Calibri" w:eastAsia="Calibri"/>
          <w:i/>
          <w:color w:val="auto"/>
          <w:spacing w:val="0"/>
          <w:position w:val="0"/>
          <w:sz w:val="24"/>
          <w:shd w:fill="auto" w:val="clear"/>
        </w:rPr>
        <w:t xml:space="preserve">Journal of Applied Ecology</w:t>
      </w:r>
      <w:r>
        <w:rPr>
          <w:rFonts w:ascii="Calibri" w:hAnsi="Calibri" w:cs="Calibri" w:eastAsia="Calibri"/>
          <w:color w:val="auto"/>
          <w:spacing w:val="0"/>
          <w:position w:val="0"/>
          <w:sz w:val="24"/>
          <w:shd w:fill="auto" w:val="clear"/>
        </w:rPr>
        <w:t xml:space="preserve">. 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987 (2014).</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Krischik, V., Rogers, M., Gupta, G., Varshney, A. Soil-applied imidacloprid translocates to ornamental flowers and reduces survival of adult </w:t>
      </w:r>
      <w:r>
        <w:rPr>
          <w:rFonts w:ascii="Calibri" w:hAnsi="Calibri" w:cs="Calibri" w:eastAsia="Calibri"/>
          <w:i/>
          <w:color w:val="auto"/>
          <w:spacing w:val="0"/>
          <w:position w:val="0"/>
          <w:sz w:val="24"/>
          <w:shd w:fill="auto" w:val="clear"/>
        </w:rPr>
        <w:t xml:space="preserve">Coleomegilla maculata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Harmonia axyridis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Hippodamia convergens</w:t>
      </w:r>
      <w:r>
        <w:rPr>
          <w:rFonts w:ascii="Calibri" w:hAnsi="Calibri" w:cs="Calibri" w:eastAsia="Calibri"/>
          <w:color w:val="auto"/>
          <w:spacing w:val="0"/>
          <w:position w:val="0"/>
          <w:sz w:val="24"/>
          <w:shd w:fill="auto" w:val="clear"/>
        </w:rPr>
        <w:t xml:space="preserve"> lady beetles, and larval </w:t>
      </w:r>
      <w:r>
        <w:rPr>
          <w:rFonts w:ascii="Calibri" w:hAnsi="Calibri" w:cs="Calibri" w:eastAsia="Calibri"/>
          <w:i/>
          <w:color w:val="auto"/>
          <w:spacing w:val="0"/>
          <w:position w:val="0"/>
          <w:sz w:val="24"/>
          <w:shd w:fill="auto" w:val="clear"/>
        </w:rPr>
        <w:t xml:space="preserve">Danaus plexippus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Vanessa cardui</w:t>
      </w:r>
      <w:r>
        <w:rPr>
          <w:rFonts w:ascii="Calibri" w:hAnsi="Calibri" w:cs="Calibri" w:eastAsia="Calibri"/>
          <w:color w:val="auto"/>
          <w:spacing w:val="0"/>
          <w:position w:val="0"/>
          <w:sz w:val="24"/>
          <w:shd w:fill="auto" w:val="clear"/>
        </w:rPr>
        <w:t xml:space="preserve"> butterflies.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(2015).</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Prisco, G.D.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Neonicotinoid clothianidin adversely affects insect immunity and promotes replication of a viral pathogen in honey bees.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(46), 18466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18471 (2013).</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Dively, G.P., Embrey, M.S., Kamel, A., Hawthorne, D.J., Pettis, J.S. Assessment of chronic sublethal effects of imidacloprid on honey bee colony health.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e0118748 (2015).</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Sandrock, C., Tanadini, M., Tanadini, L.G., Fauser-Misslin, A., Potts, S.G., Neumann, P. Impact of chronic neonicotinoid exposure on honeybee colony performance and queen supersedure.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e103592 (2014).</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Brodschneider, R., Riessberger-Gall&amp;#233;, U., Crailsheim, K. Flight performance of artificially reared honeybees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(2009).</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Harrison, J.M. Caste-specific changes in honeybee flight capacity. </w:t>
      </w:r>
      <w:r>
        <w:rPr>
          <w:rFonts w:ascii="Calibri" w:hAnsi="Calibri" w:cs="Calibri" w:eastAsia="Calibri"/>
          <w:i/>
          <w:color w:val="auto"/>
          <w:spacing w:val="0"/>
          <w:position w:val="0"/>
          <w:sz w:val="24"/>
          <w:shd w:fill="auto" w:val="clear"/>
        </w:rPr>
        <w:t xml:space="preserve">Physiological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(1986).</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Mackensen, O. Effect of carbon dioxide on initial oviposition of artificially inseminated and virgin queen bees.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(1947).</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OECD Test No. 245: Honey bee (</w:t>
      </w:r>
      <w:r>
        <w:rPr>
          <w:rFonts w:ascii="Calibri" w:hAnsi="Calibri" w:cs="Calibri" w:eastAsia="Calibri"/>
          <w:i/>
          <w:color w:val="auto"/>
          <w:spacing w:val="0"/>
          <w:position w:val="0"/>
          <w:sz w:val="24"/>
          <w:shd w:fill="auto" w:val="clear"/>
        </w:rPr>
        <w:t xml:space="preserve">Apis Mellifera L.</w:t>
      </w:r>
      <w:r>
        <w:rPr>
          <w:rFonts w:ascii="Calibri" w:hAnsi="Calibri" w:cs="Calibri" w:eastAsia="Calibri"/>
          <w:color w:val="auto"/>
          <w:spacing w:val="0"/>
          <w:position w:val="0"/>
          <w:sz w:val="24"/>
          <w:shd w:fill="auto" w:val="clear"/>
        </w:rPr>
        <w:t xml:space="preserve">), chronic oral toxicity test (10-Day Feeding), OECD guidelines for the testing of chemicals, section 2. </w:t>
      </w:r>
      <w:r>
        <w:rPr>
          <w:rFonts w:ascii="Calibri" w:hAnsi="Calibri" w:cs="Calibri" w:eastAsia="Calibri"/>
          <w:i/>
          <w:color w:val="auto"/>
          <w:spacing w:val="0"/>
          <w:position w:val="0"/>
          <w:sz w:val="24"/>
          <w:shd w:fill="auto" w:val="clear"/>
        </w:rPr>
        <w:t xml:space="preserve">OECD Publishing, Paris</w:t>
      </w:r>
      <w:r>
        <w:rPr>
          <w:rFonts w:ascii="Calibri" w:hAnsi="Calibri" w:cs="Calibri" w:eastAsia="Calibri"/>
          <w:color w:val="auto"/>
          <w:spacing w:val="0"/>
          <w:position w:val="0"/>
          <w:sz w:val="24"/>
          <w:shd w:fill="auto" w:val="clear"/>
        </w:rPr>
        <w:t xml:space="preserve">. (2017).</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ECOTOX | Home. at &amp;lt;https://cfpub.epa.gov/ecotox/&amp;gt;.</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Collins, A.M. Variation in time of egg hatch by the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(Hymenoptera: Apidae). </w:t>
      </w:r>
      <w:r>
        <w:rPr>
          <w:rFonts w:ascii="Calibri" w:hAnsi="Calibri" w:cs="Calibri" w:eastAsia="Calibri"/>
          <w:i/>
          <w:color w:val="auto"/>
          <w:spacing w:val="0"/>
          <w:position w:val="0"/>
          <w:sz w:val="24"/>
          <w:shd w:fill="auto" w:val="clear"/>
        </w:rPr>
        <w:t xml:space="preserve">Annals of the Entomological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(2004).</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Santomauro, G., Engels, W. Sexing of newly hatched live larvae of the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allows the recognition of diploid drones.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(2002).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Tang, W., Hu, Z., Muallem, H., Gulley, M.L. Quality assurance of RNA expression profiling in clinical laboratories. </w:t>
      </w:r>
      <w:r>
        <w:rPr>
          <w:rFonts w:ascii="Calibri" w:hAnsi="Calibri" w:cs="Calibri" w:eastAsia="Calibri"/>
          <w:i/>
          <w:color w:val="auto"/>
          <w:spacing w:val="0"/>
          <w:position w:val="0"/>
          <w:sz w:val="24"/>
          <w:shd w:fill="auto" w:val="clear"/>
        </w:rPr>
        <w:t xml:space="preserve">The Journal of Molecular Diagnostics : JMD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Henry,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Reconciling laboratory and field assessments of neonicotinoid toxicity to honeybees. </w:t>
      </w:r>
      <w:r>
        <w:rPr>
          <w:rFonts w:ascii="Calibri" w:hAnsi="Calibri" w:cs="Calibri" w:eastAsia="Calibri"/>
          <w:i/>
          <w:color w:val="auto"/>
          <w:spacing w:val="0"/>
          <w:position w:val="0"/>
          <w:sz w:val="24"/>
          <w:shd w:fill="auto" w:val="clear"/>
        </w:rPr>
        <w:t xml:space="preserve">Proceedings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(1819) (2015).</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Singaravelan, N., Nee’man, G., Inbar, M., Izhaki, I. Feeding responses of free-flying honeybees to secondary compounds mimicking floral nectars.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2791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2804 (2005).</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Brown, L.A., Ihara, M., Buckingham, S.D., Matsuda, K., Sattelle, D.B. Neonicotinoid insecticides display partial and super agonist actions on native insect nicotinic acetylcholine receptors.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615 (2006).</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Dupuis, J.P., Gauthier, M., Raymond-Delpech, V. Expression patterns of nicotinic subunits &amp;#945;2, &amp;#945;7, &amp;#945;8, and &amp;#946;1 affect the kinetics and pharmacology of ACh-induced currents in adult bee olfactory neuropiles.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 1604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1613 (2011).</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Crailsheim, K. et al. Pollen consumption and utilization in worker honeybees (</w:t>
      </w:r>
      <w:r>
        <w:rPr>
          <w:rFonts w:ascii="Calibri" w:hAnsi="Calibri" w:cs="Calibri" w:eastAsia="Calibri"/>
          <w:i/>
          <w:color w:val="auto"/>
          <w:spacing w:val="0"/>
          <w:position w:val="0"/>
          <w:sz w:val="24"/>
          <w:shd w:fill="auto" w:val="clear"/>
        </w:rPr>
        <w:t xml:space="preserve">Apis mellifera carnica</w:t>
      </w:r>
      <w:r>
        <w:rPr>
          <w:rFonts w:ascii="Calibri" w:hAnsi="Calibri" w:cs="Calibri" w:eastAsia="Calibri"/>
          <w:color w:val="auto"/>
          <w:spacing w:val="0"/>
          <w:position w:val="0"/>
          <w:sz w:val="24"/>
          <w:shd w:fill="auto" w:val="clear"/>
        </w:rPr>
        <w:t xml:space="preserve">): Dependence on individual age and function.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(1992).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The Merck Index Online - chemicals, drugs and biologicals. at &amp;lt;https://www.rsc.org/merck-index&amp;gt;.</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Trostanetsky, A., Kostyukovsky, M. Note: Transovarial activity of the chitin synthesis inhibitor novaluron on egg hatch and subsequent development of larvae of </w:t>
      </w:r>
      <w:r>
        <w:rPr>
          <w:rFonts w:ascii="Calibri" w:hAnsi="Calibri" w:cs="Calibri" w:eastAsia="Calibri"/>
          <w:i/>
          <w:color w:val="auto"/>
          <w:spacing w:val="0"/>
          <w:position w:val="0"/>
          <w:sz w:val="24"/>
          <w:shd w:fill="auto" w:val="clear"/>
        </w:rPr>
        <w:t xml:space="preserve">Tribolium castaneum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Phytoparasitica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(2008).</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Medina, P., Smagghe, G., Budia, F., Estal, P. del, Tirry, L., Vi&amp;#241;uela, E. Significance of penetration, excretion, and transovarial uptake to toxicity of three insect growth regulators in predatory lacewing adults. </w:t>
      </w:r>
      <w:r>
        <w:rPr>
          <w:rFonts w:ascii="Calibri" w:hAnsi="Calibri" w:cs="Calibri" w:eastAsia="Calibri"/>
          <w:i/>
          <w:color w:val="auto"/>
          <w:spacing w:val="0"/>
          <w:position w:val="0"/>
          <w:sz w:val="24"/>
          <w:shd w:fill="auto" w:val="clear"/>
        </w:rPr>
        <w:t xml:space="preserve">Archives of Insect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(2002).</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Kim, S.H.S., Wise, J.C., G&amp;#246;k&amp;#231;e, A., Whalon, M.E. Novaluron causes reduced egg hatch after treating adult codling moths, </w:t>
      </w:r>
      <w:r>
        <w:rPr>
          <w:rFonts w:ascii="Calibri" w:hAnsi="Calibri" w:cs="Calibri" w:eastAsia="Calibri"/>
          <w:i/>
          <w:color w:val="auto"/>
          <w:spacing w:val="0"/>
          <w:position w:val="0"/>
          <w:sz w:val="24"/>
          <w:shd w:fill="auto" w:val="clear"/>
        </w:rPr>
        <w:t xml:space="preserve">Cydia pomenella</w:t>
      </w:r>
      <w:r>
        <w:rPr>
          <w:rFonts w:ascii="Calibri" w:hAnsi="Calibri" w:cs="Calibri" w:eastAsia="Calibri"/>
          <w:color w:val="auto"/>
          <w:spacing w:val="0"/>
          <w:position w:val="0"/>
          <w:sz w:val="24"/>
          <w:shd w:fill="auto" w:val="clear"/>
        </w:rPr>
        <w:t xml:space="preserve">: Support for transovarial transfer. </w:t>
      </w:r>
      <w:r>
        <w:rPr>
          <w:rFonts w:ascii="Calibri" w:hAnsi="Calibri" w:cs="Calibri" w:eastAsia="Calibri"/>
          <w:i/>
          <w:color w:val="auto"/>
          <w:spacing w:val="0"/>
          <w:position w:val="0"/>
          <w:sz w:val="24"/>
          <w:shd w:fill="auto" w:val="clear"/>
        </w:rPr>
        <w:t xml:space="preserve">Journal of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(2011).</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Joseph, S.V. Transovarial effects of insect growth regulators on </w:t>
      </w:r>
      <w:r>
        <w:rPr>
          <w:rFonts w:ascii="Calibri" w:hAnsi="Calibri" w:cs="Calibri" w:eastAsia="Calibri"/>
          <w:i/>
          <w:color w:val="auto"/>
          <w:spacing w:val="0"/>
          <w:position w:val="0"/>
          <w:sz w:val="24"/>
          <w:shd w:fill="auto" w:val="clear"/>
        </w:rPr>
        <w:t xml:space="preserve">Stephanitis pyrioides</w:t>
      </w:r>
      <w:r>
        <w:rPr>
          <w:rFonts w:ascii="Calibri" w:hAnsi="Calibri" w:cs="Calibri" w:eastAsia="Calibri"/>
          <w:color w:val="auto"/>
          <w:spacing w:val="0"/>
          <w:position w:val="0"/>
          <w:sz w:val="24"/>
          <w:shd w:fill="auto" w:val="clear"/>
        </w:rPr>
        <w:t xml:space="preserve"> (Hemiptera: Tingidae). </w:t>
      </w:r>
      <w:r>
        <w:rPr>
          <w:rFonts w:ascii="Calibri" w:hAnsi="Calibri" w:cs="Calibri" w:eastAsia="Calibri"/>
          <w:i/>
          <w:color w:val="auto"/>
          <w:spacing w:val="0"/>
          <w:position w:val="0"/>
          <w:sz w:val="24"/>
          <w:shd w:fill="auto" w:val="clear"/>
        </w:rPr>
        <w:t xml:space="preserve">Pest Management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 2182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2187 (2019).</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Tasei, J.N. Effects of insect growth regulators on honey bees and non-Apis bees. A review.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(2001).</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Haydak, M.H. Honey Bee Nutrition.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(1970).</w:t>
      </w:r>
    </w:p>
    <w:p>
      <w:pPr>
        <w:widowControl w:val="false"/>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B&amp;#246;hme, F., Bischoff, G., Zebitz, C.P.W., Rosenkranz, P., Wallner, K. From field to food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will pesticide-contaminated pollen diet lead to a contamination of royal jelly?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36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6">
    <w:abstractNumId w:val="240"/>
  </w:num>
  <w:num w:numId="8">
    <w:abstractNumId w:val="234"/>
  </w:num>
  <w:num w:numId="10">
    <w:abstractNumId w:val="228"/>
  </w:num>
  <w:num w:numId="12">
    <w:abstractNumId w:val="222"/>
  </w:num>
  <w:num w:numId="14">
    <w:abstractNumId w:val="216"/>
  </w:num>
  <w:num w:numId="16">
    <w:abstractNumId w:val="210"/>
  </w:num>
  <w:num w:numId="18">
    <w:abstractNumId w:val="204"/>
  </w:num>
  <w:num w:numId="20">
    <w:abstractNumId w:val="198"/>
  </w:num>
  <w:num w:numId="22">
    <w:abstractNumId w:val="192"/>
  </w:num>
  <w:num w:numId="24">
    <w:abstractNumId w:val="186"/>
  </w:num>
  <w:num w:numId="26">
    <w:abstractNumId w:val="180"/>
  </w:num>
  <w:num w:numId="31">
    <w:abstractNumId w:val="174"/>
  </w:num>
  <w:num w:numId="33">
    <w:abstractNumId w:val="168"/>
  </w:num>
  <w:num w:numId="35">
    <w:abstractNumId w:val="162"/>
  </w:num>
  <w:num w:numId="37">
    <w:abstractNumId w:val="156"/>
  </w:num>
  <w:num w:numId="39">
    <w:abstractNumId w:val="150"/>
  </w:num>
  <w:num w:numId="42">
    <w:abstractNumId w:val="144"/>
  </w:num>
  <w:num w:numId="44">
    <w:abstractNumId w:val="138"/>
  </w:num>
  <w:num w:numId="46">
    <w:abstractNumId w:val="132"/>
  </w:num>
  <w:num w:numId="48">
    <w:abstractNumId w:val="126"/>
  </w:num>
  <w:num w:numId="50">
    <w:abstractNumId w:val="120"/>
  </w:num>
  <w:num w:numId="52">
    <w:abstractNumId w:val="114"/>
  </w:num>
  <w:num w:numId="54">
    <w:abstractNumId w:val="108"/>
  </w:num>
  <w:num w:numId="56">
    <w:abstractNumId w:val="102"/>
  </w:num>
  <w:num w:numId="58">
    <w:abstractNumId w:val="96"/>
  </w:num>
  <w:num w:numId="60">
    <w:abstractNumId w:val="90"/>
  </w:num>
  <w:num w:numId="62">
    <w:abstractNumId w:val="84"/>
  </w:num>
  <w:num w:numId="64">
    <w:abstractNumId w:val="78"/>
  </w:num>
  <w:num w:numId="66">
    <w:abstractNumId w:val="72"/>
  </w:num>
  <w:num w:numId="68">
    <w:abstractNumId w:val="66"/>
  </w:num>
  <w:num w:numId="70">
    <w:abstractNumId w:val="60"/>
  </w:num>
  <w:num w:numId="72">
    <w:abstractNumId w:val="54"/>
  </w:num>
  <w:num w:numId="74">
    <w:abstractNumId w:val="48"/>
  </w:num>
  <w:num w:numId="76">
    <w:abstractNumId w:val="42"/>
  </w:num>
  <w:num w:numId="78">
    <w:abstractNumId w:val="36"/>
  </w:num>
  <w:num w:numId="80">
    <w:abstractNumId w:val="30"/>
  </w:num>
  <w:num w:numId="82">
    <w:abstractNumId w:val="24"/>
  </w:num>
  <w:num w:numId="84">
    <w:abstractNumId w:val="18"/>
  </w:num>
  <w:num w:numId="86">
    <w:abstractNumId w:val="12"/>
  </w:num>
  <w:num w:numId="88">
    <w:abstractNumId w:val="6"/>
  </w:num>
  <w:num w:numId="9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