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C51AE" w14:textId="77777777" w:rsidR="004369F2" w:rsidRDefault="000F0C6E">
      <w:pPr>
        <w:rPr>
          <w:rFonts w:ascii="Calibri" w:eastAsia="Times New Roman" w:hAnsi="Calibri" w:cs="Calibri"/>
          <w:sz w:val="22"/>
          <w:szCs w:val="22"/>
        </w:rPr>
      </w:pPr>
      <w:bookmarkStart w:id="0" w:name="_MailOriginal"/>
      <w:r>
        <w:rPr>
          <w:rFonts w:ascii="Calibri" w:eastAsia="Times New Roman" w:hAnsi="Calibri" w:cs="Calibri"/>
          <w:b/>
          <w:bCs/>
          <w:sz w:val="22"/>
          <w:szCs w:val="22"/>
        </w:rPr>
        <w:t>From:</w:t>
      </w:r>
      <w:r>
        <w:rPr>
          <w:rFonts w:ascii="Calibri" w:eastAsia="Times New Roman" w:hAnsi="Calibri" w:cs="Calibri"/>
          <w:sz w:val="22"/>
          <w:szCs w:val="22"/>
        </w:rPr>
        <w:t xml:space="preserve"> em.jove.24f40.704c5a.e10e80fe@editorialmanager.com [mailto:em.jove.24f40.704c5a.e10e80fe@editorialmanager.com] </w:t>
      </w:r>
      <w:r>
        <w:rPr>
          <w:rFonts w:ascii="Calibri" w:eastAsia="Times New Roman" w:hAnsi="Calibri" w:cs="Calibri"/>
          <w:b/>
          <w:bCs/>
          <w:sz w:val="22"/>
          <w:szCs w:val="22"/>
        </w:rPr>
        <w:t xml:space="preserve">On Behalf Of </w:t>
      </w:r>
      <w:r>
        <w:rPr>
          <w:rFonts w:ascii="Calibri" w:eastAsia="Times New Roman" w:hAnsi="Calibri" w:cs="Calibri"/>
          <w:sz w:val="22"/>
          <w:szCs w:val="22"/>
        </w:rPr>
        <w:t>Vidhya Iyer</w:t>
      </w:r>
      <w:r>
        <w:rPr>
          <w:rFonts w:ascii="Calibri" w:eastAsia="Times New Roman" w:hAnsi="Calibri" w:cs="Calibri"/>
          <w:sz w:val="22"/>
          <w:szCs w:val="22"/>
        </w:rPr>
        <w:br/>
      </w:r>
      <w:r>
        <w:rPr>
          <w:rFonts w:ascii="Calibri" w:eastAsia="Times New Roman" w:hAnsi="Calibri" w:cs="Calibri"/>
          <w:b/>
          <w:bCs/>
          <w:sz w:val="22"/>
          <w:szCs w:val="22"/>
        </w:rPr>
        <w:t>Sent:</w:t>
      </w:r>
      <w:r>
        <w:rPr>
          <w:rFonts w:ascii="Calibri" w:eastAsia="Times New Roman" w:hAnsi="Calibri" w:cs="Calibri"/>
          <w:sz w:val="22"/>
          <w:szCs w:val="22"/>
        </w:rPr>
        <w:t xml:space="preserve"> Tuesday, December 29, 2020 6:09 PM</w:t>
      </w:r>
      <w:r>
        <w:rPr>
          <w:rFonts w:ascii="Calibri" w:eastAsia="Times New Roman" w:hAnsi="Calibri" w:cs="Calibri"/>
          <w:sz w:val="22"/>
          <w:szCs w:val="22"/>
        </w:rPr>
        <w:br/>
      </w:r>
      <w:r>
        <w:rPr>
          <w:rFonts w:ascii="Calibri" w:eastAsia="Times New Roman" w:hAnsi="Calibri" w:cs="Calibri"/>
          <w:b/>
          <w:bCs/>
          <w:sz w:val="22"/>
          <w:szCs w:val="22"/>
        </w:rPr>
        <w:t>To:</w:t>
      </w:r>
      <w:r>
        <w:rPr>
          <w:rFonts w:ascii="Calibri" w:eastAsia="Times New Roman" w:hAnsi="Calibri" w:cs="Calibri"/>
          <w:sz w:val="22"/>
          <w:szCs w:val="22"/>
        </w:rPr>
        <w:t xml:space="preserve"> Lin Fan &lt;linfee@me.com&gt;</w:t>
      </w:r>
      <w:r>
        <w:rPr>
          <w:rFonts w:ascii="Calibri" w:eastAsia="Times New Roman" w:hAnsi="Calibri" w:cs="Calibri"/>
          <w:sz w:val="22"/>
          <w:szCs w:val="22"/>
        </w:rPr>
        <w:br/>
      </w:r>
      <w:r>
        <w:rPr>
          <w:rFonts w:ascii="Calibri" w:eastAsia="Times New Roman" w:hAnsi="Calibri" w:cs="Calibri"/>
          <w:b/>
          <w:bCs/>
          <w:sz w:val="22"/>
          <w:szCs w:val="22"/>
        </w:rPr>
        <w:t>Subject:</w:t>
      </w:r>
      <w:r>
        <w:rPr>
          <w:rFonts w:ascii="Calibri" w:eastAsia="Times New Roman" w:hAnsi="Calibri" w:cs="Calibri"/>
          <w:sz w:val="22"/>
          <w:szCs w:val="22"/>
        </w:rPr>
        <w:t xml:space="preserve"> Revisions required for your JoVE submission JoVE62312 - [EMID:c1ef672158d5805b]</w:t>
      </w:r>
    </w:p>
    <w:p w14:paraId="765626DF" w14:textId="77777777" w:rsidR="004369F2" w:rsidRDefault="004369F2"/>
    <w:p w14:paraId="621E2EBA" w14:textId="77777777" w:rsidR="004369F2" w:rsidRDefault="000F0C6E">
      <w:pPr>
        <w:spacing w:after="240"/>
        <w:rPr>
          <w:rFonts w:eastAsia="Times New Roman"/>
        </w:rPr>
      </w:pPr>
      <w:r>
        <w:rPr>
          <w:rFonts w:eastAsia="Times New Roman"/>
        </w:rPr>
        <w:t xml:space="preserve">CC: "Ziyi Hu" </w:t>
      </w:r>
      <w:hyperlink r:id="rId7" w:history="1">
        <w:r>
          <w:rPr>
            <w:rStyle w:val="ac"/>
            <w:rFonts w:eastAsia="Times New Roman"/>
          </w:rPr>
          <w:t>984280969@qq.com</w:t>
        </w:r>
      </w:hyperlink>
      <w:r>
        <w:rPr>
          <w:rFonts w:eastAsia="Times New Roman"/>
        </w:rPr>
        <w:t xml:space="preserve">, "Tingting Zhou" </w:t>
      </w:r>
      <w:hyperlink r:id="rId8" w:history="1">
        <w:r>
          <w:rPr>
            <w:rStyle w:val="ac"/>
            <w:rFonts w:eastAsia="Times New Roman"/>
          </w:rPr>
          <w:t>ttzhou2013@163.com</w:t>
        </w:r>
      </w:hyperlink>
      <w:r>
        <w:rPr>
          <w:rFonts w:eastAsia="Times New Roman"/>
        </w:rPr>
        <w:t xml:space="preserve">, "Fangrong Wu" </w:t>
      </w:r>
      <w:hyperlink r:id="rId9" w:history="1">
        <w:r>
          <w:rPr>
            <w:rStyle w:val="ac"/>
            <w:rFonts w:eastAsia="Times New Roman"/>
          </w:rPr>
          <w:t>1772912491@qq.com</w:t>
        </w:r>
      </w:hyperlink>
    </w:p>
    <w:p w14:paraId="3AF36DC3" w14:textId="77777777" w:rsidR="004369F2" w:rsidRDefault="000F0C6E">
      <w:pPr>
        <w:pStyle w:val="a9"/>
      </w:pPr>
      <w:r>
        <w:t>Dear Dr. Fan,</w:t>
      </w:r>
      <w:r>
        <w:br/>
      </w:r>
      <w:r>
        <w:br/>
        <w:t>Your manuscript, JoVE62312 "A rapid screening workflow to identify potential combination therapy for glioblastoma using patient-derived glioma stem cells," has been editorially and peer review</w:t>
      </w:r>
      <w:r>
        <w:t>ed, and the following comments need to be addressed. Note that editorial comments address both requirements for video production and formatting of the article for publication. Please track the changes within the manuscript to identify all of the edits.</w:t>
      </w:r>
      <w:r>
        <w:br/>
      </w:r>
      <w:r>
        <w:br/>
        <w:t>Af</w:t>
      </w:r>
      <w:r>
        <w:t>ter revising and uploading your submission, please also upload a separate rebuttal document that addresses each of the editorial and peer review comments individually. </w:t>
      </w:r>
      <w:r>
        <w:br/>
      </w:r>
      <w:r>
        <w:br/>
        <w:t>Your revision is due by </w:t>
      </w:r>
      <w:r>
        <w:rPr>
          <w:rStyle w:val="aa"/>
          <w:rFonts w:ascii="宋体" w:eastAsia="宋体" w:hAnsi="宋体" w:cs="宋体" w:hint="eastAsia"/>
        </w:rPr>
        <w:t>Jan 18, 2021</w:t>
      </w:r>
      <w:r>
        <w:t>.</w:t>
      </w:r>
      <w:r>
        <w:br/>
      </w:r>
      <w:r>
        <w:br/>
        <w:t xml:space="preserve">To submit a revision, go to the </w:t>
      </w:r>
      <w:hyperlink r:id="rId10" w:history="1">
        <w:r>
          <w:rPr>
            <w:rStyle w:val="ac"/>
          </w:rPr>
          <w:t>JoVE submission site</w:t>
        </w:r>
      </w:hyperlink>
      <w:r>
        <w:t xml:space="preserve"> and log in as an author. You will find your submission under the heading "Submission Needing Revision". Please note that the corresponding author in Editorial Manager refers to the point of contact</w:t>
      </w:r>
      <w:r>
        <w:t xml:space="preserve"> during the review and production of the video article.</w:t>
      </w:r>
      <w:r>
        <w:br/>
      </w:r>
      <w:r>
        <w:br/>
        <w:t>Best,</w:t>
      </w:r>
      <w:r>
        <w:br/>
      </w:r>
      <w:r>
        <w:br/>
        <w:t>Vidhya Iyer, Ph.D.</w:t>
      </w:r>
      <w:r>
        <w:br/>
        <w:t>Review Editor</w:t>
      </w:r>
      <w:r>
        <w:br/>
        <w:t>JoVE</w:t>
      </w:r>
      <w:r>
        <w:br/>
      </w:r>
      <w:r>
        <w:rPr>
          <w:rFonts w:ascii="MS Mincho" w:eastAsia="MS Mincho" w:cs="MS Mincho" w:hint="eastAsia"/>
        </w:rPr>
        <w:t>​</w:t>
      </w:r>
      <w:hyperlink r:id="rId11" w:history="1">
        <w:r>
          <w:rPr>
            <w:rStyle w:val="ac"/>
          </w:rPr>
          <w:t>vidhya.iyer@jove.com</w:t>
        </w:r>
      </w:hyperlink>
      <w:r>
        <w:br/>
        <w:t>617.674.1888</w:t>
      </w:r>
      <w:r>
        <w:br/>
        <w:t>Follow us: Facebook | Twitter | LinkedIn</w:t>
      </w:r>
      <w:r>
        <w:br/>
        <w:t>About JoVE</w:t>
      </w:r>
      <w:r>
        <w:br/>
        <w:t>_______________________</w:t>
      </w:r>
      <w:r>
        <w:t>_____________</w:t>
      </w:r>
      <w:r>
        <w:br/>
      </w:r>
      <w:r>
        <w:br/>
      </w:r>
      <w:r>
        <w:br/>
      </w:r>
      <w:r>
        <w:rPr>
          <w:rStyle w:val="aa"/>
          <w:rFonts w:ascii="宋体" w:eastAsia="宋体" w:hAnsi="宋体" w:cs="宋体" w:hint="eastAsia"/>
        </w:rPr>
        <w:t>The claims of the submission do not fit the provided data. Please provide more data or revise the claims in the submission.</w:t>
      </w:r>
      <w:r>
        <w:rPr>
          <w:b/>
          <w:bCs/>
        </w:rPr>
        <w:br/>
      </w:r>
      <w:r>
        <w:rPr>
          <w:b/>
          <w:bCs/>
        </w:rPr>
        <w:br/>
      </w:r>
      <w:r>
        <w:rPr>
          <w:rStyle w:val="aa"/>
          <w:rFonts w:ascii="宋体" w:eastAsia="宋体" w:hAnsi="宋体" w:cs="宋体" w:hint="eastAsia"/>
        </w:rPr>
        <w:t>Please note that the reviewers raised some significant concerns regarding your method and your manuscript. Please r</w:t>
      </w:r>
      <w:r>
        <w:rPr>
          <w:rStyle w:val="aa"/>
          <w:rFonts w:ascii="宋体" w:eastAsia="宋体" w:hAnsi="宋体" w:cs="宋体" w:hint="eastAsia"/>
        </w:rPr>
        <w:t xml:space="preserve">evise the manuscript to thoroughly address these concerns. Additionally, please describe the </w:t>
      </w:r>
      <w:r>
        <w:rPr>
          <w:rStyle w:val="aa"/>
          <w:rFonts w:ascii="宋体" w:eastAsia="宋体" w:hAnsi="宋体" w:cs="宋体" w:hint="eastAsia"/>
        </w:rPr>
        <w:lastRenderedPageBreak/>
        <w:t>changes that have been made or provide explanations if the comment is not addressed in a rebuttal letter. We may send the revised manuscript and the rebuttal lette</w:t>
      </w:r>
      <w:r>
        <w:rPr>
          <w:rStyle w:val="aa"/>
          <w:rFonts w:ascii="宋体" w:eastAsia="宋体" w:hAnsi="宋体" w:cs="宋体" w:hint="eastAsia"/>
        </w:rPr>
        <w:t>r back to peer review.</w:t>
      </w:r>
      <w:r>
        <w:br/>
      </w:r>
      <w:r>
        <w:br/>
      </w:r>
      <w:r>
        <w:br/>
      </w:r>
      <w:r>
        <w:rPr>
          <w:rStyle w:val="aa"/>
          <w:rFonts w:ascii="宋体" w:eastAsia="宋体" w:hAnsi="宋体" w:cs="宋体" w:hint="eastAsia"/>
          <w:color w:val="FF0000"/>
          <w:u w:val="single"/>
        </w:rPr>
        <w:t>Editorial comments:</w:t>
      </w:r>
      <w:r>
        <w:br/>
        <w:t>1. Please take this opportunity to thoroughly proofread the manuscript to ensure that there are no spelling or grammar issues.</w:t>
      </w:r>
    </w:p>
    <w:p w14:paraId="27C6A3AA" w14:textId="77777777" w:rsidR="004369F2" w:rsidRDefault="000F0C6E">
      <w:pPr>
        <w:pStyle w:val="a9"/>
        <w:rPr>
          <w:rFonts w:asciiTheme="minorHAnsi" w:hAnsiTheme="minorHAnsi" w:cstheme="minorHAnsi"/>
          <w:color w:val="2E74B5" w:themeColor="accent1" w:themeShade="BF"/>
        </w:rPr>
      </w:pPr>
      <w:bookmarkStart w:id="1" w:name="OLE_LINK1"/>
      <w:bookmarkStart w:id="2" w:name="OLE_LINK2"/>
      <w:bookmarkStart w:id="3" w:name="OLE_LINK3"/>
      <w:r>
        <w:rPr>
          <w:rFonts w:asciiTheme="minorHAnsi" w:hAnsiTheme="minorHAnsi" w:cstheme="minorHAnsi"/>
          <w:color w:val="2E74B5" w:themeColor="accent1" w:themeShade="BF"/>
        </w:rPr>
        <w:t xml:space="preserve">Answer: </w:t>
      </w:r>
      <w:bookmarkEnd w:id="1"/>
      <w:bookmarkEnd w:id="2"/>
      <w:bookmarkEnd w:id="3"/>
      <w:r>
        <w:rPr>
          <w:rFonts w:asciiTheme="minorHAnsi" w:hAnsiTheme="minorHAnsi" w:cstheme="minorHAnsi"/>
          <w:color w:val="2E74B5" w:themeColor="accent1" w:themeShade="BF"/>
        </w:rPr>
        <w:t>We have proofread the manuscript again and correct most of the errors.</w:t>
      </w:r>
    </w:p>
    <w:p w14:paraId="0A8171B9" w14:textId="77777777" w:rsidR="004369F2" w:rsidRDefault="000F0C6E">
      <w:pPr>
        <w:pStyle w:val="a9"/>
      </w:pPr>
      <w:r>
        <w:t xml:space="preserve">2. </w:t>
      </w:r>
      <w:r>
        <w:t>Please provide an institutional email address for each author.</w:t>
      </w:r>
    </w:p>
    <w:p w14:paraId="22F48C31" w14:textId="77777777" w:rsidR="004369F2" w:rsidRDefault="000F0C6E">
      <w:pPr>
        <w:pStyle w:val="a9"/>
        <w:rPr>
          <w:rFonts w:asciiTheme="minorHAnsi" w:hAnsiTheme="minorHAnsi" w:cstheme="minorHAnsi"/>
          <w:color w:val="2E74B5" w:themeColor="accent1" w:themeShade="BF"/>
        </w:rPr>
      </w:pPr>
      <w:r>
        <w:rPr>
          <w:rFonts w:asciiTheme="minorHAnsi" w:hAnsiTheme="minorHAnsi" w:cstheme="minorHAnsi"/>
          <w:color w:val="2E74B5" w:themeColor="accent1" w:themeShade="BF"/>
        </w:rPr>
        <w:t>Answer: The email address of all authors were changed to the institutional ones.</w:t>
      </w:r>
    </w:p>
    <w:p w14:paraId="1AB3004E" w14:textId="77777777" w:rsidR="004369F2" w:rsidRDefault="000F0C6E">
      <w:pPr>
        <w:pStyle w:val="a9"/>
      </w:pPr>
      <w:r>
        <w:t>3. Please revise the text to avoid the use of any personal pronouns (e.g., "we", "you", "our" etc.).</w:t>
      </w:r>
    </w:p>
    <w:p w14:paraId="601F7545" w14:textId="77777777" w:rsidR="004369F2" w:rsidRDefault="000F0C6E">
      <w:pPr>
        <w:pStyle w:val="a9"/>
        <w:rPr>
          <w:rFonts w:asciiTheme="minorHAnsi" w:hAnsiTheme="minorHAnsi" w:cstheme="minorHAnsi"/>
          <w:color w:val="2E74B5" w:themeColor="accent1" w:themeShade="BF"/>
        </w:rPr>
      </w:pPr>
      <w:r>
        <w:rPr>
          <w:rFonts w:asciiTheme="minorHAnsi" w:hAnsiTheme="minorHAnsi" w:cstheme="minorHAnsi"/>
          <w:color w:val="2E74B5" w:themeColor="accent1" w:themeShade="BF"/>
        </w:rPr>
        <w:t xml:space="preserve">Answer: </w:t>
      </w:r>
      <w:r>
        <w:rPr>
          <w:rFonts w:asciiTheme="minorHAnsi" w:hAnsiTheme="minorHAnsi" w:cstheme="minorHAnsi" w:hint="eastAsia"/>
          <w:color w:val="2E74B5" w:themeColor="accent1" w:themeShade="BF"/>
        </w:rPr>
        <w:t>C</w:t>
      </w:r>
      <w:r>
        <w:rPr>
          <w:rFonts w:asciiTheme="minorHAnsi" w:hAnsiTheme="minorHAnsi" w:cstheme="minorHAnsi"/>
          <w:color w:val="2E74B5" w:themeColor="accent1" w:themeShade="BF"/>
        </w:rPr>
        <w:t>ha</w:t>
      </w:r>
      <w:r>
        <w:rPr>
          <w:rFonts w:asciiTheme="minorHAnsi" w:hAnsiTheme="minorHAnsi" w:cstheme="minorHAnsi"/>
          <w:color w:val="2E74B5" w:themeColor="accent1" w:themeShade="BF"/>
        </w:rPr>
        <w:t>nged in the manuscript.</w:t>
      </w:r>
    </w:p>
    <w:p w14:paraId="31E2B61A" w14:textId="77777777" w:rsidR="004369F2" w:rsidRDefault="000F0C6E">
      <w:pPr>
        <w:pStyle w:val="a9"/>
      </w:pPr>
      <w:r>
        <w:t xml:space="preserve">4. Please define all </w:t>
      </w:r>
      <w:bookmarkStart w:id="4" w:name="OLE_LINK11"/>
      <w:bookmarkStart w:id="5" w:name="OLE_LINK12"/>
      <w:r>
        <w:t xml:space="preserve">abbreviations </w:t>
      </w:r>
      <w:bookmarkEnd w:id="4"/>
      <w:bookmarkEnd w:id="5"/>
      <w:r>
        <w:t>before use (MTT, MTS, CCK-8, TMZ).</w:t>
      </w:r>
    </w:p>
    <w:p w14:paraId="6170DBB6" w14:textId="77777777" w:rsidR="004369F2" w:rsidRDefault="000F0C6E">
      <w:pPr>
        <w:pStyle w:val="a9"/>
        <w:rPr>
          <w:rFonts w:asciiTheme="minorHAnsi" w:hAnsiTheme="minorHAnsi" w:cstheme="minorHAnsi"/>
          <w:color w:val="2E74B5" w:themeColor="accent1" w:themeShade="BF"/>
        </w:rPr>
      </w:pPr>
      <w:r>
        <w:rPr>
          <w:rFonts w:asciiTheme="minorHAnsi" w:hAnsiTheme="minorHAnsi" w:cstheme="minorHAnsi"/>
          <w:color w:val="2E74B5" w:themeColor="accent1" w:themeShade="BF"/>
        </w:rPr>
        <w:t xml:space="preserve">Answer: </w:t>
      </w:r>
      <w:r>
        <w:rPr>
          <w:rFonts w:asciiTheme="minorHAnsi" w:hAnsiTheme="minorHAnsi" w:cstheme="minorHAnsi" w:hint="eastAsia"/>
          <w:color w:val="2E74B5" w:themeColor="accent1" w:themeShade="BF"/>
        </w:rPr>
        <w:t>A</w:t>
      </w:r>
      <w:r>
        <w:rPr>
          <w:rFonts w:asciiTheme="minorHAnsi" w:hAnsiTheme="minorHAnsi" w:cstheme="minorHAnsi"/>
          <w:color w:val="2E74B5" w:themeColor="accent1" w:themeShade="BF"/>
        </w:rPr>
        <w:t>ll the abbreviations were defined in the text and after the main body of the manuscript.</w:t>
      </w:r>
    </w:p>
    <w:p w14:paraId="41A9ADE8" w14:textId="77777777" w:rsidR="004369F2" w:rsidRDefault="000F0C6E">
      <w:pPr>
        <w:pStyle w:val="a9"/>
      </w:pPr>
      <w:r>
        <w:br/>
        <w:t>5. Please include an Introduction with the following:</w:t>
      </w:r>
      <w:r>
        <w:br/>
        <w:t>a) A clea</w:t>
      </w:r>
      <w:r>
        <w:t>r statement of the overall goal of this method</w:t>
      </w:r>
      <w:r>
        <w:br/>
        <w:t>b) The rationale behind the development and/or use of this technique</w:t>
      </w:r>
      <w:r>
        <w:br/>
        <w:t>c) The advantages over alternative techniques with applicable references to previous studies</w:t>
      </w:r>
      <w:r>
        <w:br/>
        <w:t>d) A description of the context of the techniqu</w:t>
      </w:r>
      <w:r>
        <w:t>e in the wider body of literature</w:t>
      </w:r>
      <w:r>
        <w:br/>
        <w:t>e) Information to help readers to determine whether the method is appropriate for their application</w:t>
      </w:r>
    </w:p>
    <w:p w14:paraId="2581807D" w14:textId="77777777" w:rsidR="004369F2" w:rsidRDefault="000F0C6E">
      <w:pPr>
        <w:pStyle w:val="a9"/>
      </w:pPr>
      <w:r>
        <w:rPr>
          <w:rFonts w:asciiTheme="minorHAnsi" w:hAnsiTheme="minorHAnsi" w:cstheme="minorHAnsi"/>
          <w:color w:val="2E74B5" w:themeColor="accent1" w:themeShade="BF"/>
        </w:rPr>
        <w:t>Answer: An introduction was added in the manuscript.</w:t>
      </w:r>
    </w:p>
    <w:p w14:paraId="742B01C4" w14:textId="77777777" w:rsidR="004369F2" w:rsidRDefault="000F0C6E">
      <w:pPr>
        <w:pStyle w:val="a9"/>
        <w:rPr>
          <w:color w:val="2E74B5" w:themeColor="accent1" w:themeShade="BF"/>
        </w:rPr>
      </w:pPr>
      <w:r>
        <w:br/>
        <w:t>6. Please include an ethics statement before the numbered protocol s</w:t>
      </w:r>
      <w:r>
        <w:t>teps, indicating that the protocol follows the guidelines of your institution</w:t>
      </w:r>
      <w:r>
        <w:rPr>
          <w:rFonts w:hint="eastAsia"/>
        </w:rPr>
        <w:t>’</w:t>
      </w:r>
      <w:r>
        <w:t>s human research ethics committee.</w:t>
      </w:r>
    </w:p>
    <w:p w14:paraId="30EFAB8C" w14:textId="77777777" w:rsidR="004369F2" w:rsidRDefault="000F0C6E">
      <w:pPr>
        <w:pStyle w:val="a9"/>
        <w:rPr>
          <w:rFonts w:asciiTheme="minorHAnsi" w:hAnsiTheme="minorHAnsi" w:cstheme="minorHAnsi"/>
          <w:color w:val="2E74B5" w:themeColor="accent1" w:themeShade="BF"/>
        </w:rPr>
      </w:pPr>
      <w:r>
        <w:rPr>
          <w:rFonts w:asciiTheme="minorHAnsi" w:hAnsiTheme="minorHAnsi" w:cstheme="minorHAnsi"/>
          <w:color w:val="2E74B5" w:themeColor="accent1" w:themeShade="BF"/>
        </w:rPr>
        <w:t>Answer: An ethics statement was added in the manuscript.</w:t>
      </w:r>
    </w:p>
    <w:p w14:paraId="7594F0B3" w14:textId="77777777" w:rsidR="004369F2" w:rsidRDefault="000F0C6E">
      <w:pPr>
        <w:pStyle w:val="a9"/>
      </w:pPr>
      <w:r>
        <w:br/>
        <w:t xml:space="preserve">7. JoVE cannot publish manuscripts containing commercial language. Please remove all </w:t>
      </w:r>
      <w:r>
        <w:t xml:space="preserve">commercial language from your manuscript and use generic terms instead. All commercial products should be sufficiently referenced in the Table of Materials: e.g., HanBio, </w:t>
      </w:r>
      <w:bookmarkStart w:id="6" w:name="OLE_LINK5"/>
      <w:bookmarkStart w:id="7" w:name="OLE_LINK4"/>
      <w:bookmarkStart w:id="8" w:name="OLE_LINK6"/>
      <w:r>
        <w:t>BD FACS Aria II</w:t>
      </w:r>
      <w:bookmarkEnd w:id="6"/>
      <w:bookmarkEnd w:id="7"/>
      <w:bookmarkEnd w:id="8"/>
      <w:r>
        <w:t xml:space="preserve">, Corning, Thermo, IVIS spectrum imaging system, Perkin-Elmer, Living </w:t>
      </w:r>
      <w:r>
        <w:t xml:space="preserve">Image 4.2, etc. We must maintain our scientific integrity and prevent the subsequent video from becoming a commercial advertisement. </w:t>
      </w:r>
    </w:p>
    <w:p w14:paraId="6DE2F0DF" w14:textId="77777777" w:rsidR="004369F2" w:rsidRDefault="000F0C6E">
      <w:pPr>
        <w:pStyle w:val="a9"/>
        <w:jc w:val="both"/>
        <w:rPr>
          <w:rFonts w:asciiTheme="minorHAnsi" w:hAnsiTheme="minorHAnsi" w:cstheme="minorHAnsi"/>
          <w:color w:val="2E74B5" w:themeColor="accent1" w:themeShade="BF"/>
        </w:rPr>
      </w:pPr>
      <w:r>
        <w:rPr>
          <w:rFonts w:asciiTheme="minorHAnsi" w:hAnsiTheme="minorHAnsi" w:cstheme="minorHAnsi" w:hint="eastAsia"/>
          <w:color w:val="2E74B5" w:themeColor="accent1" w:themeShade="BF"/>
        </w:rPr>
        <w:t>A</w:t>
      </w:r>
      <w:r>
        <w:rPr>
          <w:rFonts w:asciiTheme="minorHAnsi" w:hAnsiTheme="minorHAnsi" w:cstheme="minorHAnsi"/>
          <w:color w:val="2E74B5" w:themeColor="accent1" w:themeShade="BF"/>
        </w:rPr>
        <w:t>nswer: We removed the most of the names of all the commercial products in the manuscript. Several names of instruments (s</w:t>
      </w:r>
      <w:r>
        <w:rPr>
          <w:rFonts w:asciiTheme="minorHAnsi" w:hAnsiTheme="minorHAnsi" w:cstheme="minorHAnsi"/>
          <w:color w:val="2E74B5" w:themeColor="accent1" w:themeShade="BF"/>
        </w:rPr>
        <w:t>uch as IVIS spectrum imaging system) were kept as these are indispensable for the protocol.</w:t>
      </w:r>
    </w:p>
    <w:p w14:paraId="363F7FF1" w14:textId="77777777" w:rsidR="004369F2" w:rsidRDefault="000F0C6E">
      <w:pPr>
        <w:pStyle w:val="a9"/>
      </w:pPr>
      <w:r>
        <w:br/>
        <w:t xml:space="preserve">8. Please ensure that all text in the protocol section is written in the imperative tense as if telling someone how to do the technique (e.g., </w:t>
      </w:r>
      <w:r>
        <w:rPr>
          <w:rFonts w:hint="eastAsia"/>
        </w:rPr>
        <w:t>“</w:t>
      </w:r>
      <w:r>
        <w:t>Do this,</w:t>
      </w:r>
      <w:r>
        <w:rPr>
          <w:rFonts w:hint="eastAsia"/>
        </w:rPr>
        <w:t>”</w:t>
      </w:r>
      <w:r>
        <w:rPr>
          <w:rFonts w:hint="eastAsia"/>
        </w:rPr>
        <w:t xml:space="preserve"> </w:t>
      </w:r>
      <w:r>
        <w:rPr>
          <w:rFonts w:hint="eastAsia"/>
        </w:rPr>
        <w:t>“</w:t>
      </w:r>
      <w:r>
        <w:t>Ensure t</w:t>
      </w:r>
      <w:r>
        <w:t>hat,</w:t>
      </w:r>
      <w:r>
        <w:rPr>
          <w:rFonts w:hint="eastAsia"/>
        </w:rPr>
        <w:t>”</w:t>
      </w:r>
      <w:r>
        <w:t xml:space="preserve"> etc.). The actions should be described in the imperative tense in complete sentences wherever possible. Avoid usage of phrases such as </w:t>
      </w:r>
      <w:r>
        <w:rPr>
          <w:rFonts w:hint="eastAsia"/>
        </w:rPr>
        <w:t>“</w:t>
      </w:r>
      <w:r>
        <w:t>could be,</w:t>
      </w:r>
      <w:r>
        <w:rPr>
          <w:rFonts w:hint="eastAsia"/>
        </w:rPr>
        <w:t>”</w:t>
      </w:r>
      <w:r>
        <w:rPr>
          <w:rFonts w:hint="eastAsia"/>
        </w:rPr>
        <w:t xml:space="preserve"> </w:t>
      </w:r>
      <w:r>
        <w:rPr>
          <w:rFonts w:hint="eastAsia"/>
        </w:rPr>
        <w:t>“</w:t>
      </w:r>
      <w:r>
        <w:t>should be,</w:t>
      </w:r>
      <w:r>
        <w:rPr>
          <w:rFonts w:hint="eastAsia"/>
        </w:rPr>
        <w:t>”</w:t>
      </w:r>
      <w:r>
        <w:t xml:space="preserve"> and </w:t>
      </w:r>
      <w:r>
        <w:rPr>
          <w:rFonts w:hint="eastAsia"/>
        </w:rPr>
        <w:t>“</w:t>
      </w:r>
      <w:r>
        <w:t>would be</w:t>
      </w:r>
      <w:r>
        <w:rPr>
          <w:rFonts w:hint="eastAsia"/>
        </w:rPr>
        <w:t>”</w:t>
      </w:r>
      <w:r>
        <w:t xml:space="preserve"> throughout the Protocol. Any text that cannot be written in the imperative </w:t>
      </w:r>
      <w:r>
        <w:t xml:space="preserve">tense may be added as a </w:t>
      </w:r>
      <w:r>
        <w:rPr>
          <w:rFonts w:hint="eastAsia"/>
        </w:rPr>
        <w:t>“</w:t>
      </w:r>
      <w:r>
        <w:t>Note.</w:t>
      </w:r>
      <w:r>
        <w:rPr>
          <w:rFonts w:hint="eastAsia"/>
        </w:rPr>
        <w:t>”</w:t>
      </w:r>
      <w:r>
        <w:t xml:space="preserve"> However, notes should be concise and used sparingly. Please include all safety procedures and use of hoods, etc. </w:t>
      </w:r>
    </w:p>
    <w:p w14:paraId="3D1C0DCD" w14:textId="77777777" w:rsidR="004369F2" w:rsidRDefault="000F0C6E">
      <w:pPr>
        <w:pStyle w:val="a9"/>
        <w:rPr>
          <w:rFonts w:asciiTheme="minorHAnsi" w:hAnsiTheme="minorHAnsi" w:cstheme="minorHAnsi"/>
          <w:color w:val="2E74B5" w:themeColor="accent1" w:themeShade="BF"/>
        </w:rPr>
      </w:pPr>
      <w:r>
        <w:rPr>
          <w:rFonts w:asciiTheme="minorHAnsi" w:hAnsiTheme="minorHAnsi" w:cstheme="minorHAnsi" w:hint="eastAsia"/>
          <w:color w:val="2E74B5" w:themeColor="accent1" w:themeShade="BF"/>
        </w:rPr>
        <w:t>A</w:t>
      </w:r>
      <w:r>
        <w:rPr>
          <w:rFonts w:asciiTheme="minorHAnsi" w:hAnsiTheme="minorHAnsi" w:cstheme="minorHAnsi"/>
          <w:color w:val="2E74B5" w:themeColor="accent1" w:themeShade="BF"/>
        </w:rPr>
        <w:t xml:space="preserve">nswer: </w:t>
      </w:r>
      <w:bookmarkStart w:id="9" w:name="OLE_LINK48"/>
      <w:bookmarkStart w:id="10" w:name="OLE_LINK49"/>
      <w:bookmarkStart w:id="11" w:name="OLE_LINK50"/>
      <w:r>
        <w:rPr>
          <w:rFonts w:asciiTheme="minorHAnsi" w:hAnsiTheme="minorHAnsi" w:cstheme="minorHAnsi"/>
          <w:color w:val="2E74B5" w:themeColor="accent1" w:themeShade="BF"/>
        </w:rPr>
        <w:t>Relevant changes have been made in the manuscript.</w:t>
      </w:r>
      <w:bookmarkEnd w:id="9"/>
      <w:bookmarkEnd w:id="10"/>
      <w:bookmarkEnd w:id="11"/>
    </w:p>
    <w:p w14:paraId="784A55B9" w14:textId="77777777" w:rsidR="004369F2" w:rsidRDefault="000F0C6E">
      <w:pPr>
        <w:pStyle w:val="a9"/>
      </w:pPr>
      <w:r>
        <w:br/>
        <w:t>9. Line 36-52: The Protocol should be made up almo</w:t>
      </w:r>
      <w:r>
        <w:t>st entirely of discrete steps without large paragraphs of text between sections. Please simplify the Protocol so that individual steps contain only 2-3 actions per step and a maximum of 4 sentences per step.</w:t>
      </w:r>
    </w:p>
    <w:p w14:paraId="56C79BC2" w14:textId="77777777" w:rsidR="004369F2" w:rsidRDefault="000F0C6E">
      <w:pPr>
        <w:pStyle w:val="a9"/>
      </w:pPr>
      <w:r>
        <w:br/>
        <w:t>10. For SI units, please use standard abbreviat</w:t>
      </w:r>
      <w:r>
        <w:t xml:space="preserve">ions when the unit is </w:t>
      </w:r>
      <w:bookmarkStart w:id="12" w:name="OLE_LINK53"/>
      <w:bookmarkStart w:id="13" w:name="OLE_LINK55"/>
      <w:bookmarkStart w:id="14" w:name="OLE_LINK54"/>
      <w:r>
        <w:t xml:space="preserve">preceded </w:t>
      </w:r>
      <w:bookmarkEnd w:id="12"/>
      <w:bookmarkEnd w:id="13"/>
      <w:bookmarkEnd w:id="14"/>
      <w:r>
        <w:t>by a numeral throughout the protocol. Abbreviate liters to L to avoid confusion. For time units, use abbreviated forms for durations of less than one day when the unit is preceded by a numeral. Do not abbreviate day, week, mo</w:t>
      </w:r>
      <w:r>
        <w:t>nth, and year. Examples: 10 mL, 8 min, 5 h</w:t>
      </w:r>
    </w:p>
    <w:p w14:paraId="42AF3D90" w14:textId="77777777" w:rsidR="004369F2" w:rsidRDefault="000F0C6E">
      <w:pPr>
        <w:pStyle w:val="a9"/>
      </w:pPr>
      <w:r>
        <w:rPr>
          <w:rFonts w:asciiTheme="minorHAnsi" w:hAnsiTheme="minorHAnsi" w:cstheme="minorHAnsi"/>
          <w:color w:val="2E74B5" w:themeColor="accent1" w:themeShade="BF"/>
        </w:rPr>
        <w:t>9-10 answer: Relevant changes have been made in the manuscript.</w:t>
      </w:r>
    </w:p>
    <w:p w14:paraId="57D9A037" w14:textId="77777777" w:rsidR="004369F2" w:rsidRDefault="000F0C6E">
      <w:pPr>
        <w:pStyle w:val="a9"/>
        <w:spacing w:before="240"/>
      </w:pPr>
      <w:r>
        <w:br/>
        <w:t xml:space="preserve">11. Line 56/62: Please convert centrifuge speeds to centrifugal force (x g) instead of </w:t>
      </w:r>
      <w:bookmarkStart w:id="15" w:name="OLE_LINK16"/>
      <w:bookmarkStart w:id="16" w:name="_Hlk62597587"/>
      <w:bookmarkStart w:id="17" w:name="OLE_LINK13"/>
      <w:bookmarkStart w:id="18" w:name="OLE_LINK14"/>
      <w:bookmarkStart w:id="19" w:name="OLE_LINK15"/>
      <w:r>
        <w:t>revolutions per minute</w:t>
      </w:r>
      <w:bookmarkEnd w:id="15"/>
      <w:bookmarkEnd w:id="16"/>
      <w:bookmarkEnd w:id="17"/>
      <w:bookmarkEnd w:id="18"/>
      <w:bookmarkEnd w:id="19"/>
      <w:r>
        <w:t xml:space="preserve"> (rpm). </w:t>
      </w:r>
    </w:p>
    <w:p w14:paraId="52E45531" w14:textId="77777777" w:rsidR="004369F2" w:rsidRDefault="000F0C6E">
      <w:pPr>
        <w:pStyle w:val="a9"/>
        <w:spacing w:before="240"/>
        <w:rPr>
          <w:rFonts w:asciiTheme="minorHAnsi" w:hAnsiTheme="minorHAnsi" w:cstheme="minorHAnsi"/>
          <w:color w:val="2E74B5" w:themeColor="accent1" w:themeShade="BF"/>
        </w:rPr>
      </w:pPr>
      <w:r>
        <w:rPr>
          <w:rFonts w:asciiTheme="minorHAnsi" w:hAnsiTheme="minorHAnsi" w:cstheme="minorHAnsi" w:hint="eastAsia"/>
          <w:color w:val="2E74B5" w:themeColor="accent1" w:themeShade="BF"/>
        </w:rPr>
        <w:t>A</w:t>
      </w:r>
      <w:r>
        <w:rPr>
          <w:rFonts w:asciiTheme="minorHAnsi" w:hAnsiTheme="minorHAnsi" w:cstheme="minorHAnsi"/>
          <w:color w:val="2E74B5" w:themeColor="accent1" w:themeShade="BF"/>
        </w:rPr>
        <w:t xml:space="preserve">nswer: Relevant changes have </w:t>
      </w:r>
      <w:r>
        <w:rPr>
          <w:rFonts w:asciiTheme="minorHAnsi" w:hAnsiTheme="minorHAnsi" w:cstheme="minorHAnsi"/>
          <w:color w:val="2E74B5" w:themeColor="accent1" w:themeShade="BF"/>
        </w:rPr>
        <w:t>been made in the manuscript.</w:t>
      </w:r>
    </w:p>
    <w:p w14:paraId="1CA51245" w14:textId="77777777" w:rsidR="004369F2" w:rsidRDefault="000F0C6E">
      <w:pPr>
        <w:pStyle w:val="a9"/>
        <w:rPr>
          <w:color w:val="2E74B5" w:themeColor="accent1" w:themeShade="BF"/>
        </w:rPr>
      </w:pPr>
      <w:r>
        <w:br/>
        <w:t>12. Line 105: Please elaborate on the methodology used for Sensitivity Index score. Please cite a reference or the figure representing it in the text, if necessary. Consider including the discussion of the methodology in the D</w:t>
      </w:r>
      <w:r>
        <w:t>iscussion.</w:t>
      </w:r>
      <w:r>
        <w:rPr>
          <w:rFonts w:hint="eastAsia"/>
          <w:color w:val="2E74B5" w:themeColor="accent1" w:themeShade="BF"/>
          <w:highlight w:val="yellow"/>
        </w:rPr>
        <w:t xml:space="preserve"> </w:t>
      </w:r>
    </w:p>
    <w:p w14:paraId="03BA8FE7" w14:textId="77777777" w:rsidR="004369F2" w:rsidRDefault="000F0C6E">
      <w:pPr>
        <w:pStyle w:val="a9"/>
      </w:pPr>
      <w:bookmarkStart w:id="20" w:name="OLE_LINK72"/>
      <w:bookmarkStart w:id="21" w:name="OLE_LINK71"/>
      <w:r>
        <w:rPr>
          <w:rFonts w:hint="eastAsia"/>
          <w:color w:val="2E74B5" w:themeColor="accent1" w:themeShade="BF"/>
        </w:rPr>
        <w:t>A</w:t>
      </w:r>
      <w:r>
        <w:rPr>
          <w:color w:val="2E74B5" w:themeColor="accent1" w:themeShade="BF"/>
        </w:rPr>
        <w:t xml:space="preserve">nswer: </w:t>
      </w:r>
      <w:bookmarkEnd w:id="20"/>
      <w:bookmarkEnd w:id="21"/>
      <w:r>
        <w:rPr>
          <w:color w:val="2E74B5" w:themeColor="accent1" w:themeShade="BF"/>
        </w:rPr>
        <w:t>The required information was added into the manuscript together with a reference. The methodology was also discussed in detail in the discussion.</w:t>
      </w:r>
    </w:p>
    <w:p w14:paraId="272F3230" w14:textId="77777777" w:rsidR="004369F2" w:rsidRDefault="000F0C6E">
      <w:pPr>
        <w:pStyle w:val="a9"/>
        <w:rPr>
          <w:color w:val="2E74B5" w:themeColor="accent1" w:themeShade="BF"/>
        </w:rPr>
      </w:pPr>
      <w:r>
        <w:br/>
        <w:t xml:space="preserve">13. Please highlight up to 3 pages of the Protocol (including headings and </w:t>
      </w:r>
      <w:r>
        <w:t>spacing) that identifies the essential steps of the protocol for the video, i.e., the steps that should be visualized to tell the most cohesive story of the Protocol. Remember that non-highlighted Protocol steps will remain in the manuscript, and therefore</w:t>
      </w:r>
      <w:r>
        <w:t xml:space="preserve"> will still be available to the reader.</w:t>
      </w:r>
    </w:p>
    <w:p w14:paraId="58A527CA" w14:textId="77777777" w:rsidR="004369F2" w:rsidRDefault="000F0C6E">
      <w:pPr>
        <w:pStyle w:val="a9"/>
      </w:pPr>
      <w:r>
        <w:rPr>
          <w:rFonts w:hint="eastAsia"/>
          <w:color w:val="2E74B5" w:themeColor="accent1" w:themeShade="BF"/>
        </w:rPr>
        <w:t>A</w:t>
      </w:r>
      <w:r>
        <w:rPr>
          <w:color w:val="2E74B5" w:themeColor="accent1" w:themeShade="BF"/>
        </w:rPr>
        <w:t>nswer: Done.</w:t>
      </w:r>
    </w:p>
    <w:p w14:paraId="52F44DBE" w14:textId="77777777" w:rsidR="004369F2" w:rsidRDefault="000F0C6E">
      <w:pPr>
        <w:pStyle w:val="a9"/>
        <w:rPr>
          <w:color w:val="2E74B5" w:themeColor="accent1" w:themeShade="BF"/>
        </w:rPr>
      </w:pPr>
      <w:r>
        <w:br/>
        <w:t>14. Please remove the titles and Figure Legends from the uploaded figures and move them to a Figure Legends section after the Representative Results.</w:t>
      </w:r>
      <w:r>
        <w:rPr>
          <w:color w:val="2E74B5" w:themeColor="accent1" w:themeShade="BF"/>
        </w:rPr>
        <w:t xml:space="preserve"> </w:t>
      </w:r>
    </w:p>
    <w:p w14:paraId="0157584E" w14:textId="77777777" w:rsidR="004369F2" w:rsidRDefault="000F0C6E">
      <w:pPr>
        <w:pStyle w:val="a9"/>
      </w:pPr>
      <w:bookmarkStart w:id="22" w:name="OLE_LINK24"/>
      <w:bookmarkStart w:id="23" w:name="OLE_LINK25"/>
      <w:r>
        <w:rPr>
          <w:rFonts w:hint="eastAsia"/>
          <w:color w:val="2E74B5" w:themeColor="accent1" w:themeShade="BF"/>
        </w:rPr>
        <w:t>A</w:t>
      </w:r>
      <w:r>
        <w:rPr>
          <w:color w:val="2E74B5" w:themeColor="accent1" w:themeShade="BF"/>
        </w:rPr>
        <w:t>nswer:</w:t>
      </w:r>
      <w:bookmarkEnd w:id="22"/>
      <w:bookmarkEnd w:id="23"/>
      <w:r>
        <w:rPr>
          <w:color w:val="2E74B5" w:themeColor="accent1" w:themeShade="BF"/>
        </w:rPr>
        <w:t xml:space="preserve"> The Figure legends were moved to the manuscript below the representative results.</w:t>
      </w:r>
    </w:p>
    <w:p w14:paraId="0EE3597E" w14:textId="77777777" w:rsidR="004369F2" w:rsidRDefault="000F0C6E">
      <w:pPr>
        <w:pStyle w:val="a9"/>
      </w:pPr>
      <w:r>
        <w:br/>
        <w:t>15. Please ensure that the corresponding reference numbers appear as numbered superscripts after the appropriate statement(s) for in-text formatting.</w:t>
      </w:r>
    </w:p>
    <w:p w14:paraId="42ECF03F" w14:textId="77777777" w:rsidR="004369F2" w:rsidRDefault="000F0C6E">
      <w:pPr>
        <w:pStyle w:val="a9"/>
        <w:rPr>
          <w:color w:val="2E74B5" w:themeColor="accent1" w:themeShade="BF"/>
        </w:rPr>
      </w:pPr>
      <w:r>
        <w:rPr>
          <w:rFonts w:hint="eastAsia"/>
          <w:color w:val="2E74B5" w:themeColor="accent1" w:themeShade="BF"/>
        </w:rPr>
        <w:t>A</w:t>
      </w:r>
      <w:r>
        <w:rPr>
          <w:color w:val="2E74B5" w:themeColor="accent1" w:themeShade="BF"/>
        </w:rPr>
        <w:t>nswer: The citation s</w:t>
      </w:r>
      <w:r>
        <w:rPr>
          <w:color w:val="2E74B5" w:themeColor="accent1" w:themeShade="BF"/>
        </w:rPr>
        <w:t>tyle was changed to numbered superscripts.</w:t>
      </w:r>
    </w:p>
    <w:p w14:paraId="16C96C15" w14:textId="77777777" w:rsidR="004369F2" w:rsidRDefault="000F0C6E">
      <w:pPr>
        <w:pStyle w:val="a9"/>
      </w:pPr>
      <w:r>
        <w:br/>
        <w:t xml:space="preserve">16. Please ensure that the references appear as the following: [Lastname, F.I., LastName, F.I., LastName, F.I. Article Title. Source. Volume (Issue), FirstPage </w:t>
      </w:r>
      <w:r>
        <w:rPr>
          <w:rFonts w:hint="eastAsia"/>
        </w:rPr>
        <w:t>–</w:t>
      </w:r>
      <w:r>
        <w:t xml:space="preserve"> LastPage (YEAR).] For more than 6 authors, list on</w:t>
      </w:r>
      <w:r>
        <w:t>ly the first author then et al.</w:t>
      </w:r>
    </w:p>
    <w:p w14:paraId="48440C7D" w14:textId="77777777" w:rsidR="004369F2" w:rsidRDefault="000F0C6E">
      <w:pPr>
        <w:pStyle w:val="a9"/>
      </w:pPr>
      <w:r>
        <w:rPr>
          <w:rFonts w:hint="eastAsia"/>
          <w:color w:val="2E74B5" w:themeColor="accent1" w:themeShade="BF"/>
        </w:rPr>
        <w:t>A</w:t>
      </w:r>
      <w:r>
        <w:rPr>
          <w:color w:val="2E74B5" w:themeColor="accent1" w:themeShade="BF"/>
        </w:rPr>
        <w:t xml:space="preserve">nswer: </w:t>
      </w:r>
      <w:r>
        <w:rPr>
          <w:rFonts w:hint="eastAsia"/>
          <w:color w:val="2E74B5" w:themeColor="accent1" w:themeShade="BF"/>
        </w:rPr>
        <w:t>The format of references have been corrected.</w:t>
      </w:r>
    </w:p>
    <w:p w14:paraId="759FED5A" w14:textId="77777777" w:rsidR="004369F2" w:rsidRDefault="000F0C6E">
      <w:pPr>
        <w:pStyle w:val="a9"/>
        <w:rPr>
          <w:color w:val="2E74B5" w:themeColor="accent1" w:themeShade="BF"/>
        </w:rPr>
      </w:pPr>
      <w:r>
        <w:br/>
        <w:t>17. Figure 1: Please include scale bars in all the figures of the panel and include the details in the Figure Legends.</w:t>
      </w:r>
    </w:p>
    <w:p w14:paraId="13617CA6" w14:textId="77777777" w:rsidR="004369F2" w:rsidRDefault="000F0C6E">
      <w:pPr>
        <w:pStyle w:val="a9"/>
      </w:pPr>
      <w:r>
        <w:rPr>
          <w:color w:val="2E74B5" w:themeColor="accent1" w:themeShade="BF"/>
        </w:rPr>
        <w:t>Answer: The scale bars were included in the corres</w:t>
      </w:r>
      <w:r>
        <w:rPr>
          <w:color w:val="2E74B5" w:themeColor="accent1" w:themeShade="BF"/>
        </w:rPr>
        <w:t>ponding figures.</w:t>
      </w:r>
      <w:r>
        <w:t xml:space="preserve"> </w:t>
      </w:r>
    </w:p>
    <w:p w14:paraId="1DF7B5F6" w14:textId="77777777" w:rsidR="004369F2" w:rsidRDefault="000F0C6E">
      <w:pPr>
        <w:pStyle w:val="a9"/>
        <w:rPr>
          <w:rStyle w:val="aa"/>
          <w:rFonts w:ascii="宋体" w:eastAsia="宋体" w:hAnsi="宋体" w:cs="宋体"/>
          <w:color w:val="0000FF"/>
          <w:u w:val="single"/>
        </w:rPr>
      </w:pPr>
      <w:r>
        <w:br/>
        <w:t>18. Please sort the Table of Materials in alphabetical order.</w:t>
      </w:r>
      <w:r>
        <w:br/>
      </w:r>
      <w:r>
        <w:br/>
      </w:r>
      <w:r>
        <w:rPr>
          <w:color w:val="2E74B5" w:themeColor="accent1" w:themeShade="BF"/>
        </w:rPr>
        <w:t>Answer: Relevant changes have been made in the Table of Materials.</w:t>
      </w:r>
      <w:r>
        <w:br/>
      </w:r>
    </w:p>
    <w:p w14:paraId="430C670C" w14:textId="77777777" w:rsidR="004369F2" w:rsidRDefault="000F0C6E">
      <w:pPr>
        <w:spacing w:after="160" w:line="259" w:lineRule="auto"/>
        <w:rPr>
          <w:rFonts w:ascii="MS Mincho" w:cs="MS Mincho"/>
        </w:rPr>
      </w:pPr>
      <w:r>
        <w:rPr>
          <w:rStyle w:val="aa"/>
          <w:rFonts w:ascii="宋体" w:eastAsia="宋体" w:hAnsi="宋体" w:cs="宋体"/>
          <w:color w:val="0000FF"/>
          <w:u w:val="single"/>
        </w:rPr>
        <w:br w:type="page"/>
      </w:r>
      <w:r>
        <w:rPr>
          <w:rStyle w:val="aa"/>
          <w:rFonts w:ascii="宋体" w:eastAsia="宋体" w:hAnsi="宋体" w:cs="宋体" w:hint="eastAsia"/>
          <w:color w:val="0000FF"/>
          <w:u w:val="single"/>
        </w:rPr>
        <w:t>Reviewers' comments:</w:t>
      </w:r>
      <w:r>
        <w:br/>
      </w:r>
      <w:r>
        <w:rPr>
          <w:b/>
          <w:bCs/>
        </w:rPr>
        <w:t xml:space="preserve">Reviewer #1: </w:t>
      </w:r>
      <w:r>
        <w:br/>
        <w:t>Manuscript Summary:</w:t>
      </w:r>
      <w:r>
        <w:br/>
        <w:t>The objective of the manuscript was to establish a</w:t>
      </w:r>
      <w:r>
        <w:t xml:space="preserve"> quick, straightforward experimental approach to identify synergistic drug interactions between the alkylating agent temozolomide and clinically actionable drug targets. The authors show efficacy in cell isolation from a clinical Glioblastoma specimen. Bio</w:t>
      </w:r>
      <w:r>
        <w:t>luminescence is employed as a reporter for cell viability, within a dynamic range for quantitative and qualitative analysis. From the 20 small molecule inhibitors, 65% demonstrated synergy in cell viability with an IC50 dose of temozolomide. The authors de</w:t>
      </w:r>
      <w:r>
        <w:t>scribe a statistical method for calculating drug synergy based on the Loewe additivity model. While conducting drug synergy analysis on a single concentration combination certainly simplifies preclinical drug studies, this procedure diminishes scientific r</w:t>
      </w:r>
      <w:r>
        <w:t>igor and reproducibility. Even though technical replicates improve the validity of this procedure, biological replicates of varying concentrations are necessary to analyze the true scope of variance of combination therapies. With this said, this manuscript</w:t>
      </w:r>
      <w:r>
        <w:t xml:space="preserve"> will benefit from substantial revisions in study design.</w:t>
      </w:r>
      <w:r>
        <w:br/>
      </w:r>
      <w:r>
        <w:br/>
        <w:t>Major Concerns:</w:t>
      </w:r>
      <w:r>
        <w:br/>
        <w:t>Lines 130-135 : "Especially, the SI of the top two candidate drugs UMI-77 and A 83-01 were higher than 0.25, suggesting their potential to synergize the anti-GBM effect of temozolom</w:t>
      </w:r>
      <w:r>
        <w:t xml:space="preserve">ide is promising". To substantiate this statement additional patient derived models are required. </w:t>
      </w:r>
      <w:r>
        <w:rPr>
          <w:rFonts w:ascii="MS Mincho" w:eastAsia="MS Mincho" w:cs="MS Mincho" w:hint="eastAsia"/>
        </w:rPr>
        <w:t> </w:t>
      </w:r>
    </w:p>
    <w:p w14:paraId="4DDA188A" w14:textId="77777777" w:rsidR="004369F2" w:rsidRDefault="000F0C6E">
      <w:pPr>
        <w:spacing w:after="160" w:line="259" w:lineRule="auto"/>
        <w:rPr>
          <w:color w:val="2E74B5" w:themeColor="accent1" w:themeShade="BF"/>
        </w:rPr>
      </w:pPr>
      <w:r>
        <w:rPr>
          <w:color w:val="2E74B5" w:themeColor="accent1" w:themeShade="BF"/>
        </w:rPr>
        <w:t>Answer: To confirm that this is not a XG387 GSCs dependent effect, we took advantage of another patient derived GSC model established early in our lab and f</w:t>
      </w:r>
      <w:r>
        <w:rPr>
          <w:color w:val="2E74B5" w:themeColor="accent1" w:themeShade="BF"/>
        </w:rPr>
        <w:t>urther tested the drug-drug interaction of UMI-77 and temozolomide on it.</w:t>
      </w:r>
    </w:p>
    <w:p w14:paraId="42EC5687" w14:textId="77777777" w:rsidR="004369F2" w:rsidRDefault="000F0C6E">
      <w:pPr>
        <w:spacing w:after="160" w:line="259" w:lineRule="auto"/>
        <w:rPr>
          <w:rFonts w:ascii="MS Mincho" w:cs="MS Mincho"/>
        </w:rPr>
      </w:pPr>
      <w:r>
        <w:br/>
        <w:t xml:space="preserve">Lines 146-148: "To simplify the process, we used a screening workflow for rapidly identifying </w:t>
      </w:r>
      <w:r>
        <w:rPr>
          <w:rFonts w:ascii="MS Mincho" w:eastAsia="MS Mincho" w:cs="MS Mincho" w:hint="eastAsia"/>
        </w:rPr>
        <w:t> </w:t>
      </w:r>
      <w:r>
        <w:t>potential drug combinations that inhibit the growth of GSCs originated from surgical b</w:t>
      </w:r>
      <w:r>
        <w:t xml:space="preserve">iopsies of patient glioblastoma". As this analytical method is central to the manuscript, the performance of this methods needs to be tested for specificity and sensitivity alongside a gold standard methodology (such as Bliss). </w:t>
      </w:r>
      <w:r>
        <w:rPr>
          <w:rFonts w:ascii="MS Mincho" w:eastAsia="MS Mincho" w:cs="MS Mincho" w:hint="eastAsia"/>
        </w:rPr>
        <w:t> </w:t>
      </w:r>
    </w:p>
    <w:p w14:paraId="7FC03E33" w14:textId="77777777" w:rsidR="004369F2" w:rsidRDefault="000F0C6E">
      <w:pPr>
        <w:spacing w:after="160" w:line="259" w:lineRule="auto"/>
        <w:jc w:val="both"/>
        <w:rPr>
          <w:color w:val="2E74B5" w:themeColor="accent1" w:themeShade="BF"/>
        </w:rPr>
      </w:pPr>
      <w:r>
        <w:rPr>
          <w:color w:val="2E74B5" w:themeColor="accent1" w:themeShade="BF"/>
        </w:rPr>
        <w:t>Answer: We applied the Bli</w:t>
      </w:r>
      <w:r>
        <w:rPr>
          <w:color w:val="2E74B5" w:themeColor="accent1" w:themeShade="BF"/>
        </w:rPr>
        <w:t>ss and HSA models to confirm the finding that UMI-77 synergized the GSCs inhibitory effect of temozolomide. In addition, in a previous study, we reported that temozolomide and UMI-77 have synergistic anti-glioma effect in established GBM cell lines (Mol Ca</w:t>
      </w:r>
      <w:r>
        <w:rPr>
          <w:color w:val="2E74B5" w:themeColor="accent1" w:themeShade="BF"/>
        </w:rPr>
        <w:t>ncer Ther. 2020;19(10):2001-11). These results/information were all included in the manuscript.</w:t>
      </w:r>
    </w:p>
    <w:p w14:paraId="0D1F1D79" w14:textId="77777777" w:rsidR="004369F2" w:rsidRDefault="000F0C6E">
      <w:pPr>
        <w:spacing w:after="160" w:line="259" w:lineRule="auto"/>
        <w:jc w:val="both"/>
      </w:pPr>
      <w:r>
        <w:br/>
      </w:r>
      <w:r>
        <w:br/>
        <w:t>Figure 1A: missing scale for phase contrast microscopic images</w:t>
      </w:r>
    </w:p>
    <w:p w14:paraId="7DBA50A4" w14:textId="77777777" w:rsidR="004369F2" w:rsidRDefault="000F0C6E">
      <w:pPr>
        <w:pStyle w:val="a9"/>
      </w:pPr>
      <w:r>
        <w:rPr>
          <w:color w:val="2E74B5" w:themeColor="accent1" w:themeShade="BF"/>
        </w:rPr>
        <w:t>Answer: The scale bars were added in the corresponding figures.</w:t>
      </w:r>
      <w:r>
        <w:t xml:space="preserve"> </w:t>
      </w:r>
    </w:p>
    <w:p w14:paraId="6FB4B1CA" w14:textId="77777777" w:rsidR="004369F2" w:rsidRDefault="000F0C6E">
      <w:pPr>
        <w:spacing w:after="160" w:line="259" w:lineRule="auto"/>
      </w:pPr>
      <w:r>
        <w:br/>
        <w:t>Figure 1C: could show correla</w:t>
      </w:r>
      <w:r>
        <w:t>tion analysis for cell density and luminescenc</w:t>
      </w:r>
    </w:p>
    <w:p w14:paraId="0215894C" w14:textId="77777777" w:rsidR="004369F2" w:rsidRDefault="000F0C6E">
      <w:pPr>
        <w:spacing w:after="160" w:line="259" w:lineRule="auto"/>
      </w:pPr>
      <w:r>
        <w:rPr>
          <w:color w:val="2E74B5" w:themeColor="accent1" w:themeShade="BF"/>
        </w:rPr>
        <w:t>Answer</w:t>
      </w:r>
      <w:r>
        <w:rPr>
          <w:rFonts w:hint="eastAsia"/>
          <w:color w:val="2E74B5" w:themeColor="accent1" w:themeShade="BF"/>
        </w:rPr>
        <w:t>：</w:t>
      </w:r>
      <w:r>
        <w:rPr>
          <w:rFonts w:hint="eastAsia"/>
          <w:color w:val="2E74B5" w:themeColor="accent1" w:themeShade="BF"/>
        </w:rPr>
        <w:t xml:space="preserve"> </w:t>
      </w:r>
      <w:r>
        <w:rPr>
          <w:color w:val="2E74B5" w:themeColor="accent1" w:themeShade="BF"/>
        </w:rPr>
        <w:t>The correlation analysis was shown in Fig. 1C.</w:t>
      </w:r>
      <w:r>
        <w:br/>
      </w:r>
      <w:r>
        <w:br/>
        <w:t xml:space="preserve">Figure 1C, D: number of technical replicates is not mentioned. </w:t>
      </w:r>
    </w:p>
    <w:p w14:paraId="0F40E647" w14:textId="7DCB351B" w:rsidR="004369F2" w:rsidRDefault="000F0C6E">
      <w:pPr>
        <w:spacing w:after="160" w:line="259" w:lineRule="auto"/>
        <w:rPr>
          <w:color w:val="2E74B5" w:themeColor="accent1" w:themeShade="BF"/>
        </w:rPr>
      </w:pPr>
      <w:r>
        <w:rPr>
          <w:color w:val="2E74B5" w:themeColor="accent1" w:themeShade="BF"/>
        </w:rPr>
        <w:t xml:space="preserve">Answer: All experiments except the drug screen were performed in triplicate with two </w:t>
      </w:r>
      <w:r>
        <w:rPr>
          <w:color w:val="2E74B5" w:themeColor="accent1" w:themeShade="BF"/>
        </w:rPr>
        <w:t>independent experiments. This is also mentioned in the manuscript.</w:t>
      </w:r>
      <w:r>
        <w:br/>
      </w:r>
      <w:r>
        <w:br/>
        <w:t>Minor Concerns:</w:t>
      </w:r>
      <w:r>
        <w:br/>
        <w:t>"Those pieces containing substantial amounts of necrosis were removed". Please elaborate on how necrosis was identified and what were the steps that were employed to separa</w:t>
      </w:r>
      <w:r>
        <w:t xml:space="preserve">te necrotic areas. </w:t>
      </w:r>
      <w:r>
        <w:br/>
      </w:r>
      <w:r>
        <w:rPr>
          <w:color w:val="2E74B5" w:themeColor="accent1" w:themeShade="BF"/>
        </w:rPr>
        <w:t>Answer: According to experience, the necrotic region in the tumor appear</w:t>
      </w:r>
      <w:r w:rsidR="00101788">
        <w:rPr>
          <w:color w:val="2E74B5" w:themeColor="accent1" w:themeShade="BF"/>
        </w:rPr>
        <w:t>s</w:t>
      </w:r>
      <w:r>
        <w:rPr>
          <w:color w:val="2E74B5" w:themeColor="accent1" w:themeShade="BF"/>
        </w:rPr>
        <w:t xml:space="preserve"> to be the black or dark red solid mass that caused by blockage of intratumor vessels and blood clotting inside of the tumor.</w:t>
      </w:r>
    </w:p>
    <w:p w14:paraId="47CEF814" w14:textId="77777777" w:rsidR="004369F2" w:rsidRDefault="000F0C6E">
      <w:pPr>
        <w:spacing w:after="160" w:line="259" w:lineRule="auto"/>
      </w:pPr>
      <w:r>
        <w:rPr>
          <w:noProof/>
        </w:rPr>
        <w:drawing>
          <wp:inline distT="0" distB="0" distL="0" distR="0" wp14:anchorId="5AC60E2A" wp14:editId="7B1A456F">
            <wp:extent cx="2626995" cy="1249680"/>
            <wp:effectExtent l="0" t="0" r="1905" b="762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2"/>
                    <a:stretch>
                      <a:fillRect/>
                    </a:stretch>
                  </pic:blipFill>
                  <pic:spPr>
                    <a:xfrm>
                      <a:off x="0" y="0"/>
                      <a:ext cx="2627604" cy="1249788"/>
                    </a:xfrm>
                    <a:prstGeom prst="rect">
                      <a:avLst/>
                    </a:prstGeom>
                  </pic:spPr>
                </pic:pic>
              </a:graphicData>
            </a:graphic>
          </wp:inline>
        </w:drawing>
      </w:r>
    </w:p>
    <w:p w14:paraId="6A0FF047" w14:textId="77777777" w:rsidR="004369F2" w:rsidRDefault="000F0C6E">
      <w:pPr>
        <w:spacing w:after="160" w:line="259" w:lineRule="auto"/>
      </w:pPr>
      <w:r>
        <w:br/>
        <w:t>"quantified by Living Image 4.2". M</w:t>
      </w:r>
      <w:r>
        <w:t xml:space="preserve">ore information is needed in regards to specifying </w:t>
      </w:r>
      <w:bookmarkStart w:id="24" w:name="OLE_LINK63"/>
      <w:bookmarkStart w:id="25" w:name="OLE_LINK64"/>
      <w:r>
        <w:t xml:space="preserve">ROI (region of interest) </w:t>
      </w:r>
      <w:bookmarkEnd w:id="24"/>
      <w:bookmarkEnd w:id="25"/>
      <w:r>
        <w:t>and data acquisition</w:t>
      </w:r>
    </w:p>
    <w:p w14:paraId="0081CBE8" w14:textId="77777777" w:rsidR="004369F2" w:rsidRDefault="000F0C6E">
      <w:pPr>
        <w:spacing w:after="160" w:line="259" w:lineRule="auto"/>
        <w:rPr>
          <w:color w:val="2E74B5" w:themeColor="accent1" w:themeShade="BF"/>
        </w:rPr>
      </w:pPr>
      <w:r>
        <w:rPr>
          <w:color w:val="2E74B5" w:themeColor="accent1" w:themeShade="BF"/>
        </w:rPr>
        <w:t>Answer: We quantified the intensity of photons of each well in the 96-well plate by creating multiple circle area of ROI using Living Image 4.2 built-in functi</w:t>
      </w:r>
      <w:r>
        <w:rPr>
          <w:color w:val="2E74B5" w:themeColor="accent1" w:themeShade="BF"/>
        </w:rPr>
        <w:t xml:space="preserve">on. </w:t>
      </w:r>
    </w:p>
    <w:p w14:paraId="0E783D47" w14:textId="77777777" w:rsidR="004369F2" w:rsidRDefault="000F0C6E">
      <w:pPr>
        <w:spacing w:after="160" w:line="259" w:lineRule="auto"/>
      </w:pPr>
      <w:r>
        <w:br/>
        <w:t>Line 104-106: "We previously established a formula to calculate the high-drug combination screening in which a Sensitivity Index (SI) score was introduced to quantify the influence of the addition of another drug (1)". Check the reference as this app</w:t>
      </w:r>
      <w:r>
        <w:t>ears to reference the 2020 Mol Can Ther manuscript.</w:t>
      </w:r>
    </w:p>
    <w:p w14:paraId="35D396E6" w14:textId="77777777" w:rsidR="004369F2" w:rsidRDefault="000F0C6E">
      <w:pPr>
        <w:spacing w:after="160" w:line="259" w:lineRule="auto"/>
      </w:pPr>
      <w:r>
        <w:rPr>
          <w:color w:val="2E74B5" w:themeColor="accent1" w:themeShade="BF"/>
        </w:rPr>
        <w:t>Answer: We have removed this part of text including this citation.</w:t>
      </w:r>
      <w:r>
        <w:br/>
      </w:r>
      <w:r>
        <w:br/>
        <w:t>Numerous grammatical errors noted:</w:t>
      </w:r>
      <w:r>
        <w:br/>
      </w:r>
      <w:r>
        <w:br/>
        <w:t>i.e. Abstract: "The presence of GSCs making the GBM very refractory to most of individual targeted a</w:t>
      </w:r>
      <w:r>
        <w:t>gents"</w:t>
      </w:r>
      <w:r>
        <w:br/>
      </w:r>
      <w:r>
        <w:rPr>
          <w:color w:val="2E74B5" w:themeColor="accent1" w:themeShade="BF"/>
        </w:rPr>
        <w:t>Answer: “making” was replaced by “makes”.</w:t>
      </w:r>
    </w:p>
    <w:p w14:paraId="1150CD30" w14:textId="77777777" w:rsidR="004369F2" w:rsidRDefault="000F0C6E">
      <w:pPr>
        <w:spacing w:after="160" w:line="259" w:lineRule="auto"/>
      </w:pPr>
      <w:r>
        <w:br/>
        <w:t>Lines 114-115: "A series of the density of XG387-Luc cells"</w:t>
      </w:r>
    </w:p>
    <w:p w14:paraId="63DC5B24" w14:textId="77777777" w:rsidR="004369F2" w:rsidRDefault="000F0C6E">
      <w:pPr>
        <w:spacing w:after="160" w:line="259" w:lineRule="auto"/>
      </w:pPr>
      <w:r>
        <w:rPr>
          <w:color w:val="2E74B5" w:themeColor="accent1" w:themeShade="BF"/>
        </w:rPr>
        <w:t>Answer: Corrected to “</w:t>
      </w:r>
      <w:bookmarkStart w:id="26" w:name="OLE_LINK28"/>
      <w:bookmarkStart w:id="27" w:name="OLE_LINK27"/>
      <w:r>
        <w:rPr>
          <w:color w:val="2E74B5" w:themeColor="accent1" w:themeShade="BF"/>
        </w:rPr>
        <w:t xml:space="preserve">A series of </w:t>
      </w:r>
      <w:bookmarkEnd w:id="26"/>
      <w:bookmarkEnd w:id="27"/>
      <w:r>
        <w:rPr>
          <w:color w:val="2E74B5" w:themeColor="accent1" w:themeShade="BF"/>
        </w:rPr>
        <w:t>densities of XG387-Luc cells”.</w:t>
      </w:r>
      <w:r>
        <w:br/>
      </w:r>
      <w:r>
        <w:br/>
        <w:t>Lines 135-137: "</w:t>
      </w:r>
      <w:bookmarkStart w:id="28" w:name="OLE_LINK30"/>
      <w:bookmarkStart w:id="29" w:name="OLE_LINK29"/>
      <w:r>
        <w:t>The heterogenetic nature of GBM</w:t>
      </w:r>
      <w:bookmarkEnd w:id="28"/>
      <w:bookmarkEnd w:id="29"/>
      <w:r>
        <w:t>, such as the difference in genet</w:t>
      </w:r>
      <w:r>
        <w:t xml:space="preserve">ic mutations, subtypes, epigenetic regulation, and tumor microenvironment, making them refractory cancers for targeted therapy </w:t>
      </w:r>
      <w:r>
        <w:rPr>
          <w:rFonts w:ascii="MS Mincho" w:eastAsia="MS Mincho" w:cs="MS Mincho" w:hint="eastAsia"/>
        </w:rPr>
        <w:t> </w:t>
      </w:r>
      <w:r>
        <w:br/>
      </w:r>
      <w:r>
        <w:rPr>
          <w:color w:val="2E74B5" w:themeColor="accent1" w:themeShade="BF"/>
        </w:rPr>
        <w:t>Answer: “making” was replaced by “which makes”.</w:t>
      </w:r>
      <w:r>
        <w:br/>
      </w:r>
      <w:r>
        <w:br/>
      </w:r>
      <w:r>
        <w:rPr>
          <w:b/>
          <w:bCs/>
        </w:rPr>
        <w:t>Reviewer #2:</w:t>
      </w:r>
      <w:r>
        <w:br/>
        <w:t>Manuscript Summary:</w:t>
      </w:r>
      <w:r>
        <w:br/>
        <w:t>This manuscript describes a protocol for scre</w:t>
      </w:r>
      <w:r>
        <w:t>ening GSCs to identify potential drug combinations for glioblastoma therapy. The methodology includes isolating and culturing presumed GSCs from GBM tumor tissue, establishing luciferase-tagged GSC cells, combination drug screening, and analysis of resulti</w:t>
      </w:r>
      <w:r>
        <w:t>ng data. The authors tested the ability of 20 small molecule inhibitors to synergize with the standard of care drug, temozolomide (TMZ), in one patient-derived GSC line. Based on Sensitive Index (SI) values the authors identify lead candidates such as UMI-</w:t>
      </w:r>
      <w:r>
        <w:t>77 and A 83-01 as having the potential to synergize with TMZ.</w:t>
      </w:r>
      <w:r>
        <w:br/>
      </w:r>
      <w:r>
        <w:br/>
        <w:t>Major Concerns:</w:t>
      </w:r>
      <w:r>
        <w:br/>
        <w:t xml:space="preserve">This protocol is of interest to researchers working on glioblastoma as well as other cancer researchers. However, a major concern is that only one patient-derived GBM cell line </w:t>
      </w:r>
      <w:r>
        <w:t>has been utilized. The efficacy and reproducibility of the protocol can not be clearly demonstrated with one sample. Have other GBM patient-derived cells been tested? The authors also do not provide any methodology or data on how they validated the stem li</w:t>
      </w:r>
      <w:r>
        <w:t>ke properties of the cells used for screening. Were any experiments performed to confirm the stem cell phenotype? The Discussion does not adequately address how the authors method and formula to calculate SI compares to other HTS screening protocols and st</w:t>
      </w:r>
      <w:r>
        <w:t>atistical models to evaluate drug combination efficacy.</w:t>
      </w:r>
      <w:r>
        <w:br/>
      </w:r>
      <w:r>
        <w:br/>
        <w:t>Minor Concerns:</w:t>
      </w:r>
      <w:r>
        <w:br/>
        <w:t xml:space="preserve">No passage numbers are provided for the cells. Were the cells tested for mycoplasma prior to use in experiments? </w:t>
      </w:r>
    </w:p>
    <w:p w14:paraId="17A15078" w14:textId="179DDBC7" w:rsidR="004369F2" w:rsidRDefault="000F0C6E">
      <w:pPr>
        <w:spacing w:after="160" w:line="259" w:lineRule="auto"/>
        <w:rPr>
          <w:color w:val="2E74B5" w:themeColor="accent1" w:themeShade="BF"/>
        </w:rPr>
      </w:pPr>
      <w:r>
        <w:rPr>
          <w:rFonts w:hint="eastAsia"/>
          <w:color w:val="2E74B5" w:themeColor="accent1" w:themeShade="BF"/>
        </w:rPr>
        <w:t>A</w:t>
      </w:r>
      <w:r>
        <w:rPr>
          <w:color w:val="2E74B5" w:themeColor="accent1" w:themeShade="BF"/>
        </w:rPr>
        <w:t>nswer: We confirmed that all GSCs are mycoplasma negative by PCR-bas</w:t>
      </w:r>
      <w:r>
        <w:rPr>
          <w:color w:val="2E74B5" w:themeColor="accent1" w:themeShade="BF"/>
        </w:rPr>
        <w:t>ed mycoplasma test</w:t>
      </w:r>
      <w:r>
        <w:rPr>
          <w:color w:val="2E74B5" w:themeColor="accent1" w:themeShade="BF"/>
        </w:rPr>
        <w:t xml:space="preserve"> before formal experiments. All experiment involved GSCs were carried out &lt;15 passages.</w:t>
      </w:r>
    </w:p>
    <w:p w14:paraId="2298BDA6" w14:textId="77777777" w:rsidR="004369F2" w:rsidRDefault="000F0C6E">
      <w:pPr>
        <w:spacing w:after="160" w:line="259" w:lineRule="auto"/>
      </w:pPr>
      <w:r>
        <w:t>This should be stated in the manuscript.</w:t>
      </w:r>
      <w:r>
        <w:br/>
        <w:t>Line 125: "closed" should be replaced with "close".</w:t>
      </w:r>
    </w:p>
    <w:p w14:paraId="58B049AB" w14:textId="77777777" w:rsidR="004369F2" w:rsidRDefault="000F0C6E">
      <w:pPr>
        <w:spacing w:after="160" w:line="259" w:lineRule="auto"/>
        <w:rPr>
          <w:color w:val="2E74B5" w:themeColor="accent1" w:themeShade="BF"/>
        </w:rPr>
      </w:pPr>
      <w:r>
        <w:rPr>
          <w:color w:val="2E74B5" w:themeColor="accent1" w:themeShade="BF"/>
        </w:rPr>
        <w:t>Answer: Corrected.</w:t>
      </w:r>
    </w:p>
    <w:p w14:paraId="7E070015" w14:textId="77777777" w:rsidR="004369F2" w:rsidRDefault="000F0C6E">
      <w:pPr>
        <w:spacing w:after="160" w:line="259" w:lineRule="auto"/>
      </w:pPr>
      <w:r>
        <w:t xml:space="preserve">Line 140: "control" should be </w:t>
      </w:r>
      <w:r>
        <w:t>"controlling".</w:t>
      </w:r>
    </w:p>
    <w:p w14:paraId="6D9B1319" w14:textId="77777777" w:rsidR="004369F2" w:rsidRDefault="000F0C6E">
      <w:pPr>
        <w:spacing w:after="160" w:line="259" w:lineRule="auto"/>
        <w:rPr>
          <w:color w:val="2E74B5" w:themeColor="accent1" w:themeShade="BF"/>
        </w:rPr>
      </w:pPr>
      <w:r>
        <w:rPr>
          <w:color w:val="2E74B5" w:themeColor="accent1" w:themeShade="BF"/>
        </w:rPr>
        <w:t>Answer: Corrected.</w:t>
      </w:r>
    </w:p>
    <w:p w14:paraId="71388E74" w14:textId="77777777" w:rsidR="004369F2" w:rsidRDefault="000F0C6E">
      <w:pPr>
        <w:spacing w:after="160" w:line="259" w:lineRule="auto"/>
      </w:pPr>
      <w:r>
        <w:t>There is no scale bar for Figure 1A.</w:t>
      </w:r>
    </w:p>
    <w:p w14:paraId="21BDF965" w14:textId="77777777" w:rsidR="004369F2" w:rsidRDefault="000F0C6E">
      <w:pPr>
        <w:pStyle w:val="a9"/>
      </w:pPr>
      <w:r>
        <w:rPr>
          <w:color w:val="2E74B5" w:themeColor="accent1" w:themeShade="BF"/>
        </w:rPr>
        <w:t>Answer: The scale bars were included in the corresponding figures.</w:t>
      </w:r>
      <w:r>
        <w:t xml:space="preserve"> </w:t>
      </w:r>
    </w:p>
    <w:p w14:paraId="101557E9" w14:textId="77777777" w:rsidR="004369F2" w:rsidRDefault="000F0C6E">
      <w:pPr>
        <w:spacing w:after="160" w:line="259" w:lineRule="auto"/>
      </w:pPr>
      <w:r>
        <w:br/>
      </w:r>
      <w:r>
        <w:rPr>
          <w:b/>
          <w:bCs/>
        </w:rPr>
        <w:t xml:space="preserve">Reviewer #3: </w:t>
      </w:r>
      <w:r>
        <w:br/>
        <w:t>Most of the suggestions I have are based on punctuation/grammar. I see no major issues with the method</w:t>
      </w:r>
      <w:r>
        <w:t>s presented here. However, there are a few details that could be added to make it easier for the reader to replicate the technique. Additionally, I highly recommend modifying the recipe of your GSC medium for future experiments if possible (as explained be</w:t>
      </w:r>
      <w:r>
        <w:t>low).</w:t>
      </w:r>
      <w:r>
        <w:br/>
      </w:r>
      <w:r>
        <w:br/>
      </w:r>
      <w:bookmarkStart w:id="30" w:name="OLE_LINK31"/>
      <w:bookmarkStart w:id="31" w:name="OLE_LINK32"/>
      <w:bookmarkStart w:id="32" w:name="OLE_LINK33"/>
      <w:r>
        <w:t>Punctuation/Grammar</w:t>
      </w:r>
      <w:bookmarkEnd w:id="30"/>
      <w:bookmarkEnd w:id="31"/>
      <w:bookmarkEnd w:id="32"/>
      <w:r>
        <w:t>:</w:t>
      </w:r>
      <w:r>
        <w:br/>
      </w:r>
      <w:r>
        <w:br/>
        <w:t>Abstract:</w:t>
      </w:r>
      <w:r>
        <w:br/>
      </w:r>
      <w:bookmarkStart w:id="33" w:name="_Hlk62734399"/>
      <w:r>
        <w:t>The glioma stem cells (GSCs) are a small fraction of cancer cells which play essential roles in tumor initiation, angiogenesis, and drug resistance in glioblastoma (GBM), the most prevalent and devastating primary bra</w:t>
      </w:r>
      <w:r>
        <w:t>in tumor. The presence of GSCs makes the GBM very refractory to most of individual targeted agents, so high-throughput screening methods are required to identify potential effective combination therapeutics. Here, we describe a simple workflow to enable ra</w:t>
      </w:r>
      <w:r>
        <w:t>pid screening for potential combination therapy with synergistic interaction. The general steps of this workflow consist of establishing luciferase-tagged GSC cells, preparing matrigel coated plates, combination drug screening, analyzing and validating the</w:t>
      </w:r>
      <w:r>
        <w:t xml:space="preserve"> results.</w:t>
      </w:r>
      <w:bookmarkEnd w:id="33"/>
    </w:p>
    <w:p w14:paraId="1DDA2C4F" w14:textId="77777777" w:rsidR="004369F2" w:rsidRDefault="000F0C6E">
      <w:pPr>
        <w:spacing w:after="160" w:line="259" w:lineRule="auto"/>
        <w:rPr>
          <w:color w:val="2E74B5" w:themeColor="accent1" w:themeShade="BF"/>
        </w:rPr>
      </w:pPr>
      <w:r>
        <w:rPr>
          <w:color w:val="2E74B5" w:themeColor="accent1" w:themeShade="BF"/>
        </w:rPr>
        <w:t xml:space="preserve">Answer: We are thankful for the kind helps on punctuations/grammars. The corresponding corrections have been made in the manuscript. </w:t>
      </w:r>
      <w:r>
        <w:br/>
      </w:r>
      <w:r>
        <w:br/>
        <w:t>Line 47:</w:t>
      </w:r>
      <w:r>
        <w:br/>
      </w:r>
      <w:bookmarkStart w:id="34" w:name="OLE_LINK34"/>
      <w:bookmarkStart w:id="35" w:name="OLE_LINK35"/>
      <w:r>
        <w:t>plates (Corning, NY, USA) filled with GSC culture medium (see Table 1 for the recipe) in a cell</w:t>
      </w:r>
      <w:bookmarkEnd w:id="34"/>
      <w:bookmarkEnd w:id="35"/>
      <w:r>
        <w:br/>
      </w:r>
      <w:r>
        <w:br/>
        <w:t xml:space="preserve">Line </w:t>
      </w:r>
      <w:r>
        <w:t>48:</w:t>
      </w:r>
      <w:r>
        <w:br/>
      </w:r>
      <w:bookmarkStart w:id="36" w:name="_Hlk62749143"/>
      <w:r>
        <w:t xml:space="preserve">incubator within a 37 </w:t>
      </w:r>
      <w:r>
        <w:rPr>
          <w:rFonts w:hint="eastAsia"/>
        </w:rPr>
        <w:t>°</w:t>
      </w:r>
      <w:r>
        <w:t>C, 5% CO2, and 90% humidity sterile incubator until formation of</w:t>
      </w:r>
      <w:bookmarkEnd w:id="36"/>
      <w:r>
        <w:br/>
      </w:r>
      <w:r>
        <w:br/>
        <w:t>Line 51:</w:t>
      </w:r>
      <w:r>
        <w:br/>
      </w:r>
      <w:bookmarkStart w:id="37" w:name="_Hlk62749218"/>
      <w:bookmarkStart w:id="38" w:name="OLE_LINK40"/>
      <w:r>
        <w:t>resuspended and split into several flasks filled with the above culture medium for maintaining</w:t>
      </w:r>
      <w:bookmarkEnd w:id="37"/>
      <w:bookmarkEnd w:id="38"/>
      <w:r>
        <w:br/>
      </w:r>
      <w:r>
        <w:br/>
        <w:t>Line 65:</w:t>
      </w:r>
      <w:r>
        <w:br/>
        <w:t>2.4 GSCs with high GFP fluorescence were selected</w:t>
      </w:r>
      <w:r>
        <w:t xml:space="preserve"> for further culturing by cell sorting using a BD</w:t>
      </w:r>
      <w:r>
        <w:br/>
      </w:r>
      <w:r>
        <w:br/>
        <w:t>Line 69:</w:t>
      </w:r>
      <w:r>
        <w:br/>
        <w:t>To validate that the bio-luminescence of the luciferase tagged cells could be used to</w:t>
      </w:r>
      <w:r>
        <w:br/>
      </w:r>
      <w:r>
        <w:br/>
        <w:t>Line 71/72:</w:t>
      </w:r>
      <w:r>
        <w:br/>
        <w:t xml:space="preserve">3.1 100 </w:t>
      </w:r>
      <w:r>
        <w:rPr>
          <w:rFonts w:hint="eastAsia"/>
        </w:rPr>
        <w:t>μ</w:t>
      </w:r>
      <w:r>
        <w:t>l culture medium containing 15000, 10000, 8000, 6000, 4000, 2000, 1000, and 500 XG387-Lu</w:t>
      </w:r>
      <w:r>
        <w:t xml:space="preserve">c cells, together with 100 </w:t>
      </w:r>
      <w:r>
        <w:rPr>
          <w:rFonts w:hint="eastAsia"/>
        </w:rPr>
        <w:t>μ</w:t>
      </w:r>
      <w:r>
        <w:t>l blank medium as control, were added into each well for six</w:t>
      </w:r>
      <w:r>
        <w:br/>
      </w:r>
      <w:r>
        <w:br/>
        <w:t>Line 74:</w:t>
      </w:r>
      <w:r>
        <w:br/>
        <w:t xml:space="preserve">3.2 In The next day, after removal of the supernatant, 50 </w:t>
      </w:r>
      <w:r>
        <w:rPr>
          <w:rFonts w:hint="eastAsia"/>
        </w:rPr>
        <w:t>μ</w:t>
      </w:r>
      <w:r>
        <w:t>l culture medium containing 150 ng/</w:t>
      </w:r>
      <w:r>
        <w:rPr>
          <w:rFonts w:hint="eastAsia"/>
        </w:rPr>
        <w:t>μ</w:t>
      </w:r>
      <w:r>
        <w:t>l</w:t>
      </w:r>
      <w:r>
        <w:br/>
      </w:r>
      <w:r>
        <w:br/>
        <w:t>Line 92:</w:t>
      </w:r>
      <w:r>
        <w:br/>
        <w:t>containing temozolomide was added into each well f</w:t>
      </w:r>
      <w:r>
        <w:t>or three technical replicates per treatment. No</w:t>
      </w:r>
      <w:r>
        <w:br/>
      </w:r>
      <w:r>
        <w:br/>
        <w:t>Line 93:</w:t>
      </w:r>
      <w:r>
        <w:br/>
        <w:t>medium refreshment was required until bio-luminescence measurement.</w:t>
      </w:r>
      <w:r>
        <w:br/>
      </w:r>
      <w:r>
        <w:br/>
        <w:t>Line 96:</w:t>
      </w:r>
      <w:r>
        <w:br/>
        <w:t>agent, or a combination of both was added into each well for three technical replicates per treatment.</w:t>
      </w:r>
      <w:r>
        <w:br/>
      </w:r>
      <w:r>
        <w:br/>
        <w:t>Line 97:</w:t>
      </w:r>
      <w:r>
        <w:br/>
        <w:t>No medi</w:t>
      </w:r>
      <w:r>
        <w:t>um refreshment was required until bio-luminescence measurement.</w:t>
      </w:r>
      <w:r>
        <w:br/>
      </w:r>
      <w:r>
        <w:br/>
        <w:t>Line 112:</w:t>
      </w:r>
      <w:r>
        <w:br/>
        <w:t>The XG387 formed neurospheres in the culture medium described in the Table 1 in an</w:t>
      </w:r>
      <w:r>
        <w:br/>
      </w:r>
      <w:r>
        <w:br/>
        <w:t>Line 114:</w:t>
      </w:r>
      <w:r>
        <w:br/>
        <w:t xml:space="preserve">the bio-luminescence intensity from GSC-Luc cells was proportional to the cell number. </w:t>
      </w:r>
      <w:r>
        <w:t>A series</w:t>
      </w:r>
      <w:r>
        <w:br/>
      </w:r>
      <w:r>
        <w:br/>
        <w:t>Line 115:</w:t>
      </w:r>
      <w:r>
        <w:br/>
        <w:t>of the density of XG387-Luc cells were seeded in a 96-well plate with a clear bottom, and their</w:t>
      </w:r>
      <w:r>
        <w:br/>
      </w:r>
      <w:r>
        <w:br/>
        <w:t>Line 116:</w:t>
      </w:r>
      <w:r>
        <w:br/>
        <w:t>luciferase activities were measured by bio-luminescence generated per unit time after addition of</w:t>
      </w:r>
      <w:r>
        <w:br/>
      </w:r>
      <w:r>
        <w:br/>
        <w:t>Line 126:</w:t>
      </w:r>
      <w:r>
        <w:br/>
        <w:t>IC50 of temozolomide</w:t>
      </w:r>
      <w:r>
        <w:t>.</w:t>
      </w:r>
      <w:r>
        <w:br/>
      </w:r>
      <w:r>
        <w:br/>
        <w:t>Line 128:</w:t>
      </w:r>
      <w:r>
        <w:br/>
        <w:t>inhibitors with specific targets in an attempt to screen for a potential candidate that enhances the anti-</w:t>
      </w:r>
      <w:r>
        <w:br/>
      </w:r>
      <w:r>
        <w:br/>
        <w:t>Line 136:</w:t>
      </w:r>
      <w:r>
        <w:br/>
        <w:t>epigenetic regulation, and tumor microenvironment, makes them refractory cancers for</w:t>
      </w:r>
      <w:r>
        <w:br/>
      </w:r>
      <w:r>
        <w:br/>
        <w:t>Line 140/141:</w:t>
      </w:r>
      <w:r>
        <w:br/>
        <w:t xml:space="preserve">incapable of efficiently </w:t>
      </w:r>
      <w:r>
        <w:t>controlling the progress of highly heterogeneous cancers like GBM. However, carefully selected drug combinations can synergistically enhance the efficacy of each other,</w:t>
      </w:r>
      <w:r>
        <w:br/>
      </w:r>
      <w:r>
        <w:br/>
        <w:t>Line 161/162:</w:t>
      </w:r>
      <w:r>
        <w:br/>
        <w:t>quick solution relative to the traditional methods that depend on MTT, M</w:t>
      </w:r>
      <w:r>
        <w:t>TS, or CCK-8 agents,</w:t>
      </w:r>
      <w:r>
        <w:br/>
        <w:t>162 all of which tend to require long incubation times. In addition, the luciferase tagged GSCs can also</w:t>
      </w:r>
      <w:r>
        <w:br/>
      </w:r>
      <w:r>
        <w:br/>
        <w:t>Figure 1:</w:t>
      </w:r>
      <w:r>
        <w:br/>
      </w:r>
      <w:bookmarkStart w:id="39" w:name="_Hlk62750179"/>
      <w:bookmarkStart w:id="40" w:name="OLE_LINK43"/>
      <w:bookmarkStart w:id="41" w:name="OLE_LINK42"/>
      <w:r>
        <w:t>Figure 1. Glioblastoma patient-derived GSCs XG387. (A) Neurosphere formation; (B) Bio-luminescence generation of lucife</w:t>
      </w:r>
      <w:r>
        <w:t>rase tagged GSCs; (C) Bio-luminescence generated by XG387-Luc cells was proportional to the cell density; and (D) Temozolomide treatment of XG387.</w:t>
      </w:r>
      <w:bookmarkEnd w:id="39"/>
      <w:bookmarkEnd w:id="40"/>
      <w:bookmarkEnd w:id="41"/>
    </w:p>
    <w:p w14:paraId="55E2A20C" w14:textId="77777777" w:rsidR="004369F2" w:rsidRDefault="000F0C6E">
      <w:pPr>
        <w:spacing w:after="160" w:line="259" w:lineRule="auto"/>
      </w:pPr>
      <w:r>
        <w:rPr>
          <w:color w:val="2E74B5" w:themeColor="accent1" w:themeShade="BF"/>
        </w:rPr>
        <w:t>Answer: We have reviewed the above suggestions and made corresponding corrections.</w:t>
      </w:r>
      <w:r>
        <w:rPr>
          <w:color w:val="2E74B5" w:themeColor="accent1" w:themeShade="BF"/>
        </w:rPr>
        <w:br/>
      </w:r>
      <w:r>
        <w:br/>
        <w:t>Technical Suggestions:</w:t>
      </w:r>
      <w:r>
        <w:br/>
      </w:r>
      <w:r>
        <w:br/>
        <w:t>O</w:t>
      </w:r>
      <w:r>
        <w:t>n line 54, the authors cite the virus used, but I think it would be helpful to include the titer/MOI as the subsequent info only mentions the total volume used (30 uL).</w:t>
      </w:r>
    </w:p>
    <w:p w14:paraId="726F8DE8" w14:textId="77777777" w:rsidR="004369F2" w:rsidRDefault="000F0C6E">
      <w:pPr>
        <w:spacing w:after="160" w:line="259" w:lineRule="auto"/>
      </w:pPr>
      <w:r>
        <w:rPr>
          <w:color w:val="2E74B5" w:themeColor="accent1" w:themeShade="BF"/>
        </w:rPr>
        <w:t>Answer: The Luciferase-EGFP virus is a commercial lenti-viral stock. The titer was high</w:t>
      </w:r>
      <w:r>
        <w:rPr>
          <w:color w:val="2E74B5" w:themeColor="accent1" w:themeShade="BF"/>
        </w:rPr>
        <w:t>er than 10</w:t>
      </w:r>
      <w:r>
        <w:rPr>
          <w:color w:val="2E74B5" w:themeColor="accent1" w:themeShade="BF"/>
          <w:vertAlign w:val="superscript"/>
        </w:rPr>
        <w:t>8</w:t>
      </w:r>
      <w:r>
        <w:rPr>
          <w:color w:val="2E74B5" w:themeColor="accent1" w:themeShade="BF"/>
        </w:rPr>
        <w:t xml:space="preserve"> TU /ml according to the supplier.</w:t>
      </w:r>
      <w:r>
        <w:br/>
      </w:r>
      <w:r>
        <w:br/>
        <w:t xml:space="preserve">On line 80, it would be useful to include the concentration of the Matrigel in addition to the total volume used. </w:t>
      </w:r>
    </w:p>
    <w:p w14:paraId="3CA3FE88" w14:textId="77777777" w:rsidR="004369F2" w:rsidRDefault="000F0C6E">
      <w:pPr>
        <w:spacing w:after="160" w:line="259" w:lineRule="auto"/>
      </w:pPr>
      <w:r>
        <w:rPr>
          <w:color w:val="2E74B5" w:themeColor="accent1" w:themeShade="BF"/>
        </w:rPr>
        <w:t>Answer: This concentration of Matrigel (</w:t>
      </w:r>
      <w:r>
        <w:rPr>
          <w:rFonts w:hint="eastAsia"/>
          <w:color w:val="2E74B5" w:themeColor="accent1" w:themeShade="BF"/>
        </w:rPr>
        <w:t>0.15 mg/m</w:t>
      </w:r>
      <w:r>
        <w:rPr>
          <w:color w:val="2E74B5" w:themeColor="accent1" w:themeShade="BF"/>
        </w:rPr>
        <w:t>L) was given in the manuscript.</w:t>
      </w:r>
      <w:r>
        <w:br/>
      </w:r>
      <w:r>
        <w:br/>
        <w:t>In the futur</w:t>
      </w:r>
      <w:r>
        <w:t>e, I would suggest to use Neurobasal-A medium (without Vitamin A) instead of Neurobasal medium because the presence of vitamin A can decrease self-renewal and cause differentiation. Although the relatively small amount of vitamin A in your media likely did</w:t>
      </w:r>
      <w:r>
        <w:t xml:space="preserve"> not cause a significant effect on these experiments, it could be a problem if you were analyzing more sensitive effects, such as changes in RNA sequencing or other dynamic epigenetic changes.</w:t>
      </w:r>
    </w:p>
    <w:p w14:paraId="7A688DFB" w14:textId="77777777" w:rsidR="004369F2" w:rsidRDefault="000F0C6E">
      <w:pPr>
        <w:spacing w:after="160" w:line="259" w:lineRule="auto"/>
        <w:rPr>
          <w:rFonts w:ascii="宋体" w:eastAsia="宋体" w:hAnsi="宋体" w:cs="宋体"/>
          <w:b/>
          <w:bCs/>
          <w:color w:val="0000FF"/>
          <w:u w:val="single"/>
        </w:rPr>
      </w:pPr>
      <w:r>
        <w:rPr>
          <w:color w:val="2E74B5" w:themeColor="accent1" w:themeShade="BF"/>
        </w:rPr>
        <w:t>Answer: Thanks for the very helpful information.</w:t>
      </w:r>
    </w:p>
    <w:p w14:paraId="181BC993" w14:textId="77777777" w:rsidR="004369F2" w:rsidRDefault="004369F2">
      <w:pPr>
        <w:spacing w:after="240"/>
        <w:rPr>
          <w:rFonts w:eastAsia="Times New Roman"/>
        </w:rPr>
      </w:pPr>
    </w:p>
    <w:p w14:paraId="7D10DBBF" w14:textId="77777777" w:rsidR="004369F2" w:rsidRDefault="000F0C6E">
      <w:pPr>
        <w:jc w:val="center"/>
        <w:rPr>
          <w:rFonts w:eastAsia="Times New Roman"/>
        </w:rPr>
      </w:pPr>
      <w:r>
        <w:rPr>
          <w:rFonts w:eastAsia="Times New Roman"/>
        </w:rPr>
        <w:pict w14:anchorId="39E6ADE8">
          <v:rect id="_x0000_i1025" style="width:487.3pt;height:1.5pt" o:hralign="center" o:hrstd="t" o:hr="t" fillcolor="#a0a0a0" stroked="f"/>
        </w:pict>
      </w:r>
    </w:p>
    <w:p w14:paraId="0ACB3C4E" w14:textId="77777777" w:rsidR="004369F2" w:rsidRDefault="000F0C6E">
      <w:pPr>
        <w:rPr>
          <w:rFonts w:eastAsia="Times New Roman"/>
        </w:rPr>
      </w:pPr>
      <w:r>
        <w:rPr>
          <w:rFonts w:eastAsia="Times New Roman"/>
          <w:i/>
          <w:iCs/>
          <w:sz w:val="22"/>
          <w:szCs w:val="22"/>
        </w:rPr>
        <w:t xml:space="preserve">In compliance with data protection regulations, you may request that we remove your personal registration details at any time. </w:t>
      </w:r>
      <w:hyperlink r:id="rId13" w:history="1">
        <w:r>
          <w:rPr>
            <w:rStyle w:val="ac"/>
            <w:rFonts w:eastAsia="Times New Roman"/>
            <w:i/>
            <w:iCs/>
            <w:sz w:val="22"/>
            <w:szCs w:val="22"/>
          </w:rPr>
          <w:t>(Remove my information/details)</w:t>
        </w:r>
      </w:hyperlink>
      <w:r>
        <w:rPr>
          <w:rFonts w:eastAsia="Times New Roman"/>
          <w:i/>
          <w:iCs/>
          <w:sz w:val="22"/>
          <w:szCs w:val="22"/>
        </w:rPr>
        <w:t>. Please contact the publicati</w:t>
      </w:r>
      <w:r>
        <w:rPr>
          <w:rFonts w:eastAsia="Times New Roman"/>
          <w:i/>
          <w:iCs/>
          <w:sz w:val="22"/>
          <w:szCs w:val="22"/>
        </w:rPr>
        <w:t>on office if you have any questions.</w:t>
      </w:r>
      <w:bookmarkEnd w:id="0"/>
    </w:p>
    <w:p w14:paraId="31D53103" w14:textId="77777777" w:rsidR="004369F2" w:rsidRDefault="004369F2"/>
    <w:sectPr w:rsidR="004369F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CA0B4" w14:textId="77777777" w:rsidR="000F0C6E" w:rsidRDefault="000F0C6E" w:rsidP="00101788">
      <w:r>
        <w:separator/>
      </w:r>
    </w:p>
  </w:endnote>
  <w:endnote w:type="continuationSeparator" w:id="0">
    <w:p w14:paraId="5B6475BD" w14:textId="77777777" w:rsidR="000F0C6E" w:rsidRDefault="000F0C6E" w:rsidP="0010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00000287" w:usb1="0807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75363" w14:textId="77777777" w:rsidR="000F0C6E" w:rsidRDefault="000F0C6E" w:rsidP="00101788">
      <w:r>
        <w:separator/>
      </w:r>
    </w:p>
  </w:footnote>
  <w:footnote w:type="continuationSeparator" w:id="0">
    <w:p w14:paraId="262DA864" w14:textId="77777777" w:rsidR="000F0C6E" w:rsidRDefault="000F0C6E" w:rsidP="00101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72"/>
    <w:rsid w:val="000E3DEC"/>
    <w:rsid w:val="000F0C6E"/>
    <w:rsid w:val="00101788"/>
    <w:rsid w:val="00127E19"/>
    <w:rsid w:val="0019418C"/>
    <w:rsid w:val="003009A4"/>
    <w:rsid w:val="003A3498"/>
    <w:rsid w:val="003B0830"/>
    <w:rsid w:val="003E522B"/>
    <w:rsid w:val="00404DFD"/>
    <w:rsid w:val="00434543"/>
    <w:rsid w:val="004369F2"/>
    <w:rsid w:val="00436EE5"/>
    <w:rsid w:val="004A5F16"/>
    <w:rsid w:val="004B0C23"/>
    <w:rsid w:val="004C1026"/>
    <w:rsid w:val="004D75F5"/>
    <w:rsid w:val="004E4602"/>
    <w:rsid w:val="004E4869"/>
    <w:rsid w:val="004E55E6"/>
    <w:rsid w:val="004E7166"/>
    <w:rsid w:val="005261F1"/>
    <w:rsid w:val="00533E24"/>
    <w:rsid w:val="0054224B"/>
    <w:rsid w:val="00544119"/>
    <w:rsid w:val="005B284A"/>
    <w:rsid w:val="005C0A5F"/>
    <w:rsid w:val="005E4D07"/>
    <w:rsid w:val="005F76D4"/>
    <w:rsid w:val="00602C82"/>
    <w:rsid w:val="006369A8"/>
    <w:rsid w:val="006662A0"/>
    <w:rsid w:val="00676F14"/>
    <w:rsid w:val="006D03A2"/>
    <w:rsid w:val="006E57A2"/>
    <w:rsid w:val="007252AC"/>
    <w:rsid w:val="00732D4C"/>
    <w:rsid w:val="007A5D2F"/>
    <w:rsid w:val="007F4EE8"/>
    <w:rsid w:val="00834AE1"/>
    <w:rsid w:val="008A6A54"/>
    <w:rsid w:val="008E5313"/>
    <w:rsid w:val="008F7073"/>
    <w:rsid w:val="00915F90"/>
    <w:rsid w:val="00964130"/>
    <w:rsid w:val="00973D02"/>
    <w:rsid w:val="0097739B"/>
    <w:rsid w:val="009876D2"/>
    <w:rsid w:val="009D00E4"/>
    <w:rsid w:val="00A04226"/>
    <w:rsid w:val="00A10297"/>
    <w:rsid w:val="00A32ED8"/>
    <w:rsid w:val="00A46D89"/>
    <w:rsid w:val="00A7116D"/>
    <w:rsid w:val="00A720D7"/>
    <w:rsid w:val="00B027EF"/>
    <w:rsid w:val="00B355E8"/>
    <w:rsid w:val="00B50324"/>
    <w:rsid w:val="00BA1A7D"/>
    <w:rsid w:val="00BE47B2"/>
    <w:rsid w:val="00C0296F"/>
    <w:rsid w:val="00C66EE4"/>
    <w:rsid w:val="00CD6769"/>
    <w:rsid w:val="00CE26C4"/>
    <w:rsid w:val="00CE374E"/>
    <w:rsid w:val="00CF501E"/>
    <w:rsid w:val="00D724FE"/>
    <w:rsid w:val="00DD5C70"/>
    <w:rsid w:val="00E1292F"/>
    <w:rsid w:val="00E17B5A"/>
    <w:rsid w:val="00E17EFA"/>
    <w:rsid w:val="00E52735"/>
    <w:rsid w:val="00EE3014"/>
    <w:rsid w:val="00EF633D"/>
    <w:rsid w:val="00F03693"/>
    <w:rsid w:val="00F24BA7"/>
    <w:rsid w:val="00F50BC9"/>
    <w:rsid w:val="00FA3806"/>
    <w:rsid w:val="00FA7F72"/>
    <w:rsid w:val="00FF330D"/>
    <w:rsid w:val="6B8503C6"/>
    <w:rsid w:val="747F1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376CF"/>
  <w15:docId w15:val="{78BAD3E5-0CD6-4343-B7F3-F8D522D1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100" w:beforeAutospacing="1" w:after="100" w:afterAutospacing="1"/>
    </w:p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basedOn w:val="a0"/>
    <w:uiPriority w:val="99"/>
    <w:semiHidden/>
    <w:unhideWhenUsed/>
    <w:rPr>
      <w:color w:val="0000FF"/>
      <w:u w:val="single"/>
    </w:rPr>
  </w:style>
  <w:style w:type="paragraph" w:customStyle="1" w:styleId="xmsonormal">
    <w:name w:val="x_msonormal"/>
    <w:basedOn w:val="a"/>
    <w:uiPriority w:val="99"/>
    <w:semiHidden/>
    <w:rPr>
      <w:rFonts w:eastAsia="宋体"/>
    </w:rPr>
  </w:style>
  <w:style w:type="character" w:customStyle="1" w:styleId="a8">
    <w:name w:val="页眉 字符"/>
    <w:basedOn w:val="a0"/>
    <w:link w:val="a7"/>
    <w:uiPriority w:val="99"/>
    <w:rPr>
      <w:rFonts w:ascii="Times New Roman" w:hAnsi="Times New Roman" w:cs="Times New Roman"/>
      <w:sz w:val="18"/>
      <w:szCs w:val="18"/>
    </w:rPr>
  </w:style>
  <w:style w:type="character" w:customStyle="1" w:styleId="a6">
    <w:name w:val="页脚 字符"/>
    <w:basedOn w:val="a0"/>
    <w:link w:val="a5"/>
    <w:uiPriority w:val="99"/>
    <w:rPr>
      <w:rFonts w:ascii="Times New Roman" w:hAnsi="Times New Roman" w:cs="Times New Roman"/>
      <w:sz w:val="18"/>
      <w:szCs w:val="18"/>
    </w:rPr>
  </w:style>
  <w:style w:type="character" w:customStyle="1" w:styleId="a4">
    <w:name w:val="批注框文本 字符"/>
    <w:basedOn w:val="a0"/>
    <w:link w:val="a3"/>
    <w:uiPriority w:val="99"/>
    <w:semiHidden/>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tzhou2013@163.com" TargetMode="External"/><Relationship Id="rId13" Type="http://schemas.openxmlformats.org/officeDocument/2006/relationships/hyperlink" Target="https://www.editorialmanager.com/jove/login.asp?a=r" TargetMode="External"/><Relationship Id="rId3" Type="http://schemas.openxmlformats.org/officeDocument/2006/relationships/settings" Target="settings.xml"/><Relationship Id="rId7" Type="http://schemas.openxmlformats.org/officeDocument/2006/relationships/hyperlink" Target="mailto:984280969@qq.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idhya.iyer@jov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ditorialmanager.com/jove" TargetMode="External"/><Relationship Id="rId4" Type="http://schemas.openxmlformats.org/officeDocument/2006/relationships/webSettings" Target="webSettings.xml"/><Relationship Id="rId9" Type="http://schemas.openxmlformats.org/officeDocument/2006/relationships/hyperlink" Target="mailto:1772912491@qq.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2930</Words>
  <Characters>16702</Characters>
  <Application>Microsoft Office Word</Application>
  <DocSecurity>0</DocSecurity>
  <Lines>139</Lines>
  <Paragraphs>39</Paragraphs>
  <ScaleCrop>false</ScaleCrop>
  <Company>Microsoft</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han jeffrey</cp:lastModifiedBy>
  <cp:revision>34</cp:revision>
  <dcterms:created xsi:type="dcterms:W3CDTF">2021-01-25T01:45:00Z</dcterms:created>
  <dcterms:modified xsi:type="dcterms:W3CDTF">2021-02-06T07:45:00Z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