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DNA Fingerprinting Using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in Lab Classes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Meike Siebers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Agatha Walla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Thea R&amp;#252;tjes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Moritz M&amp;#252;ller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Maria von Korff</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Plant Genetics, Heinrich-Heine-University, D&amp;#252;sseldorf,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Cluster of Excellence on Plant Sciences “SMART Plants for Tomorrow’s Needs”, D&amp;#252;sseldorf,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Max Planck Institute for Plant Breeding Research,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IBG-1: Biotechnology, Forschungszentrum J&amp;#252;lich GmbH, J&amp;#252;lich,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Meike Siebers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meike.siebers@hhu.de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Agatha Walla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agatha.walla@hhu.de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von Korff (maria.korff.schmising@uni-duesseldorf.de)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Thea R&amp;#252;tjes (thea.ruetjes@hhu.de)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M&amp;#252;ller (mo.mueller@fz-juelich.de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practical laboratory classes, DNA fingerprinting, VNTR, PCR,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minisatellite locus, swab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protocol to generate DNA fingerprinting profiles by amplifying the VNTR locus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from epithelial cell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biological sciences, DNA fingerprinting has been widely used for paternity testing, forensic applications and phylogenetic studies. Here, we describe a reliable and robust method for genotyping individuals by Variable Number of Tandem Repeat (VNTR) analysis in the context of undergraduate laboratory classes. The human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locus is used in this protocol as a highly polymorphic marker based on variation in the number of repetitive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simple protocol conveys useful information for teachers and the implementation of DNA fingerprinting in practical laboratory classes. In the presented laboratory exercise, DNA extraction followed by PCR amplification is used to determine genetic variation at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locus. Differences in the fragment size of PCR products are visualized by agarose gel electrophoresis. The fragment sizes and repeat numbers are calculated based on a linear regression of the size and migration distance of a DNA size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guide, students should be able 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Harvest and extract DNA from buccal mucosa epithelial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Perform a PCR experiment and understand the function of various reaction components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Analyze the amplicons by agarose gel electrophoresis and interpret the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Understand the use of VNTRs in DNA fingerprinting and its application in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fingerprinting, also referred to as DNA fingerprinting, was introduced by Sir Alec Jeffreys while working in the Department of Genetics at the University of Leicester in 1984</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based on the 0.1% of the human genome that differs between individuals and is comprised of approximately three million variants. These unique differences in the genotype allow for the differentiation between individuals and can therefore function as a genetic fingerprint except for monozygotic twins. Consequently, DNA fingerprinting is used for the estimation of relatedness of different individuals that is applied for example in paternity testing or in population diversity studies. In our laboratory classes we aimed to convey the concept of DNA fingerprinting and allele frequencies. The method described here demonstrates a reliable and robust method for genetic fingerprinting by analyzing the variable number of tandem repeats (VNTR) at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The method comprises the extraction of DNA from buccal mucosa epithelial cells and subsequent polymerase chain reaction (PCR) to amplify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followed by visualization of fragment length differences on an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minisatellite locus is highly variable and located at the telomeric region of chromosome 1 (1p36-p35). It was identified and described by Karsai and co-workers in 1990 as a locus with a core repeat unit of 16 bp, allowing for the separation of alleles differing by just one unit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shows a high degree of variation with a mutation rate of approximately 7.77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has a high degree of heterozygosity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(e.g., 80.8% heterozygosity for Caucasians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up to 87% heterozygosity for African-Americans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Additionally,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is polymorphic in most populations, with typically over 15 different alleles carrying 14 to 41 repeats each. The frequency of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alleles varies between populations. The allele with 24 repeat units (allele 24) is most frequent in European and Asian populations, whereas allele 21 is most common in African populations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Consequently, the allele frequency distributions are diagnostic for different human populations and need to be taken into account for the estimation of relatedness (e.g., in paternity tests). </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PCR based amplification of the</w:t>
      </w:r>
      <w:r>
        <w:rPr>
          <w:rFonts w:ascii="Calibri" w:hAnsi="Calibri" w:cs="Calibri" w:eastAsia="Calibri"/>
          <w:i/>
          <w:color w:val="auto"/>
          <w:spacing w:val="0"/>
          <w:position w:val="0"/>
          <w:sz w:val="24"/>
          <w:shd w:fill="auto" w:val="clear"/>
        </w:rPr>
        <w:t xml:space="preserve"> D1S80</w:t>
      </w:r>
      <w:r>
        <w:rPr>
          <w:rFonts w:ascii="Calibri" w:hAnsi="Calibri" w:cs="Calibri" w:eastAsia="Calibri"/>
          <w:color w:val="auto"/>
          <w:spacing w:val="0"/>
          <w:position w:val="0"/>
          <w:sz w:val="24"/>
          <w:shd w:fill="auto" w:val="clear"/>
        </w:rPr>
        <w:t xml:space="preserve"> VNTR locus has been a very useful method in forensic science, paternity tests, disease analysis and population diversity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in forensics today the use of VNTRs has been replaced by short tandem repeats,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locus is widely used in the determination of origins and genetic relations among and between populations</w:t>
      </w:r>
      <w:r>
        <w:rPr>
          <w:rFonts w:ascii="Calibri" w:hAnsi="Calibri" w:cs="Calibri" w:eastAsia="Calibri"/>
          <w:color w:val="auto"/>
          <w:spacing w:val="0"/>
          <w:position w:val="0"/>
          <w:sz w:val="24"/>
          <w:shd w:fill="auto" w:val="clear"/>
          <w:vertAlign w:val="superscript"/>
        </w:rPr>
        <w:t xml:space="preserve">4, 8, 9, 11</w:t>
      </w:r>
      <w:r>
        <w:rPr>
          <w:rFonts w:ascii="Calibri" w:hAnsi="Calibri" w:cs="Calibri" w:eastAsia="Calibri"/>
          <w:color w:val="auto"/>
          <w:spacing w:val="0"/>
          <w:position w:val="0"/>
          <w:sz w:val="24"/>
          <w:shd w:fill="auto" w:val="clear"/>
        </w:rPr>
        <w:t xml:space="preserve">. Furthermore, it is often used to teach DNA fingerprinting in practical laboratory classes</w:t>
      </w:r>
      <w:r>
        <w:rPr>
          <w:rFonts w:ascii="Calibri" w:hAnsi="Calibri" w:cs="Calibri" w:eastAsia="Calibri"/>
          <w:color w:val="auto"/>
          <w:spacing w:val="0"/>
          <w:position w:val="0"/>
          <w:sz w:val="24"/>
          <w:shd w:fill="auto" w:val="clear"/>
          <w:vertAlign w:val="superscript"/>
        </w:rPr>
        <w:t xml:space="preserve">15, 16</w:t>
      </w:r>
      <w:r>
        <w:rPr>
          <w:rFonts w:ascii="Calibri" w:hAnsi="Calibri" w:cs="Calibri" w:eastAsia="Calibri"/>
          <w:color w:val="auto"/>
          <w:spacing w:val="0"/>
          <w:position w:val="0"/>
          <w:sz w:val="24"/>
          <w:shd w:fill="auto" w:val="clear"/>
        </w:rPr>
        <w:t xml:space="preserve">. The method described here represents a robust, cost-effective and easy-to-use method with a very high success rate in undergraduate laboratory classes. The purpose of this article is to provide an overview of the workflow for the molecular analysis of the human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minisatellite locus from buccal mucosa epithelial cells. It includes demonstration of techniques, simplified protocols and practical suggestions described in previously published works</w:t>
      </w:r>
      <w:r>
        <w:rPr>
          <w:rFonts w:ascii="Calibri" w:hAnsi="Calibri" w:cs="Calibri" w:eastAsia="Calibri"/>
          <w:color w:val="auto"/>
          <w:spacing w:val="0"/>
          <w:position w:val="0"/>
          <w:sz w:val="24"/>
          <w:shd w:fill="auto" w:val="clear"/>
          <w:vertAlign w:val="superscript"/>
        </w:rPr>
        <w:t xml:space="preserve">2, 17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only to be used if students or respective legal guardians agreed to the conductance of this protocol as genotypic profiles give insights into genetic relationships. DNA fingerprinting is a common molecular biology method mainly applied to population studies and forensic matters. Therefore, attention should be devoted to keep contamination risks as low as possible. To avoid contamination of the sample with DNA from an outside source or DNases, gloves should be worn, instruments should be thoroughly cleaned or sterilized and solutions should be filter-sterilized or autoclaved before usage.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Harvesting of buccal mucosa epithelial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 with saliva and epithelial cells can lead to a transmission of infectious diseases. Therefore, standard and transmission-based precautions should be applied (e.g., the use of appropriate personal protective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Include a positive control, which is provided by the instructor (e.g., DNA extracted by the instructor) and included in the downstream processing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Wait at least 1 h after eating or brushing teeth before specimen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Label an empty and sterile 2.0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one sterile buccal swab from the packaging and rub vigorously on the inside of the cheek for 30-40 times or 30-40 seconds to harvest buccal mucosa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tip of the collection swab into the previously labeled sterile microcentrifuge tube and break off the length of plastic that extends beyond the edge, either by hand or using sterile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cap securely onto the tube, sealing the collection swab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Extraction of genomic DNA from human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Before extraction, set a thermal mixer or a heating block to 65 &amp;#176;C for sample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Some chemicals used are classified hazardous. Read the safety data sheet carefully and take appropriate safety measures before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and sterilize by filtering or autoclaving all required buffers and solutions (lysis solution, 8 M potassium acetate, 2-propanol, 70% ethanol and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centrifugation steps should be performed at room temperature (20-30 &amp;#176;C) unless specified.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500 &amp;#956;L of lysis solution (50 mM Tris/HCl, pH 8.0; 10 mM ethylenediamine tetra-acetic acid (EDTA); 2% sodium dodecyl sulfate (SDS)) to the buccal swab, making sure that the sample is completely immersed in the lysis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Vortex vigorously for at least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Incubate samples at 65 &amp;#176;C in a thermal mixer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Mix sample 3-4 times by pulse-vortexing for 5 s during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Remove swab from the lysis buffer, press the swab against the inside of the tube to obtain maximum sample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100 &amp;#956;L of 8 M potassium acetate to lysed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Mix thoroughly by inverting the tube until there is a white precipitate.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Centrifuge the sample for 5 min at 18,000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Transfer 450 &amp;#956;L of the supernatant into a clean and sterile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Add 450 &amp;#956;L of 2-propanol and mix thoroughly by inverting the tube (precipitation of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Centrifuge for 5 min at 18,000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Discard the supernatant and invert the tube on a clean paper towel to dry the pellet and to avoid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Incubate the DNA for 5 min at 65 &amp;#176;C in a heating block to dry the pellet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To wash the DNA, add 500 &amp;#956;L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for 1 min at 18,000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Discard the supernatant and invert the tube on a clean paper towel to dry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30 &amp;#956;L of resuspension buffer (10 mM Tris/HCl pH 8.0, 1 mM EDTA) to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DNA for 10 min at 65 &amp;#176;C in a heating block to inactivate DNases.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Amplifying the </w:t>
      </w:r>
      <w:r>
        <w:rPr>
          <w:rFonts w:ascii="Calibri" w:hAnsi="Calibri" w:cs="Calibri" w:eastAsia="Calibri"/>
          <w:b/>
          <w:i/>
          <w:color w:val="auto"/>
          <w:spacing w:val="0"/>
          <w:position w:val="0"/>
          <w:sz w:val="24"/>
          <w:shd w:fill="auto" w:val="clear"/>
        </w:rPr>
        <w:t xml:space="preserve">D1S80</w:t>
      </w:r>
      <w:r>
        <w:rPr>
          <w:rFonts w:ascii="Calibri" w:hAnsi="Calibri" w:cs="Calibri" w:eastAsia="Calibri"/>
          <w:b/>
          <w:color w:val="auto"/>
          <w:spacing w:val="0"/>
          <w:position w:val="0"/>
          <w:sz w:val="24"/>
          <w:shd w:fill="auto" w:val="clear"/>
        </w:rPr>
        <w:t xml:space="preserve"> VNTR locus using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the number of samples that will be used and prepare a worksheet with the required reagents and their volumes before collecting the necessary plastics and other materials. Label the sterile tubes/strips/plates to be used for the PCR with sample numbers. Remember to include a negative control using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instead of DNA and a positive control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DNA provided by the instructor) to validate the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1x PCR master mix containing 10 &amp;#956;L of 5x PCR reaction buffer (containing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&amp;#956;L of </w:t>
      </w:r>
      <w:r>
        <w:rPr>
          <w:rFonts w:ascii="Calibri" w:hAnsi="Calibri" w:cs="Calibri" w:eastAsia="Calibri"/>
          <w:color w:val="auto"/>
          <w:spacing w:val="0"/>
          <w:position w:val="0"/>
          <w:sz w:val="24"/>
          <w:shd w:fill="FFFFFF" w:val="clear"/>
        </w:rPr>
        <w:t xml:space="preserve">deoxyribonucleotide triphosphate</w:t>
      </w:r>
      <w:r>
        <w:rPr>
          <w:rFonts w:ascii="Calibri" w:hAnsi="Calibri" w:cs="Calibri" w:eastAsia="Calibri"/>
          <w:color w:val="auto"/>
          <w:spacing w:val="0"/>
          <w:position w:val="0"/>
          <w:sz w:val="24"/>
          <w:shd w:fill="auto" w:val="clear"/>
        </w:rPr>
        <w:t xml:space="preserve"> (dNTPs) (10 mM), 5 &amp;#956;L (10 pmol) of each primer pMCT118-f and pMCT118-r (forward - 5’-GAAACTGGCCTCCAAACACTGCCCGCCG-3’, reverse - 5’-GTCTTGTTGGAGATGCACGTGCCCCTTGC-3’) according to Kasai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23.8 &amp;#956;L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0.2 &amp;#956;L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Taq DNA polymerase (5 U/&amp;#181;L).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primers pMCT118-f/pMCT118-r were designed on the flanking regions of the </w:t>
      </w:r>
      <w:r>
        <w:rPr>
          <w:rFonts w:ascii="Calibri" w:hAnsi="Calibri" w:cs="Calibri" w:eastAsia="Calibri"/>
          <w:i/>
          <w:color w:val="auto"/>
          <w:spacing w:val="0"/>
          <w:position w:val="0"/>
          <w:sz w:val="24"/>
          <w:shd w:fill="FFFFFF" w:val="clear"/>
        </w:rPr>
        <w:t xml:space="preserve">D1S80</w:t>
      </w:r>
      <w:r>
        <w:rPr>
          <w:rFonts w:ascii="Calibri" w:hAnsi="Calibri" w:cs="Calibri" w:eastAsia="Calibri"/>
          <w:color w:val="auto"/>
          <w:spacing w:val="0"/>
          <w:position w:val="0"/>
          <w:sz w:val="24"/>
          <w:shd w:fill="FFFFFF" w:val="clear"/>
        </w:rPr>
        <w:t xml:space="preserve"> VNTR region amplifying the whole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Label the PCR tubes/strips/plate with the sample numbers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Aliquot 45 &amp;#956;L of the master mix to each labeled PCR sample tube or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5 &amp;#956;L of the DNA template to the master mix in each PCR tube/plate well to acquire a total volume of 50 &amp;#181;L. Change the pipette tip for every DNA sample to avoid cross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Include a no-template control (NTC) by using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instead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Close PCR tubes/strips or seal plate and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Centrifuge the PCR tubes/strips/plates for 20 s using a tabletop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conditions given in this protocol were optimized using the DNA Polymerase and the PCR thermal cycler used.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general, PCR conditions must be adapted to the DNA polymerase. The standard extension time for a Taq DNA polymerase is 1 min/kb.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Place the sample tubes/strips/plate in the thermocycler and incubate reactions using the following conditions (DNA polymerase extension time): 1 cycle of 95 &amp;#176;C for 2 min; 25 cycles of 94 &amp;#176;C for 15 s, 60 &amp;#176;C for 15 s, 72 &amp;#176;C for 30 s; 1 cycle of 72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When the program is complete, remove the products from the thermocycler and store at 4 &amp;#176;C overnight or -20 &amp;#176;C until electrophoresis.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Agarose gel electrophoresis of PCR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 1.5%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Use 1.5 g of agarose powder and mix it with 100 mL of 1x Tris-acetate-EDTA (TAE) buffer solution in a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Heat the mixture for about 1.5-2 min in a microwave oven (600 W). Swirl the contents and heat again, if necessary, to completely dissolve the agarose. Cool slightly and add 2 &amp;#956;L of PeqGreen to the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Pour the gel in a form using a comb with enough wells for all samples and add at least one molecular weight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Boiling retardation may occur. Shake the flask carefully when resuspending the agarose which has not been dissolved yet.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PeqGreen is a non-toxic dye for the detection of nucleic acids. It is applicable for staining of double-stranded DNA (dsDNA) and single-stranded DNA (ssDNA) as well as RNA. The sensitivity is comparable to ethidium bromide.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PCR products from 4 &amp;#176;C and centrifuge for about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Load the wells of the gel with 10 &amp;#956;L sample. Do not overload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DNA polymerase buffer also includes compounds that increases sample density so that samples can be loaded directly onto gels without the need for a loading dye. </w:t>
      </w:r>
      <w:r>
        <w:rPr>
          <w:rFonts w:ascii="Calibri" w:hAnsi="Calibri" w:cs="Calibri" w:eastAsia="Calibri"/>
          <w:color w:val="auto"/>
          <w:spacing w:val="0"/>
          <w:position w:val="0"/>
          <w:sz w:val="24"/>
          <w:shd w:fill="FFFFFF" w:val="clear"/>
        </w:rPr>
        <w:t xml:space="preserve">This allows the sample to sink into the well and dyes help to track how far the DNA sample has migrated.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Add a molecular weight standard to the flanking wells (preferably a 50 bp molecular weight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residual PCR samples at -20 &amp;#176;C in case the agarose gel electrophoresis has to be repeated.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Run the gel in 1x TAE running buffer at 150 V (constant) for approximately 40 min or until the lower yellow dye front that travels at around 50 bp reaches the lower end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Image the gel while blue light or ultraviolet (UV) light is applied and record an image for fragment length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UV light can damage your eyes and skin. Always wear protective clothing and UV safety glasses when using a UV light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Dispose the gel in accordance with the institutional hazardous materials policy.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Analysis of fragment length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linear regression analysis to estimate the lengths of the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sizing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PCR fragments, place a ruler on the gel photograph over the 50 bp molecular weight standard lane such that the top of the ruler lines up with the bottom of the well into which the sample was loaded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calculate the linear regression equation for the molecular weight standard (50 bp molecular weight standard) a spreadsheet program was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Record the distance from the well (e.g., in cm) for each band of the 50 bp molecular weight standard in a table using a spreadsheet program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Determine the log (e.g., base 10) of each fragment size of the 50 bp molecular weight standard and enter the log values into the table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Plot each data point to a graph with the log of the band sizes on the vertical axis (y-axis) and the measured run distance from the top of the gel to each band of the molecular weight standard on the horizontal axis (x-axis) using a scatterplot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Fit a trendline (linear regression line) and show the regression equation (y = ax + b) and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 on the graph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Measure the distance migrated (e.g., in cm) for each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amplicons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Estimate the size of each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amplicons using the regression equation: y = ax +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tab/>
        <w:t xml:space="preserve">y = the log of the fragment size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 = the slope of the line (calculated in point 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x = the distance from the well (in cm)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b = the point where the regression line intercepts the y-axis (calculated in point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y-value represents the log of the fragment size, the antilog (10</w:t>
      </w:r>
      <w:r>
        <w:rPr>
          <w:rFonts w:ascii="Calibri" w:hAnsi="Calibri" w:cs="Calibri" w:eastAsia="Calibr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must be calculated to obtain the fragment size in bp of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amplicons.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Estimation of the number of repeat units in the alleles of the tested individuals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repeat unit is 16 bp in length. The smallest known allele for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has 14 repeats. The amplicon scheme described here produces amplicons with flanking regions adding up an extra 145 bp to the final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estimate how many repeat units are contained in each PCR fragment. The size extrapolated using the linear regression should be within 8 bp of any particular allele.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Record the genotype of each tested individual as a combination of allele repeat size numbers.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described protocol,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marker analysis was performed on human genomic DNA extracted from buccal mucosa epithelial cells harvested by swab sampling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Following the amplification using PCR, a typical representation of an agarose gel containing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amplicons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Lane 1 shows the 50 bp molecular weight standard. Next to the molecular weight standard, PCR products from eight student samples are visualized. Lane 10 shows the NTC in which water was used instead of template DNA. Most of the analyzed samples clearly display two bands, representing individuals heterozygous for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Lane 2 and Lane 9 show a single band representing individuals homozygous for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Lane 5 is showing an ambiguous single band which is much wider compared to the other bands. This could be a result of two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alleles differing in only one repeat unit. For further analysis, the sample in lane 5 will be considered as a single band, representing a homozygous individual.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Downstream gel electrophoresis fragment analysis performed on verified PCR products was used for size calling of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locus of different student samples. Interpretation of the amplicon sizes obtained by PCR analysis relies on the molecular weight standard used. The distance from the well for each band of the molecular weight standard was measured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recorded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Based on the size and migration distance the size of the individual bands can be calculated using a linear regression analysis. The log (base 10) was determined for each band in the student samples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respective antilog represents the number of bp for each amplicon. The number of repeat units can be calculated according to the amplicon size obtained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student sample the amplicon sizes were calculated by linear regression and each band could be easily assigned to a particular allele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information on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allele sizes can then be used to determine allele frequencies amongst the small population subset of undergraduate students. The 28-repeat allele is the most frequent among the students due to two homozygous individuals for this repeat allele (individuals 1 and 4). The second most frequent allele is the 18-repeat allele, which is carried by the homozygous individual 8 and by the heterozygous individual 6. Low frequency alleles are the 21-, 26- and 30-repeat alleles found only once in individuals 6, 5 and 3, respectively. The allele frequency patterns of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locus of the small student population can further be compared to the allele frequency of larger human populations, for example populations originating from different continents</w:t>
      </w:r>
      <w:r>
        <w:rPr>
          <w:rFonts w:ascii="Calibri" w:hAnsi="Calibri" w:cs="Calibri" w:eastAsia="Calibri"/>
          <w:color w:val="auto"/>
          <w:spacing w:val="0"/>
          <w:position w:val="0"/>
          <w:sz w:val="24"/>
          <w:shd w:fill="auto" w:val="clear"/>
          <w:vertAlign w:val="superscript"/>
        </w:rPr>
        <w:t xml:space="preserve">4, 7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students, individuals 2 and 3 share the 24-repeat allele, individuals 2 and 7 share the 20-repeat allele and individuals 5 and 7 share the 23-repeat allele. Interestingly, the two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homozygous individuals (individual 1 and 4) share the 28-repeat allele. Matching alleles between two individuals can indicate a potential relatedness. However, shared alleles can also occur by chance. Thus, it is crucial to determine the likelihood of an allele match between two individuals. The likelihood depends on the allele frequency of individual alleles in the general population and statistical approaches should be employed to attach a statistical weight to VNTR marker analysis such as the Bayesian approach. In summary, the presented fingerprinting method can be utilized in hands-on class practicals to teach the use of VNTRs in DNA fingerprinting and its application in biological 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Representation of an agarose gel after electrophoresis of </w:t>
      </w:r>
      <w:r>
        <w:rPr>
          <w:rFonts w:ascii="Calibri" w:hAnsi="Calibri" w:cs="Calibri" w:eastAsia="Calibri"/>
          <w:b/>
          <w:i/>
          <w:color w:val="auto"/>
          <w:spacing w:val="0"/>
          <w:position w:val="0"/>
          <w:sz w:val="24"/>
          <w:shd w:fill="auto" w:val="clear"/>
        </w:rPr>
        <w:t xml:space="preserve">D1S80</w:t>
      </w:r>
      <w:r>
        <w:rPr>
          <w:rFonts w:ascii="Calibri" w:hAnsi="Calibri" w:cs="Calibri" w:eastAsia="Calibri"/>
          <w:b/>
          <w:color w:val="auto"/>
          <w:spacing w:val="0"/>
          <w:position w:val="0"/>
          <w:sz w:val="24"/>
          <w:shd w:fill="auto" w:val="clear"/>
        </w:rPr>
        <w:t xml:space="preserve"> amplification products with a ruler placed beside the 50 bp molecular weight standard lane.</w:t>
      </w:r>
      <w:r>
        <w:rPr>
          <w:rFonts w:ascii="Calibri" w:hAnsi="Calibri" w:cs="Calibri" w:eastAsia="Calibri"/>
          <w:color w:val="auto"/>
          <w:spacing w:val="0"/>
          <w:position w:val="0"/>
          <w:sz w:val="24"/>
          <w:shd w:fill="auto" w:val="clear"/>
        </w:rPr>
        <w:t xml:space="preserve"> Lane 1 and 11 contain the 50 bp molecular weight standard, while lanes 2-9 contain PCR reaction products. Lane 10 contains the no template control (NTC).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Determination of DNA fragment migration distance and Log of each fragment size of the 50 bp molecular weight standard. </w:t>
      </w:r>
      <w:r>
        <w:rPr>
          <w:rFonts w:ascii="Calibri" w:hAnsi="Calibri" w:cs="Calibri" w:eastAsia="Calibri"/>
          <w:color w:val="auto"/>
          <w:spacing w:val="0"/>
          <w:position w:val="0"/>
          <w:sz w:val="24"/>
          <w:shd w:fill="auto" w:val="clear"/>
        </w:rPr>
        <w:t xml:space="preserve">The distance from the well (in cm) for each band of the 50 bp molecular weight standard is recorded and the log (base 10) for each fragment is determined. Values are entered into a table using a spreadsheet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Scatter plot generated by plotting DNA fragment migration distance of the molecular weight standard on the x-axis against the log (base 10) of the size of each fragment on the y-axis.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Exploitation of the linear regression line and regression equation as well as the R</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value for the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Determination of the size of the </w:t>
      </w:r>
      <w:r>
        <w:rPr>
          <w:rFonts w:ascii="Calibri" w:hAnsi="Calibri" w:cs="Calibri" w:eastAsia="Calibri"/>
          <w:b/>
          <w:i/>
          <w:color w:val="auto"/>
          <w:spacing w:val="0"/>
          <w:position w:val="0"/>
          <w:sz w:val="24"/>
          <w:shd w:fill="auto" w:val="clear"/>
        </w:rPr>
        <w:t xml:space="preserve">D1S80</w:t>
      </w:r>
      <w:r>
        <w:rPr>
          <w:rFonts w:ascii="Calibri" w:hAnsi="Calibri" w:cs="Calibri" w:eastAsia="Calibri"/>
          <w:b/>
          <w:color w:val="auto"/>
          <w:spacing w:val="0"/>
          <w:position w:val="0"/>
          <w:sz w:val="24"/>
          <w:shd w:fill="auto" w:val="clear"/>
        </w:rPr>
        <w:t xml:space="preserve"> amplicons. </w:t>
      </w:r>
      <w:r>
        <w:rPr>
          <w:rFonts w:ascii="Calibri" w:hAnsi="Calibri" w:cs="Calibri" w:eastAsia="Calibri"/>
          <w:color w:val="auto"/>
          <w:spacing w:val="0"/>
          <w:position w:val="0"/>
          <w:sz w:val="24"/>
          <w:shd w:fill="auto" w:val="clear"/>
        </w:rPr>
        <w:t xml:space="preserve">The distances from the well for each fragment is entered into the regression equation. The antilog of the y-value represents the fragment size in bp.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Suggested timeline and workflow for </w:t>
      </w:r>
      <w:r>
        <w:rPr>
          <w:rFonts w:ascii="Calibri" w:hAnsi="Calibri" w:cs="Calibri" w:eastAsia="Calibri"/>
          <w:b/>
          <w:i/>
          <w:color w:val="auto"/>
          <w:spacing w:val="0"/>
          <w:position w:val="0"/>
          <w:sz w:val="24"/>
          <w:shd w:fill="auto" w:val="clear"/>
        </w:rPr>
        <w:t xml:space="preserve">D1S80</w:t>
      </w:r>
      <w:r>
        <w:rPr>
          <w:rFonts w:ascii="Calibri" w:hAnsi="Calibri" w:cs="Calibri" w:eastAsia="Calibri"/>
          <w:b/>
          <w:color w:val="auto"/>
          <w:spacing w:val="0"/>
          <w:position w:val="0"/>
          <w:sz w:val="24"/>
          <w:shd w:fill="auto" w:val="clear"/>
        </w:rPr>
        <w:t xml:space="preserve"> VNTR analysis. </w:t>
      </w:r>
      <w:r>
        <w:rPr>
          <w:rFonts w:ascii="Calibri" w:hAnsi="Calibri" w:cs="Calibri" w:eastAsia="Calibri"/>
          <w:color w:val="auto"/>
          <w:spacing w:val="0"/>
          <w:position w:val="0"/>
          <w:sz w:val="24"/>
          <w:shd w:fill="auto" w:val="clear"/>
        </w:rPr>
        <w:t xml:space="preserve">The entire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analysis procedure presented here, from buccal epithelial cell harvesting to fragment length evaluation, may be completed within a single working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Amplicon size for each </w:t>
      </w:r>
      <w:r>
        <w:rPr>
          <w:rFonts w:ascii="Calibri" w:hAnsi="Calibri" w:cs="Calibri" w:eastAsia="Calibri"/>
          <w:b/>
          <w:i/>
          <w:color w:val="auto"/>
          <w:spacing w:val="0"/>
          <w:position w:val="0"/>
          <w:sz w:val="24"/>
          <w:shd w:fill="auto" w:val="clear"/>
        </w:rPr>
        <w:t xml:space="preserve">D1S80</w:t>
      </w:r>
      <w:r>
        <w:rPr>
          <w:rFonts w:ascii="Calibri" w:hAnsi="Calibri" w:cs="Calibri" w:eastAsia="Calibri"/>
          <w:b/>
          <w:color w:val="auto"/>
          <w:spacing w:val="0"/>
          <w:position w:val="0"/>
          <w:sz w:val="24"/>
          <w:shd w:fill="auto" w:val="clear"/>
        </w:rPr>
        <w:t xml:space="preserve"> VNTR locus.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Allele composition of the different individuals tested. </w:t>
      </w:r>
      <w:r>
        <w:rPr>
          <w:rFonts w:ascii="Calibri" w:hAnsi="Calibri" w:cs="Calibri" w:eastAsia="Calibri"/>
          <w:color w:val="auto"/>
          <w:spacing w:val="0"/>
          <w:position w:val="0"/>
          <w:sz w:val="24"/>
          <w:shd w:fill="auto" w:val="clear"/>
        </w:rPr>
        <w:t xml:space="preserve">The number of repeat units can be approximated according to the amplicon size obtained by linear regression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a simple and cost-efficient method for implementing molecular fingerprinting in undergraduate practical classes.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screen for genetic variation at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locus, human biological sample collection along with DNA extraction and analysis is required. It is essential that the ethical use of human biological specimens is ensured throughout the whole process. Sample management is controlled within a comprehensive regulatory framework which ensures the correct use of samples and associated data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(e.g., consent for the use of human biological material). Participants must be properly informed about the use of their samples, the risk of discovery of anomalies in genetic relations (e.g., for related individuals), privacy protection and intentions for future storage of the biological specimens and data. All donors (students or colleagues) must give consent freely and understand the right to withdraw without giving reason. In general, it is indispensable to make oneself familiar with the respective guidelines and regulations for human sample management before conducting this lab class.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collection of buccal mucosa epithelial cells in undergraduate laboratory courses, care must be taken to avoid contamination of the DNA samples with DNA from the operator or with DNases. It is recommended that lab coats, gloves and protective glasses are always used as well as sterile swabs and microcentrifuge tubes. Buccal swab-based cell harvesting is considered a convenient and cost-effective method for the collection of genetic material suitable for PCR-based VNTR analysis, as it is relatively inexpensive and noninvasive. Beside buccal swabs, saliva is the most common oral sampling method for medical research. It has been shown that buccal swabs contain a higher proportion of epithelial cells than saliva, making them more reliable in providing sufficient quantity and quality of DNA for PCR-based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analysis</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Additionally, buccal swabs can be mailed out after self-collection overcoming geographical impediments when used, for example, in population diversity studies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extraction has become relatively easy due to the development of extraction kits from different companies. Nevertheless, the use of those kits may not be suitable in laboratory classes due to limited financial resources. Here, we presented an easy, fast and cost-efficient method for DNA extraction from human samples without the need of a commercially available DNA extraction kit. The DNA extraction method described does not use organic solvents, instead cellular proteins are removed by increasing the salt concentration using an 8 M potassium acetate solution. This method also allows for handling of several samples at once and yields in sufficient DNA for several genotype analyses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PCR is a common technique in many molecular laboratories. While generally trouble-free, there are pitfalls that may complicate the reaction producing spurious results, which have been discussed elsewhere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PCR conditions presented here have appeared very robust in the face of poor template DNA quality, but lack of PCR amplification was nevertheless occasionally observed when using templates with extremely low DNA concentrations due to poor buccal epithelial cell harvesting. The DNA primers used in this study can be ordered from different companies, such as those cited in the table of materials at the end of this paper. Special care must be taken when working with DNA primers in order to avoid contamination with DNases or DNA from the operator. PCR products should also be kept cold when not in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is the agarose gel electrophoresis. Fragments differing by only one repeat unit of 16 bp may not be separated in the gel electrophoresis and thus appear as a single band. In this case, a proper determination of the number of repeat units of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alleles tested cannot be assured. Therefore, the run time of the gel should be increased while the voltage must be reduced and the gel concentration may be increased to provide a better resolution and separation of the single bands.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mentioning that not all alleles for an VNTR locus contain complete repeat units. Non-consensus alleles (microvariants) that contain incomplete repeat units are common at most VNTR loci and their sizes fall in between sizes of alleles with full repeat units. These microvariants are barely detectable by agarose gel electrophoresis. In contrast, techniques like polyacrylamide gels or capillary electrophoresis can resolve alleles that differ by one to a few repeat units or microvariants</w:t>
      </w:r>
      <w:r>
        <w:rPr>
          <w:rFonts w:ascii="Calibri" w:hAnsi="Calibri" w:cs="Calibri" w:eastAsia="Calibri"/>
          <w:color w:val="auto"/>
          <w:spacing w:val="0"/>
          <w:position w:val="0"/>
          <w:sz w:val="24"/>
          <w:shd w:fill="auto" w:val="clear"/>
          <w:vertAlign w:val="superscript"/>
        </w:rPr>
        <w:t xml:space="preserve">12, 23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the latter techniques are less suitable for undergraduate laboratory classes as they have many disadvantages including use of hazardous compounds, complex preparation and lack of equipment. For the fragment size determination, special care must be taken when measuring the distance of the migrated DNA fragments. If the bands are too diffuse to be measured precisely, the calculation of the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allele fragment size by linear regression may be incorrect resulting in the wrong estimation of repeat unit numbers. In that case a re-run of the agarose gel electrophoresis after optimizing the gel conditions is advisable as previously described by Lorenz and co-workers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entire </w:t>
      </w:r>
      <w:r>
        <w:rPr>
          <w:rFonts w:ascii="Calibri" w:hAnsi="Calibri" w:cs="Calibri" w:eastAsia="Calibri"/>
          <w:i/>
          <w:color w:val="auto"/>
          <w:spacing w:val="0"/>
          <w:position w:val="0"/>
          <w:sz w:val="24"/>
          <w:shd w:fill="auto" w:val="clear"/>
        </w:rPr>
        <w:t xml:space="preserve">D1S80</w:t>
      </w:r>
      <w:r>
        <w:rPr>
          <w:rFonts w:ascii="Calibri" w:hAnsi="Calibri" w:cs="Calibri" w:eastAsia="Calibri"/>
          <w:color w:val="auto"/>
          <w:spacing w:val="0"/>
          <w:position w:val="0"/>
          <w:sz w:val="24"/>
          <w:shd w:fill="auto" w:val="clear"/>
        </w:rPr>
        <w:t xml:space="preserve"> VNTR analysis procedure presented here, from buccal epithelial cell harvesting to fragment length evaluation, may be completed in a single working day. This protocol is a robust, cost-efficient and easy-to-use method suitable for undergraduate practical laboratory classes.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would like to thank Kevin Graham for his voice-over and all participants who donated samples for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Jeffreys, A.J., Wilson, V., Thein, S.L. Hypervariable ‘minisatellite’ regions in human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(6006),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Kasai, K., Nakamura, Y., White, R. Amplification of a variable number of tandem repeats (VNTR) locus (pMCT118) by the polymerase chain reaction (PCR) and its application to forensic science. </w:t>
      </w:r>
      <w:r>
        <w:rPr>
          <w:rFonts w:ascii="Calibri" w:hAnsi="Calibri" w:cs="Calibri" w:eastAsia="Calibri"/>
          <w:i/>
          <w:color w:val="auto"/>
          <w:spacing w:val="0"/>
          <w:position w:val="0"/>
          <w:sz w:val="24"/>
          <w:shd w:fill="auto" w:val="clear"/>
        </w:rPr>
        <w:t xml:space="preserve">Journal of Forensic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1196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Balamurugan, K., Tracey, M.L., Heine, U., Maha, G.C., Duncan, G.T. Mutation at the human D1S80 minisatellite locus. </w:t>
      </w:r>
      <w:r>
        <w:rPr>
          <w:rFonts w:ascii="Calibri" w:hAnsi="Calibri" w:cs="Calibri" w:eastAsia="Calibri"/>
          <w:i/>
          <w:color w:val="auto"/>
          <w:spacing w:val="0"/>
          <w:position w:val="0"/>
          <w:sz w:val="24"/>
          <w:shd w:fill="auto" w:val="clear"/>
        </w:rPr>
        <w:t xml:space="preserve">The Scientific World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(917235)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Herrera, R.J., Adrien, L.R., Ruiz, L.M., Sanabria, N.Y., Duncan, G. D1S80 single-locus discrimination among African populations. </w:t>
      </w:r>
      <w:r>
        <w:rPr>
          <w:rFonts w:ascii="Calibri" w:hAnsi="Calibri" w:cs="Calibri" w:eastAsia="Calibri"/>
          <w:i/>
          <w:color w:val="auto"/>
          <w:spacing w:val="0"/>
          <w:position w:val="0"/>
          <w:sz w:val="24"/>
          <w:shd w:fill="auto" w:val="clear"/>
        </w:rPr>
        <w:t xml:space="preserve">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Lauritzen, S.L., Mazumder, A. Informativeness of genetic markers for forensic inference - An information theoretic approach. </w:t>
      </w:r>
      <w:r>
        <w:rPr>
          <w:rFonts w:ascii="Calibri" w:hAnsi="Calibri" w:cs="Calibri" w:eastAsia="Calibri"/>
          <w:i/>
          <w:color w:val="auto"/>
          <w:spacing w:val="0"/>
          <w:position w:val="0"/>
          <w:sz w:val="24"/>
          <w:shd w:fill="auto" w:val="clear"/>
        </w:rPr>
        <w:t xml:space="preserve">Forensic Science International: Genetics Supplement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Budowle, B., Chakraborty, R., Giusti, A.M., Eisenberg, A.J., Allen, R.C. Analysis of the VNTR locus D1S80 by the PCR followed by high-resolution PAGE.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137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Budowle,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D1S80 population data in African Americans, Caucasians, southeastern Hispanics, southwestern Hispanics, and Orientals. </w:t>
      </w:r>
      <w:r>
        <w:rPr>
          <w:rFonts w:ascii="Calibri" w:hAnsi="Calibri" w:cs="Calibri" w:eastAsia="Calibri"/>
          <w:i/>
          <w:color w:val="auto"/>
          <w:spacing w:val="0"/>
          <w:position w:val="0"/>
          <w:sz w:val="24"/>
          <w:shd w:fill="auto" w:val="clear"/>
        </w:rPr>
        <w:t xml:space="preserve">Journal of Forensic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Verbenko, D.A.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Polymorphisms at locus D1S80 and other hypervariable regions in the analysis of Eastern European ethnic group relationships. </w:t>
      </w:r>
      <w:r>
        <w:rPr>
          <w:rFonts w:ascii="Calibri" w:hAnsi="Calibri" w:cs="Calibri" w:eastAsia="Calibri"/>
          <w:i/>
          <w:color w:val="auto"/>
          <w:spacing w:val="0"/>
          <w:position w:val="0"/>
          <w:sz w:val="24"/>
          <w:shd w:fill="auto" w:val="clear"/>
        </w:rPr>
        <w:t xml:space="preserve">Annals of 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Walsh, S.J., Eckhoff, C. Australian Aboriginal population genetics at the D1S80 VNTR locus. </w:t>
      </w:r>
      <w:r>
        <w:rPr>
          <w:rFonts w:ascii="Calibri" w:hAnsi="Calibri" w:cs="Calibri" w:eastAsia="Calibri"/>
          <w:i/>
          <w:color w:val="auto"/>
          <w:spacing w:val="0"/>
          <w:position w:val="0"/>
          <w:sz w:val="24"/>
          <w:shd w:fill="auto" w:val="clear"/>
        </w:rPr>
        <w:t xml:space="preserve">Annals of 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Limborska, S.A., Khrunin, A. V, Flegontova, O. V, Tasitz, V.A., Verbenko, D.A. Specificity of genetic diversity in D1S80 revealed by SNP-VNTR haplotyping. </w:t>
      </w:r>
      <w:r>
        <w:rPr>
          <w:rFonts w:ascii="Calibri" w:hAnsi="Calibri" w:cs="Calibri" w:eastAsia="Calibri"/>
          <w:i/>
          <w:color w:val="auto"/>
          <w:spacing w:val="0"/>
          <w:position w:val="0"/>
          <w:sz w:val="24"/>
          <w:shd w:fill="auto" w:val="clear"/>
        </w:rPr>
        <w:t xml:space="preserve">Annals of 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Sajib, A.A., Yeasmin, S., Akter, M., Uddin, M.A., Akhteruzzaman, S. Phylogenetic analysis of Bangladeshi population with reference to D1S80 VNTR locus. </w:t>
      </w:r>
      <w:r>
        <w:rPr>
          <w:rFonts w:ascii="Calibri" w:hAnsi="Calibri" w:cs="Calibri" w:eastAsia="Calibri"/>
          <w:i/>
          <w:color w:val="auto"/>
          <w:spacing w:val="0"/>
          <w:position w:val="0"/>
          <w:sz w:val="24"/>
          <w:shd w:fill="auto" w:val="clear"/>
        </w:rPr>
        <w:t xml:space="preserve">Bioresearch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K&amp;#246;seler, A., Atalay, A., Atalay, E.Ö. Allele frequency of VNTR locus D1S80 observed in Denizli province of Turkey. </w:t>
      </w:r>
      <w:r>
        <w:rPr>
          <w:rFonts w:ascii="Calibri" w:hAnsi="Calibri" w:cs="Calibri" w:eastAsia="Calibri"/>
          <w:i/>
          <w:color w:val="auto"/>
          <w:spacing w:val="0"/>
          <w:position w:val="0"/>
          <w:sz w:val="24"/>
          <w:shd w:fill="auto" w:val="clear"/>
        </w:rPr>
        <w:t xml:space="preserve">Biochemical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Mastana, S.S., Papiha, S.S. D1S80 distribution in world populations with new data from the UK and the Indian sub-continent. </w:t>
      </w:r>
      <w:r>
        <w:rPr>
          <w:rFonts w:ascii="Calibri" w:hAnsi="Calibri" w:cs="Calibri" w:eastAsia="Calibri"/>
          <w:i/>
          <w:color w:val="auto"/>
          <w:spacing w:val="0"/>
          <w:position w:val="0"/>
          <w:sz w:val="24"/>
          <w:shd w:fill="auto" w:val="clear"/>
        </w:rPr>
        <w:t xml:space="preserve">Annals of 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Okuda,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Japanese propositus with D-- phenotype characterized by the deletion of both the RHCE gene and D1S80 locus situated in chromosome 1p and the existence of a new CE-D-CE hybrid gene. </w:t>
      </w:r>
      <w:r>
        <w:rPr>
          <w:rFonts w:ascii="Calibri" w:hAnsi="Calibri" w:cs="Calibri" w:eastAsia="Calibri"/>
          <w:i/>
          <w:color w:val="auto"/>
          <w:spacing w:val="0"/>
          <w:position w:val="0"/>
          <w:sz w:val="24"/>
          <w:shd w:fill="auto" w:val="clear"/>
        </w:rPr>
        <w:t xml:space="preserve">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Campbell, A.M., Williamson, J.H., Padula, D., Sundby, S. Use PCR &amp;amp; a Single Hair to Produce a “DNA Fingerprint.” </w:t>
      </w:r>
      <w:r>
        <w:rPr>
          <w:rFonts w:ascii="Calibri" w:hAnsi="Calibri" w:cs="Calibri" w:eastAsia="Calibri"/>
          <w:i/>
          <w:color w:val="auto"/>
          <w:spacing w:val="0"/>
          <w:position w:val="0"/>
          <w:sz w:val="24"/>
          <w:shd w:fill="auto" w:val="clear"/>
        </w:rPr>
        <w:t xml:space="preserve">The American Biology Teacher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Jackson, D.D., Abbey, C.S., Nugent, D. DNA profiling of the D1S80 locus: A forensic analysis for the undergraduate biochemistry laboratory. </w:t>
      </w:r>
      <w:r>
        <w:rPr>
          <w:rFonts w:ascii="Calibri" w:hAnsi="Calibri" w:cs="Calibri" w:eastAsia="Calibri"/>
          <w:i/>
          <w:color w:val="auto"/>
          <w:spacing w:val="0"/>
          <w:position w:val="0"/>
          <w:sz w:val="24"/>
          <w:shd w:fill="auto" w:val="clear"/>
        </w:rPr>
        <w:t xml:space="preserve">Journal of Chemical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774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Mansoor, S.K., Hussein, E.F., Ibraheem, A.K. Use the Variable Number of Tandem Repeats (VNTR) in DNA fingerprinting and its application biological sciences. </w:t>
      </w:r>
      <w:r>
        <w:rPr>
          <w:rFonts w:ascii="Calibri" w:hAnsi="Calibri" w:cs="Calibri" w:eastAsia="Calibri"/>
          <w:i/>
          <w:color w:val="auto"/>
          <w:spacing w:val="0"/>
          <w:position w:val="0"/>
          <w:sz w:val="24"/>
          <w:shd w:fill="auto" w:val="clear"/>
        </w:rPr>
        <w:t xml:space="preserve">EurAsian Journal of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Beier, K., Schnorrer, S., Hoppe, N., Lenk, C. </w:t>
      </w:r>
      <w:r>
        <w:rPr>
          <w:rFonts w:ascii="Calibri" w:hAnsi="Calibri" w:cs="Calibri" w:eastAsia="Calibri"/>
          <w:i/>
          <w:color w:val="auto"/>
          <w:spacing w:val="0"/>
          <w:position w:val="0"/>
          <w:sz w:val="24"/>
          <w:shd w:fill="auto" w:val="clear"/>
        </w:rPr>
        <w:t xml:space="preserve">The ethical and legal regulation of human tissue and biobank research in Europe - Proceedings of the Tiss. EU Project</w:t>
      </w:r>
      <w:r>
        <w:rPr>
          <w:rFonts w:ascii="Calibri" w:hAnsi="Calibri" w:cs="Calibri" w:eastAsia="Calibri"/>
          <w:color w:val="auto"/>
          <w:spacing w:val="0"/>
          <w:position w:val="0"/>
          <w:sz w:val="24"/>
          <w:shd w:fill="auto" w:val="clear"/>
        </w:rPr>
        <w:t xml:space="preserve">. Universit&amp;#228;tsverlag G&amp;#246;ttingen.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Aida,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Telomere length variations in 6 mucosal cell types of gastric tissue observed using a novel quantitative fluorescence in situ hybridization method.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Theda, C. et al. Quantitation of the cellular content of saliva and buccal swab samples.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McMichael, G.L.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DNA from buccal swabs suitable for high-throughput SNP multiplex analysis. </w:t>
      </w:r>
      <w:r>
        <w:rPr>
          <w:rFonts w:ascii="Calibri" w:hAnsi="Calibri" w:cs="Calibri" w:eastAsia="Calibri"/>
          <w:i/>
          <w:color w:val="auto"/>
          <w:spacing w:val="0"/>
          <w:position w:val="0"/>
          <w:sz w:val="24"/>
          <w:shd w:fill="auto" w:val="clear"/>
        </w:rPr>
        <w:t xml:space="preserve">Journal of biomolecular techniques: JBT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232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Lorenz, T.C. Polymerase chain reaction: basic protocol plus troubleshooting and optimization strategies.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(63), e3998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Destro-Bisol, G., Capelli, C., Belledi, M. Inferring microevolutionary patterns from allele-size frequency distributions of minisatellite loci: a worldwide study of the APOB 3’hypervariable region polymorphism. </w:t>
      </w:r>
      <w:r>
        <w:rPr>
          <w:rFonts w:ascii="Calibri" w:hAnsi="Calibri" w:cs="Calibri" w:eastAsia="Calibri"/>
          <w:i/>
          <w:color w:val="auto"/>
          <w:spacing w:val="0"/>
          <w:position w:val="0"/>
          <w:sz w:val="24"/>
          <w:shd w:fill="auto" w:val="clear"/>
        </w:rPr>
        <w:t xml:space="preserve">Human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Structure and function of alleles in the 3’end region of human apoB gene. </w:t>
      </w:r>
      <w:r>
        <w:rPr>
          <w:rFonts w:ascii="Calibri" w:hAnsi="Calibri" w:cs="Calibri" w:eastAsia="Calibri"/>
          <w:i/>
          <w:color w:val="auto"/>
          <w:spacing w:val="0"/>
          <w:position w:val="0"/>
          <w:sz w:val="24"/>
          <w:shd w:fill="auto" w:val="clear"/>
        </w:rPr>
        <w:t xml:space="preserve">Chinese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Renges, H.-H., Peacock, K., Dunning, A.M., Talmud, P., Humphries, S.E. Genetic relationship between the 3 ‘-VNTR and diallelic apolipoprotein B gene polymorphisms: Haplotype analysis in individuals of European and South Asian origin. </w:t>
      </w:r>
      <w:r>
        <w:rPr>
          <w:rFonts w:ascii="Calibri" w:hAnsi="Calibri" w:cs="Calibri" w:eastAsia="Calibri"/>
          <w:i/>
          <w:color w:val="auto"/>
          <w:spacing w:val="0"/>
          <w:position w:val="0"/>
          <w:sz w:val="24"/>
          <w:shd w:fill="auto" w:val="clear"/>
        </w:rPr>
        <w:t xml:space="preserve">Annals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Kravchenko, S.A., Maliarchuk, O.S., Livshits, L.A. A population genetics study of the allelic polymorphism in the hypervariable region of the apolipoprotein B gene in the population of different regions of Ukraine. </w:t>
      </w:r>
      <w:r>
        <w:rPr>
          <w:rFonts w:ascii="Calibri" w:hAnsi="Calibri" w:cs="Calibri" w:eastAsia="Calibri"/>
          <w:i/>
          <w:color w:val="auto"/>
          <w:spacing w:val="0"/>
          <w:position w:val="0"/>
          <w:sz w:val="24"/>
          <w:shd w:fill="auto" w:val="clear"/>
        </w:rPr>
        <w:t xml:space="preserve">Tsitologiia i Genetika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(1996).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