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9AF22" w14:textId="551DCC36" w:rsidR="004A5B57" w:rsidRDefault="004A5B57">
      <w:r>
        <w:rPr>
          <w:rStyle w:val="Strong"/>
          <w:color w:val="FF0000"/>
          <w:u w:val="single"/>
        </w:rPr>
        <w:t>Editorial comments:</w:t>
      </w:r>
      <w:r>
        <w:br/>
        <w:t>1. Please take this opportunity to thoroughly proofread the manuscript to ensure that there are no spelling or grammar issues.</w:t>
      </w:r>
      <w:r w:rsidR="00192325" w:rsidRPr="00192325">
        <w:rPr>
          <w:color w:val="4472C4" w:themeColor="accent1"/>
        </w:rPr>
        <w:t xml:space="preserve"> </w:t>
      </w:r>
      <w:r w:rsidR="00192325" w:rsidRPr="00172E43">
        <w:rPr>
          <w:color w:val="4472C4" w:themeColor="accent1"/>
        </w:rPr>
        <w:br/>
      </w:r>
      <w:r w:rsidR="000C3AB6">
        <w:rPr>
          <w:color w:val="4472C4" w:themeColor="accent1"/>
        </w:rPr>
        <w:t>Manuscript was proofread for spelling and grammar issues.</w:t>
      </w:r>
      <w:r>
        <w:br/>
        <w:t xml:space="preserve">2. Please provide an </w:t>
      </w:r>
      <w:bookmarkStart w:id="0" w:name="_Hlk60751602"/>
      <w:r>
        <w:t xml:space="preserve">institutional email address </w:t>
      </w:r>
      <w:bookmarkEnd w:id="0"/>
      <w:r>
        <w:t>for each author.</w:t>
      </w:r>
      <w:r w:rsidR="007C2A19" w:rsidRPr="007C2A19">
        <w:rPr>
          <w:color w:val="4472C4" w:themeColor="accent1"/>
        </w:rPr>
        <w:t xml:space="preserve"> </w:t>
      </w:r>
      <w:r w:rsidR="007C2A19" w:rsidRPr="00172E43">
        <w:rPr>
          <w:color w:val="4472C4" w:themeColor="accent1"/>
        </w:rPr>
        <w:br/>
      </w:r>
      <w:r w:rsidR="008A2505" w:rsidRPr="00C16313">
        <w:rPr>
          <w:color w:val="4472C4" w:themeColor="accent1"/>
        </w:rPr>
        <w:t>Institutional email address</w:t>
      </w:r>
      <w:r w:rsidR="00A70C44" w:rsidRPr="00C16313">
        <w:rPr>
          <w:color w:val="4472C4" w:themeColor="accent1"/>
        </w:rPr>
        <w:t xml:space="preserve">es for Yun Ting Soong and Chan Way Ng </w:t>
      </w:r>
      <w:r w:rsidR="00A70C44" w:rsidRPr="00775144">
        <w:rPr>
          <w:color w:val="4472C4" w:themeColor="accent1"/>
        </w:rPr>
        <w:t xml:space="preserve">were </w:t>
      </w:r>
      <w:r w:rsidR="00775144">
        <w:rPr>
          <w:color w:val="4472C4" w:themeColor="accent1"/>
        </w:rPr>
        <w:t>added</w:t>
      </w:r>
      <w:r w:rsidR="00A70C44" w:rsidRPr="00C16313">
        <w:rPr>
          <w:color w:val="4472C4" w:themeColor="accent1"/>
        </w:rPr>
        <w:t xml:space="preserve">. Institutional email addresses for Narelle Nichola Yi Ying Shen and Yan Zhou have been inactivated after they left </w:t>
      </w:r>
      <w:r w:rsidR="00775144" w:rsidRPr="00C16313">
        <w:rPr>
          <w:color w:val="4472C4" w:themeColor="accent1"/>
        </w:rPr>
        <w:t>National University of Singapore</w:t>
      </w:r>
      <w:r w:rsidR="00A835EF">
        <w:rPr>
          <w:color w:val="4472C4" w:themeColor="accent1"/>
        </w:rPr>
        <w:t xml:space="preserve">. Therefore, </w:t>
      </w:r>
      <w:r w:rsidR="00775144" w:rsidRPr="00C16313">
        <w:rPr>
          <w:color w:val="4472C4" w:themeColor="accent1"/>
        </w:rPr>
        <w:t>their</w:t>
      </w:r>
      <w:r w:rsidR="00A70C44" w:rsidRPr="00775144">
        <w:rPr>
          <w:color w:val="4472C4" w:themeColor="accent1"/>
        </w:rPr>
        <w:t xml:space="preserve"> personal email address</w:t>
      </w:r>
      <w:r w:rsidR="00A835EF">
        <w:rPr>
          <w:color w:val="4472C4" w:themeColor="accent1"/>
        </w:rPr>
        <w:t>es</w:t>
      </w:r>
      <w:r w:rsidR="00775144" w:rsidRPr="00C16313">
        <w:rPr>
          <w:color w:val="4472C4" w:themeColor="accent1"/>
        </w:rPr>
        <w:t xml:space="preserve"> </w:t>
      </w:r>
      <w:r w:rsidR="00765E8E">
        <w:rPr>
          <w:color w:val="4472C4" w:themeColor="accent1"/>
        </w:rPr>
        <w:t>were</w:t>
      </w:r>
      <w:r w:rsidR="00775144" w:rsidRPr="00C16313">
        <w:rPr>
          <w:color w:val="4472C4" w:themeColor="accent1"/>
        </w:rPr>
        <w:t xml:space="preserve"> provided instead</w:t>
      </w:r>
      <w:r w:rsidR="00A70C44" w:rsidRPr="00775144">
        <w:rPr>
          <w:color w:val="4472C4" w:themeColor="accent1"/>
        </w:rPr>
        <w:t>.</w:t>
      </w:r>
      <w:r w:rsidRPr="00A70C44">
        <w:br/>
      </w:r>
      <w:r w:rsidRPr="00E04D2A">
        <w:t>3. Please revise the text to avoid the use of any personal pronouns (e.g., "we", "you", "our" etc.).</w:t>
      </w:r>
      <w:r w:rsidR="007C2A19" w:rsidRPr="00E04D2A">
        <w:rPr>
          <w:color w:val="4472C4" w:themeColor="accent1"/>
        </w:rPr>
        <w:t xml:space="preserve"> </w:t>
      </w:r>
      <w:r w:rsidR="007C2A19" w:rsidRPr="00C16313">
        <w:rPr>
          <w:color w:val="4472C4" w:themeColor="accent1"/>
          <w:highlight w:val="yellow"/>
        </w:rPr>
        <w:br/>
      </w:r>
      <w:r w:rsidR="00E04D2A" w:rsidRPr="00C16313">
        <w:rPr>
          <w:color w:val="4472C4" w:themeColor="accent1"/>
        </w:rPr>
        <w:t>The text has been revised to remove the use of personal pronouns.</w:t>
      </w:r>
      <w:r w:rsidRPr="00C16313">
        <w:rPr>
          <w:highlight w:val="yellow"/>
        </w:rPr>
        <w:br/>
      </w:r>
      <w:r w:rsidRPr="00DA548E">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7C2A19" w:rsidRPr="00DA548E">
        <w:rPr>
          <w:color w:val="4472C4" w:themeColor="accent1"/>
        </w:rPr>
        <w:t xml:space="preserve"> </w:t>
      </w:r>
      <w:r w:rsidR="007C2A19" w:rsidRPr="00C16313">
        <w:rPr>
          <w:color w:val="4472C4" w:themeColor="accent1"/>
          <w:highlight w:val="yellow"/>
        </w:rPr>
        <w:br/>
      </w:r>
      <w:r w:rsidR="0017038F" w:rsidRPr="00C16313">
        <w:rPr>
          <w:color w:val="4472C4" w:themeColor="accent1"/>
        </w:rPr>
        <w:t xml:space="preserve">We </w:t>
      </w:r>
      <w:r w:rsidR="00DD1D7A">
        <w:rPr>
          <w:color w:val="4472C4" w:themeColor="accent1"/>
        </w:rPr>
        <w:t xml:space="preserve">have </w:t>
      </w:r>
      <w:r w:rsidR="0033188A">
        <w:rPr>
          <w:color w:val="4472C4" w:themeColor="accent1"/>
        </w:rPr>
        <w:t>revised</w:t>
      </w:r>
      <w:r w:rsidR="0017038F" w:rsidRPr="00C16313">
        <w:rPr>
          <w:color w:val="4472C4" w:themeColor="accent1"/>
        </w:rPr>
        <w:t xml:space="preserve"> the protocol section and described actions in the imperative tense whenever possible. Text that </w:t>
      </w:r>
      <w:r w:rsidR="00DD1D7A">
        <w:rPr>
          <w:color w:val="4472C4" w:themeColor="accent1"/>
        </w:rPr>
        <w:t>could not</w:t>
      </w:r>
      <w:r w:rsidR="0017038F" w:rsidRPr="00C16313">
        <w:rPr>
          <w:color w:val="4472C4" w:themeColor="accent1"/>
        </w:rPr>
        <w:t xml:space="preserve"> be written in the imperative tense were moved to “Note”. “Caution” for safety precautions </w:t>
      </w:r>
      <w:r w:rsidR="0033188A" w:rsidRPr="00C16313">
        <w:rPr>
          <w:color w:val="4472C4" w:themeColor="accent1"/>
        </w:rPr>
        <w:t xml:space="preserve">and procedures </w:t>
      </w:r>
      <w:r w:rsidR="0017038F" w:rsidRPr="00C16313">
        <w:rPr>
          <w:color w:val="4472C4" w:themeColor="accent1"/>
        </w:rPr>
        <w:t xml:space="preserve">were </w:t>
      </w:r>
      <w:r w:rsidR="0033188A" w:rsidRPr="00C16313">
        <w:rPr>
          <w:color w:val="4472C4" w:themeColor="accent1"/>
        </w:rPr>
        <w:t xml:space="preserve">also </w:t>
      </w:r>
      <w:r w:rsidR="0017038F" w:rsidRPr="00C16313">
        <w:rPr>
          <w:color w:val="4472C4" w:themeColor="accent1"/>
        </w:rPr>
        <w:t>added.</w:t>
      </w:r>
      <w:r>
        <w:br/>
        <w:t>5. For time units, please use abbreviated forms for durations of less than one day when the unit is preceded by a numeral, throughout the protocol. Do not abbreviate day, week, month, and year. Examples: 5 h, 10 min, 100 s, 8 days, 10 weeks.</w:t>
      </w:r>
      <w:r w:rsidR="007C2A19" w:rsidRPr="007C2A19">
        <w:rPr>
          <w:color w:val="4472C4" w:themeColor="accent1"/>
        </w:rPr>
        <w:t xml:space="preserve"> </w:t>
      </w:r>
      <w:r w:rsidR="007C2A19" w:rsidRPr="00172E43">
        <w:rPr>
          <w:color w:val="4472C4" w:themeColor="accent1"/>
        </w:rPr>
        <w:br/>
      </w:r>
      <w:r w:rsidR="00E04D2A">
        <w:rPr>
          <w:color w:val="4472C4" w:themeColor="accent1"/>
        </w:rPr>
        <w:t>A</w:t>
      </w:r>
      <w:r w:rsidR="00857790">
        <w:rPr>
          <w:color w:val="4472C4" w:themeColor="accent1"/>
        </w:rPr>
        <w:t xml:space="preserve">ll time units for duration of less than one day </w:t>
      </w:r>
      <w:r w:rsidR="00E04D2A">
        <w:rPr>
          <w:color w:val="4472C4" w:themeColor="accent1"/>
        </w:rPr>
        <w:t xml:space="preserve">have been converted </w:t>
      </w:r>
      <w:r w:rsidR="00857790">
        <w:rPr>
          <w:color w:val="4472C4" w:themeColor="accent1"/>
        </w:rPr>
        <w:t>to abbreviated forms.</w:t>
      </w:r>
      <w:r>
        <w:br/>
        <w:t>6. Line 163/317: Please convert speeds to centrifugal force (x g) instead of revolutions per minute (rpm).</w:t>
      </w:r>
      <w:r w:rsidR="007C2A19" w:rsidRPr="007C2A19">
        <w:rPr>
          <w:color w:val="4472C4" w:themeColor="accent1"/>
        </w:rPr>
        <w:t xml:space="preserve"> </w:t>
      </w:r>
      <w:r w:rsidR="007C2A19" w:rsidRPr="00172E43">
        <w:rPr>
          <w:color w:val="4472C4" w:themeColor="accent1"/>
        </w:rPr>
        <w:br/>
      </w:r>
      <w:r w:rsidR="00CE5659" w:rsidRPr="00C16313">
        <w:rPr>
          <w:color w:val="4472C4" w:themeColor="accent1"/>
        </w:rPr>
        <w:t>Revolutions per minute</w:t>
      </w:r>
      <w:r w:rsidR="00CE5659">
        <w:rPr>
          <w:color w:val="4472C4" w:themeColor="accent1"/>
        </w:rPr>
        <w:t xml:space="preserve"> (rpm)</w:t>
      </w:r>
      <w:r w:rsidR="00CE5659" w:rsidRPr="00C16313">
        <w:rPr>
          <w:color w:val="4472C4" w:themeColor="accent1"/>
        </w:rPr>
        <w:t xml:space="preserve"> in </w:t>
      </w:r>
      <w:r w:rsidR="005244FC">
        <w:rPr>
          <w:color w:val="4472C4" w:themeColor="accent1"/>
        </w:rPr>
        <w:t xml:space="preserve">both </w:t>
      </w:r>
      <w:r w:rsidR="00CE5659" w:rsidRPr="00C16313">
        <w:rPr>
          <w:color w:val="4472C4" w:themeColor="accent1"/>
        </w:rPr>
        <w:t xml:space="preserve">lines refer to </w:t>
      </w:r>
      <w:r w:rsidR="007C2A19" w:rsidRPr="00CE5659">
        <w:rPr>
          <w:color w:val="4472C4" w:themeColor="accent1"/>
        </w:rPr>
        <w:t>pump rotation speed</w:t>
      </w:r>
      <w:r w:rsidR="00CE5659">
        <w:rPr>
          <w:color w:val="4472C4" w:themeColor="accent1"/>
        </w:rPr>
        <w:t>,</w:t>
      </w:r>
      <w:r w:rsidR="007C2A19" w:rsidRPr="00CE5659">
        <w:rPr>
          <w:color w:val="4472C4" w:themeColor="accent1"/>
        </w:rPr>
        <w:t xml:space="preserve"> not centrifugal speed.</w:t>
      </w:r>
      <w:r w:rsidR="007C2A19">
        <w:rPr>
          <w:color w:val="4472C4" w:themeColor="accent1"/>
        </w:rPr>
        <w:t xml:space="preserve"> </w:t>
      </w:r>
      <w:r>
        <w:b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7C2A19" w:rsidRPr="007C2A19">
        <w:rPr>
          <w:color w:val="4472C4" w:themeColor="accent1"/>
        </w:rPr>
        <w:t xml:space="preserve"> </w:t>
      </w:r>
      <w:r w:rsidR="007C2A19" w:rsidRPr="00172E43">
        <w:rPr>
          <w:color w:val="4472C4" w:themeColor="accent1"/>
        </w:rPr>
        <w:br/>
      </w:r>
      <w:r w:rsidR="0033188A" w:rsidRPr="00C16313">
        <w:rPr>
          <w:color w:val="4472C4" w:themeColor="accent1"/>
        </w:rPr>
        <w:t>The number of highlighted pages has been reduced to 3.</w:t>
      </w:r>
      <w:r>
        <w:br/>
        <w:t>8. Please expand the Representative Results section. The section should describe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r w:rsidR="007C2A19" w:rsidRPr="007C2A19">
        <w:rPr>
          <w:color w:val="4472C4" w:themeColor="accent1"/>
        </w:rPr>
        <w:t xml:space="preserve"> </w:t>
      </w:r>
      <w:r w:rsidR="007C2A19" w:rsidRPr="00172E43">
        <w:rPr>
          <w:color w:val="4472C4" w:themeColor="accent1"/>
        </w:rPr>
        <w:br/>
      </w:r>
      <w:r w:rsidR="005C3737">
        <w:rPr>
          <w:color w:val="4472C4" w:themeColor="accent1"/>
        </w:rPr>
        <w:t>Representative Results have been slightly expanded and a new Figure was added.</w:t>
      </w:r>
    </w:p>
    <w:p w14:paraId="0FC69DD2" w14:textId="77777777" w:rsidR="004A5B57" w:rsidRDefault="004A5B57">
      <w:r>
        <w:br w:type="page"/>
      </w:r>
    </w:p>
    <w:p w14:paraId="6716D5DA" w14:textId="1E1D6383" w:rsidR="00191498" w:rsidRPr="00C16313" w:rsidRDefault="004A5B57">
      <w:pPr>
        <w:pStyle w:val="NormalWeb"/>
        <w:rPr>
          <w:color w:val="4472C4" w:themeColor="accent1"/>
        </w:rPr>
      </w:pPr>
      <w:r>
        <w:rPr>
          <w:rStyle w:val="Strong"/>
          <w:color w:val="0000FF"/>
          <w:u w:val="single"/>
        </w:rPr>
        <w:lastRenderedPageBreak/>
        <w:t>Reviewers' comments:</w:t>
      </w:r>
      <w:r>
        <w:br/>
      </w:r>
      <w:r>
        <w:rPr>
          <w:b/>
          <w:bCs/>
        </w:rPr>
        <w:t>Reviewer #1:</w:t>
      </w:r>
      <w:r>
        <w:br/>
        <w:t>Manuscript Summary:</w:t>
      </w:r>
      <w:r>
        <w:br/>
        <w:t>The authors present a nice protocol for isolation of rat hepatocytes with many improvements over existing protocols that could increase efficiency and reproducibility. The major improvements include silicone heating jacket and a more sophisticated peristaltic pump system.</w:t>
      </w:r>
      <w:r>
        <w:br/>
      </w:r>
      <w:r>
        <w:br/>
        <w:t>Major Concerns:</w:t>
      </w:r>
      <w:r>
        <w:br/>
        <w:t>- There are many published protocols for isolation of rat and mouse hepatocytes. The authors should cite previous protocols and highlight how their protocol is different.</w:t>
      </w:r>
      <w:r w:rsidR="00495F67" w:rsidRPr="00495F67">
        <w:rPr>
          <w:color w:val="4472C4" w:themeColor="accent1"/>
        </w:rPr>
        <w:t xml:space="preserve"> </w:t>
      </w:r>
      <w:r w:rsidR="00495F67" w:rsidRPr="00172E43">
        <w:rPr>
          <w:color w:val="4472C4" w:themeColor="accent1"/>
        </w:rPr>
        <w:br/>
      </w:r>
      <w:r w:rsidR="009B6E06">
        <w:rPr>
          <w:color w:val="4472C4" w:themeColor="accent1"/>
        </w:rPr>
        <w:t>Citations were added to highlight differences in technical protocols and perfusion setup. Differences in technical protocols were discussed in Discussion. Improvements on perfusion setup were explained in Introduction.</w:t>
      </w:r>
      <w:r w:rsidR="00495F67" w:rsidRPr="00172E43">
        <w:rPr>
          <w:color w:val="4472C4" w:themeColor="accent1"/>
        </w:rPr>
        <w:br/>
      </w:r>
      <w:r>
        <w:br/>
        <w:t>- This protocol involves resection of liver prior to collagenase digestion. This is in sharp contrast to all protocols I know which digest the liver before resection. Because this stands in contrast to common practice, the authors should explain and justify this choice.</w:t>
      </w:r>
      <w:r>
        <w:br/>
      </w:r>
      <w:r w:rsidR="00B501FA">
        <w:rPr>
          <w:color w:val="4472C4" w:themeColor="accent1"/>
        </w:rPr>
        <w:t xml:space="preserve">Resection of the liver prior to collagenase digestion holds several advantages compared to digestion of the liver before resection. First, over-digestion of the liver can be avoided. </w:t>
      </w:r>
      <w:r w:rsidR="009B6E06">
        <w:rPr>
          <w:color w:val="4472C4" w:themeColor="accent1"/>
        </w:rPr>
        <w:t xml:space="preserve">In other protocols, liver resection was performed after confirming that the liver is sufficiently digested. </w:t>
      </w:r>
      <w:r w:rsidR="00B501FA">
        <w:rPr>
          <w:color w:val="4472C4" w:themeColor="accent1"/>
        </w:rPr>
        <w:t xml:space="preserve">Depending on </w:t>
      </w:r>
      <w:r w:rsidR="009B6E06">
        <w:rPr>
          <w:color w:val="4472C4" w:themeColor="accent1"/>
        </w:rPr>
        <w:t xml:space="preserve">surgeon </w:t>
      </w:r>
      <w:r w:rsidR="00B501FA">
        <w:rPr>
          <w:color w:val="4472C4" w:themeColor="accent1"/>
        </w:rPr>
        <w:t>skill, liver resection may take from 5-10 min</w:t>
      </w:r>
      <w:r w:rsidR="00B501FA" w:rsidRPr="00730D63">
        <w:rPr>
          <w:color w:val="4472C4" w:themeColor="accent1"/>
        </w:rPr>
        <w:t>.</w:t>
      </w:r>
      <w:r w:rsidR="00CA4127" w:rsidRPr="00730D63">
        <w:rPr>
          <w:color w:val="4472C4" w:themeColor="accent1"/>
        </w:rPr>
        <w:t xml:space="preserve"> Even though </w:t>
      </w:r>
      <w:r w:rsidR="009B6E06" w:rsidRPr="00C16313">
        <w:rPr>
          <w:color w:val="4472C4" w:themeColor="accent1"/>
        </w:rPr>
        <w:t xml:space="preserve">the </w:t>
      </w:r>
      <w:r w:rsidR="00CA4127" w:rsidRPr="00730D63">
        <w:rPr>
          <w:color w:val="4472C4" w:themeColor="accent1"/>
        </w:rPr>
        <w:t xml:space="preserve">perfusion </w:t>
      </w:r>
      <w:r w:rsidR="009B6E06" w:rsidRPr="00C16313">
        <w:rPr>
          <w:color w:val="4472C4" w:themeColor="accent1"/>
        </w:rPr>
        <w:t xml:space="preserve">has been </w:t>
      </w:r>
      <w:r w:rsidR="00CA4127" w:rsidRPr="00730D63">
        <w:rPr>
          <w:color w:val="4472C4" w:themeColor="accent1"/>
        </w:rPr>
        <w:t>stopped, this</w:t>
      </w:r>
      <w:r w:rsidR="00CA4127" w:rsidRPr="008C1B63">
        <w:rPr>
          <w:color w:val="4472C4" w:themeColor="accent1"/>
        </w:rPr>
        <w:t xml:space="preserve"> </w:t>
      </w:r>
      <w:r w:rsidR="009B6E06" w:rsidRPr="00C16313">
        <w:rPr>
          <w:color w:val="4472C4" w:themeColor="accent1"/>
        </w:rPr>
        <w:t xml:space="preserve">still </w:t>
      </w:r>
      <w:r w:rsidR="00CA4127" w:rsidRPr="00730D63">
        <w:rPr>
          <w:color w:val="4472C4" w:themeColor="accent1"/>
        </w:rPr>
        <w:t xml:space="preserve">equates to </w:t>
      </w:r>
      <w:r w:rsidR="008C1B63" w:rsidRPr="00C16313">
        <w:rPr>
          <w:color w:val="4472C4" w:themeColor="accent1"/>
        </w:rPr>
        <w:t xml:space="preserve">additional </w:t>
      </w:r>
      <w:r w:rsidR="00CA4127" w:rsidRPr="00730D63">
        <w:rPr>
          <w:color w:val="4472C4" w:themeColor="accent1"/>
        </w:rPr>
        <w:t xml:space="preserve">5-10 min where liver </w:t>
      </w:r>
      <w:r w:rsidR="008C1B63" w:rsidRPr="00C16313">
        <w:rPr>
          <w:color w:val="4472C4" w:themeColor="accent1"/>
        </w:rPr>
        <w:t>exposed to</w:t>
      </w:r>
      <w:r w:rsidR="00CA4127" w:rsidRPr="00730D63">
        <w:rPr>
          <w:color w:val="4472C4" w:themeColor="accent1"/>
        </w:rPr>
        <w:t xml:space="preserve"> collagenas</w:t>
      </w:r>
      <w:r w:rsidR="008C1B63" w:rsidRPr="00C16313">
        <w:rPr>
          <w:color w:val="4472C4" w:themeColor="accent1"/>
        </w:rPr>
        <w:t>e</w:t>
      </w:r>
      <w:r w:rsidR="00CA4127" w:rsidRPr="00730D63">
        <w:rPr>
          <w:color w:val="4472C4" w:themeColor="accent1"/>
        </w:rPr>
        <w:t>. Second</w:t>
      </w:r>
      <w:r w:rsidR="00CA4127">
        <w:rPr>
          <w:color w:val="4472C4" w:themeColor="accent1"/>
        </w:rPr>
        <w:t xml:space="preserve">, our approach </w:t>
      </w:r>
      <w:r w:rsidR="008C1B63">
        <w:rPr>
          <w:color w:val="4472C4" w:themeColor="accent1"/>
        </w:rPr>
        <w:t xml:space="preserve">could reduce hepatocyte loss. It will be easier to accidentally break and tear the Glisson capsule when the liver is soft and mushy after digestion, compared to before digestion. Finally, resection of the liver prior to collagenase digestion will </w:t>
      </w:r>
      <w:r w:rsidR="009D6039">
        <w:rPr>
          <w:color w:val="4472C4" w:themeColor="accent1"/>
        </w:rPr>
        <w:t>enable the possibility of</w:t>
      </w:r>
      <w:r w:rsidR="008C1B63">
        <w:rPr>
          <w:color w:val="4472C4" w:themeColor="accent1"/>
        </w:rPr>
        <w:t xml:space="preserve"> collagenase recirculation. </w:t>
      </w:r>
      <w:r w:rsidR="009D6039">
        <w:rPr>
          <w:color w:val="4472C4" w:themeColor="accent1"/>
        </w:rPr>
        <w:t xml:space="preserve">Collagenase recirculation eliminates the problem of failed isolations due to insufficient volume of prepared collagenase. This will allow digestion time to be extended, as necessary. </w:t>
      </w:r>
      <w:r w:rsidR="00796E0D">
        <w:rPr>
          <w:color w:val="4472C4" w:themeColor="accent1"/>
        </w:rPr>
        <w:t>I</w:t>
      </w:r>
      <w:r w:rsidR="009D6039">
        <w:rPr>
          <w:color w:val="4472C4" w:themeColor="accent1"/>
        </w:rPr>
        <w:t>t also has a minor advantage of reducing the amount of collagenase needed per isolation.</w:t>
      </w:r>
      <w:r w:rsidR="00796E0D">
        <w:rPr>
          <w:color w:val="4472C4" w:themeColor="accent1"/>
        </w:rPr>
        <w:t xml:space="preserve"> The main disadvantage of our approach is that it introduces a new problem of cannular detachment halfway during perfusion, but which could be addressed with a few technical precautions. </w:t>
      </w:r>
      <w:r w:rsidR="00B501FA">
        <w:rPr>
          <w:color w:val="4472C4" w:themeColor="accent1"/>
        </w:rPr>
        <w:t>The advantages and disadvantages of resection of liver prior to collagenase digestion have been added into Discussion</w:t>
      </w:r>
      <w:r w:rsidR="008A5359" w:rsidRPr="00C16313">
        <w:rPr>
          <w:color w:val="4472C4" w:themeColor="accent1"/>
        </w:rPr>
        <w:t>.</w:t>
      </w:r>
      <w:r w:rsidR="008A5359" w:rsidRPr="00172E43">
        <w:br/>
      </w:r>
      <w:r>
        <w:br/>
        <w:t>Minor Concerns:</w:t>
      </w:r>
      <w:r>
        <w:br/>
        <w:t>- It is common to use a density gradient (such as Percoll) during isolation in order to improve yield and viability. This protocol does not use a density gradient. If the authors have tried it and found it to be un-needed, this should be mentioned as it can help future users.</w:t>
      </w:r>
      <w:r w:rsidR="008A5359" w:rsidRPr="008A5359">
        <w:t xml:space="preserve"> </w:t>
      </w:r>
      <w:r w:rsidR="008A5359" w:rsidRPr="00172E43">
        <w:br/>
      </w:r>
      <w:r w:rsidR="00191498" w:rsidRPr="00C16313">
        <w:rPr>
          <w:color w:val="4472C4" w:themeColor="accent1"/>
        </w:rPr>
        <w:t xml:space="preserve">We do not use density gradient such as </w:t>
      </w:r>
      <w:r w:rsidR="008A5359" w:rsidRPr="00C16313">
        <w:rPr>
          <w:color w:val="4472C4" w:themeColor="accent1"/>
        </w:rPr>
        <w:t xml:space="preserve">Percoll </w:t>
      </w:r>
      <w:r w:rsidR="00191498" w:rsidRPr="00C16313">
        <w:rPr>
          <w:color w:val="4472C4" w:themeColor="accent1"/>
        </w:rPr>
        <w:t xml:space="preserve">to improve the viability of our cells. Our cell viability is high enough not to require density gradient. From our experience, some collagenase batches/lots may give lower viability, so it will be better to just avoid these batches/lots. Although density gradient </w:t>
      </w:r>
      <w:r w:rsidR="004F554F">
        <w:rPr>
          <w:color w:val="4472C4" w:themeColor="accent1"/>
        </w:rPr>
        <w:t>may</w:t>
      </w:r>
      <w:r w:rsidR="000D4F0B" w:rsidRPr="00C16313">
        <w:rPr>
          <w:color w:val="4472C4" w:themeColor="accent1"/>
        </w:rPr>
        <w:t xml:space="preserve"> select subpopulation of hepatocytes with slightly different metabolic profile, </w:t>
      </w:r>
      <w:r w:rsidR="000D4F0B">
        <w:rPr>
          <w:color w:val="4472C4" w:themeColor="accent1"/>
        </w:rPr>
        <w:t>for users stuck with a bad batch/lot of collagenase, we</w:t>
      </w:r>
      <w:r w:rsidR="000D4F0B" w:rsidRPr="00C16313">
        <w:rPr>
          <w:color w:val="4472C4" w:themeColor="accent1"/>
        </w:rPr>
        <w:t xml:space="preserve"> will mention the possibility of density gradient in the paper.</w:t>
      </w:r>
    </w:p>
    <w:p w14:paraId="646F92A6" w14:textId="7A7667E6" w:rsidR="00FB472A" w:rsidRDefault="004A5B57" w:rsidP="00C16313">
      <w:pPr>
        <w:pStyle w:val="NormalWeb"/>
      </w:pPr>
      <w:r>
        <w:t>- Table 2 lists several measurements that were made. The authors should describe how these measurements were made.</w:t>
      </w:r>
      <w:r w:rsidR="008A5359" w:rsidRPr="008A5359">
        <w:rPr>
          <w:color w:val="4472C4" w:themeColor="accent1"/>
        </w:rPr>
        <w:t xml:space="preserve"> </w:t>
      </w:r>
      <w:r w:rsidR="008A5359" w:rsidRPr="00172E43">
        <w:rPr>
          <w:color w:val="4472C4" w:themeColor="accent1"/>
        </w:rPr>
        <w:br/>
      </w:r>
      <w:r w:rsidR="00796E0D">
        <w:rPr>
          <w:color w:val="4472C4" w:themeColor="accent1"/>
        </w:rPr>
        <w:t>Our p</w:t>
      </w:r>
      <w:r w:rsidR="00495F67">
        <w:rPr>
          <w:color w:val="4472C4" w:themeColor="accent1"/>
        </w:rPr>
        <w:t>rotocols for</w:t>
      </w:r>
      <w:r w:rsidR="00726147">
        <w:rPr>
          <w:color w:val="4472C4" w:themeColor="accent1"/>
        </w:rPr>
        <w:t xml:space="preserve"> the</w:t>
      </w:r>
      <w:r w:rsidR="002D0533">
        <w:rPr>
          <w:color w:val="4472C4" w:themeColor="accent1"/>
        </w:rPr>
        <w:t xml:space="preserve"> measurement </w:t>
      </w:r>
      <w:r w:rsidR="00495F67">
        <w:rPr>
          <w:color w:val="4472C4" w:themeColor="accent1"/>
        </w:rPr>
        <w:t>of</w:t>
      </w:r>
      <w:r w:rsidR="002D0533">
        <w:rPr>
          <w:color w:val="4472C4" w:themeColor="accent1"/>
        </w:rPr>
        <w:t xml:space="preserve"> albumin, urea and CYP</w:t>
      </w:r>
      <w:r w:rsidR="00796E0D">
        <w:rPr>
          <w:color w:val="4472C4" w:themeColor="accent1"/>
        </w:rPr>
        <w:t xml:space="preserve"> are rather </w:t>
      </w:r>
      <w:r w:rsidR="00F0301F">
        <w:rPr>
          <w:color w:val="4472C4" w:themeColor="accent1"/>
        </w:rPr>
        <w:t>complicated</w:t>
      </w:r>
      <w:r w:rsidR="00726147">
        <w:rPr>
          <w:color w:val="4472C4" w:themeColor="accent1"/>
        </w:rPr>
        <w:t xml:space="preserve">. They will add at least 3 additional pages to the Protocol. </w:t>
      </w:r>
      <w:r w:rsidR="00CC0FF3">
        <w:rPr>
          <w:color w:val="4472C4" w:themeColor="accent1"/>
        </w:rPr>
        <w:t>To avoid exceeding</w:t>
      </w:r>
      <w:r w:rsidR="00726147">
        <w:rPr>
          <w:color w:val="4472C4" w:themeColor="accent1"/>
        </w:rPr>
        <w:t xml:space="preserve"> the 10-page limit for Protocol</w:t>
      </w:r>
      <w:r w:rsidR="00CC0FF3">
        <w:rPr>
          <w:color w:val="4472C4" w:themeColor="accent1"/>
        </w:rPr>
        <w:t xml:space="preserve"> and </w:t>
      </w:r>
      <w:r w:rsidR="00726147">
        <w:rPr>
          <w:color w:val="4472C4" w:themeColor="accent1"/>
        </w:rPr>
        <w:t>distract</w:t>
      </w:r>
      <w:r w:rsidR="00CC0FF3">
        <w:rPr>
          <w:color w:val="4472C4" w:themeColor="accent1"/>
        </w:rPr>
        <w:t xml:space="preserve">ing </w:t>
      </w:r>
      <w:r w:rsidR="00726147">
        <w:rPr>
          <w:color w:val="4472C4" w:themeColor="accent1"/>
        </w:rPr>
        <w:t>readers</w:t>
      </w:r>
      <w:r w:rsidR="00C01CBC">
        <w:rPr>
          <w:color w:val="4472C4" w:themeColor="accent1"/>
        </w:rPr>
        <w:t xml:space="preserve">, </w:t>
      </w:r>
      <w:r w:rsidR="00725DA9">
        <w:rPr>
          <w:color w:val="4472C4" w:themeColor="accent1"/>
        </w:rPr>
        <w:t>we feel that it will be best not to add them.</w:t>
      </w:r>
      <w:r w:rsidR="00DB6D6E">
        <w:rPr>
          <w:color w:val="4472C4" w:themeColor="accent1"/>
        </w:rPr>
        <w:t xml:space="preserve"> The </w:t>
      </w:r>
      <w:r w:rsidR="00B63C42">
        <w:rPr>
          <w:color w:val="4472C4" w:themeColor="accent1"/>
        </w:rPr>
        <w:t>measurements were made based on</w:t>
      </w:r>
      <w:r w:rsidR="00DB6D6E">
        <w:rPr>
          <w:color w:val="4472C4" w:themeColor="accent1"/>
        </w:rPr>
        <w:t xml:space="preserve">: </w:t>
      </w:r>
      <w:r w:rsidR="00DB6D6E" w:rsidRPr="00DB6D6E">
        <w:rPr>
          <w:color w:val="4472C4" w:themeColor="accent1"/>
        </w:rPr>
        <w:t>Xia, L., Binte, R., Qu, Y., Hong, X., Zhang, W., Nugraha, B., … Yu, H. (2012). Tethered spheroids as an in vitro hepatocyte model for drug safety screening. Biomaterials, 33(7), 2165–2176. https://doi.org/10.1016/j.biomaterials.2011.12.006</w:t>
      </w:r>
      <w:r w:rsidR="008A5359" w:rsidRPr="00172E43">
        <w:rPr>
          <w:color w:val="4472C4" w:themeColor="accent1"/>
        </w:rPr>
        <w:br/>
      </w:r>
      <w:r>
        <w:br/>
        <w:t>In summary, this is a well-written and detailed protocol which may prove useful to future users</w:t>
      </w:r>
      <w:r>
        <w:br/>
      </w:r>
      <w:r>
        <w:br/>
      </w:r>
      <w:r>
        <w:lastRenderedPageBreak/>
        <w:br/>
      </w:r>
      <w:r>
        <w:rPr>
          <w:b/>
          <w:bCs/>
        </w:rPr>
        <w:t>Reviewer #2:</w:t>
      </w:r>
      <w:r>
        <w:br/>
        <w:t>Manuscript Summary:</w:t>
      </w:r>
      <w:r>
        <w:br/>
        <w:t>In this manuscript, Inn Chuan Ng and colleagues Isolation of Primary Rat Hepatocytes with Multiparameter Perfusion Control. The protocol is very interesting. But it is necessary to address several issues.</w:t>
      </w:r>
      <w:r>
        <w:br/>
      </w:r>
      <w:r>
        <w:br/>
        <w:t>Minor Concerns:</w:t>
      </w:r>
      <w:r>
        <w:br/>
        <w:t>Please check spelling and grammar. The following are my concerns:</w:t>
      </w:r>
      <w:r>
        <w:br/>
        <w:t>1. At line 68, please change "applications" to "application".</w:t>
      </w:r>
      <w:r w:rsidR="00495F67" w:rsidRPr="00172E43">
        <w:rPr>
          <w:color w:val="4472C4" w:themeColor="accent1"/>
        </w:rPr>
        <w:br/>
      </w:r>
      <w:r w:rsidR="00B65633" w:rsidRPr="00F26919">
        <w:rPr>
          <w:color w:val="4472C4" w:themeColor="accent1"/>
        </w:rPr>
        <w:t xml:space="preserve">[Line </w:t>
      </w:r>
      <w:r w:rsidR="0048121F" w:rsidRPr="00C16313">
        <w:rPr>
          <w:color w:val="4472C4" w:themeColor="accent1"/>
        </w:rPr>
        <w:t>73</w:t>
      </w:r>
      <w:r w:rsidR="0048121F">
        <w:rPr>
          <w:color w:val="4472C4" w:themeColor="accent1"/>
        </w:rPr>
        <w:t xml:space="preserve"> and others</w:t>
      </w:r>
      <w:r w:rsidR="00B65633" w:rsidRPr="00F26919">
        <w:rPr>
          <w:color w:val="4472C4" w:themeColor="accent1"/>
        </w:rPr>
        <w:t>]</w:t>
      </w:r>
      <w:r w:rsidR="00B65633">
        <w:rPr>
          <w:color w:val="4472C4" w:themeColor="accent1"/>
        </w:rPr>
        <w:t xml:space="preserve"> Corrected</w:t>
      </w:r>
      <w:r w:rsidR="009742ED">
        <w:rPr>
          <w:color w:val="4472C4" w:themeColor="accent1"/>
        </w:rPr>
        <w:t xml:space="preserve"> </w:t>
      </w:r>
      <w:r w:rsidR="0048121F">
        <w:rPr>
          <w:color w:val="4472C4" w:themeColor="accent1"/>
        </w:rPr>
        <w:t>all</w:t>
      </w:r>
      <w:r w:rsidR="009742ED">
        <w:rPr>
          <w:color w:val="4472C4" w:themeColor="accent1"/>
        </w:rPr>
        <w:t xml:space="preserve"> “application</w:t>
      </w:r>
      <w:r w:rsidR="0048121F">
        <w:rPr>
          <w:color w:val="4472C4" w:themeColor="accent1"/>
        </w:rPr>
        <w:t>s</w:t>
      </w:r>
      <w:r w:rsidR="009742ED">
        <w:rPr>
          <w:color w:val="4472C4" w:themeColor="accent1"/>
        </w:rPr>
        <w:t>”</w:t>
      </w:r>
      <w:r w:rsidR="0048121F">
        <w:rPr>
          <w:color w:val="4472C4" w:themeColor="accent1"/>
        </w:rPr>
        <w:t xml:space="preserve"> to “application”</w:t>
      </w:r>
      <w:r w:rsidR="00B65633">
        <w:rPr>
          <w:color w:val="4472C4" w:themeColor="accent1"/>
        </w:rPr>
        <w:t xml:space="preserve">. </w:t>
      </w:r>
      <w:r w:rsidRPr="00C16313">
        <w:rPr>
          <w:color w:val="4472C4" w:themeColor="accent1"/>
        </w:rPr>
        <w:br/>
      </w:r>
      <w:r>
        <w:t>2. At lines 118-119: what is the reference for "ionic strength in the water will affect the quality of the isolated hepatocytes"</w:t>
      </w:r>
      <w:r w:rsidR="00495F67" w:rsidRPr="00172E43">
        <w:rPr>
          <w:color w:val="4472C4" w:themeColor="accent1"/>
        </w:rPr>
        <w:br/>
      </w:r>
      <w:r w:rsidR="00730D63" w:rsidRPr="00F26919">
        <w:rPr>
          <w:color w:val="4472C4" w:themeColor="accent1"/>
        </w:rPr>
        <w:t xml:space="preserve">Confusing statement </w:t>
      </w:r>
      <w:r w:rsidR="0048121F">
        <w:rPr>
          <w:color w:val="4472C4" w:themeColor="accent1"/>
        </w:rPr>
        <w:t xml:space="preserve">in Protocol </w:t>
      </w:r>
      <w:r w:rsidR="00730D63" w:rsidRPr="00F26919">
        <w:rPr>
          <w:color w:val="4472C4" w:themeColor="accent1"/>
        </w:rPr>
        <w:t>was removed</w:t>
      </w:r>
      <w:r w:rsidR="0048121F">
        <w:rPr>
          <w:color w:val="4472C4" w:themeColor="accent1"/>
        </w:rPr>
        <w:t xml:space="preserve"> and explanation was provided in Discussion</w:t>
      </w:r>
      <w:r w:rsidR="00730D63" w:rsidRPr="00F26919">
        <w:rPr>
          <w:color w:val="4472C4" w:themeColor="accent1"/>
        </w:rPr>
        <w:t>. We were trying to say that impurities in the water</w:t>
      </w:r>
      <w:r w:rsidR="00730D63" w:rsidRPr="00C16313">
        <w:rPr>
          <w:color w:val="4472C4" w:themeColor="accent1"/>
        </w:rPr>
        <w:t xml:space="preserve"> such as ferrous and ferric ions could affect collagenase activity</w:t>
      </w:r>
      <w:r w:rsidR="0010796E">
        <w:rPr>
          <w:color w:val="4472C4" w:themeColor="accent1"/>
        </w:rPr>
        <w:t>, and thus quality of isolated hepatocytes</w:t>
      </w:r>
      <w:r w:rsidR="00730D63" w:rsidRPr="00F26919">
        <w:rPr>
          <w:color w:val="4472C4" w:themeColor="accent1"/>
        </w:rPr>
        <w:t>.</w:t>
      </w:r>
      <w:r w:rsidR="00730D63">
        <w:rPr>
          <w:color w:val="4472C4" w:themeColor="accent1"/>
        </w:rPr>
        <w:t xml:space="preserve"> </w:t>
      </w:r>
      <w:r w:rsidR="0010796E">
        <w:rPr>
          <w:color w:val="4472C4" w:themeColor="accent1"/>
        </w:rPr>
        <w:t xml:space="preserve">Reference: </w:t>
      </w:r>
      <w:r w:rsidR="0048121F" w:rsidRPr="0048121F">
        <w:rPr>
          <w:color w:val="4472C4" w:themeColor="accent1"/>
        </w:rPr>
        <w:t>Karakiulakis G, Papadimitriu E, Missirlis E, Maragoudakis ME. Effect of divalent metal ions on collagenase from Clostridium histolyticum. Biochem Int. 1991 Jun;24(3):397-404. PMID: 1663343.</w:t>
      </w:r>
      <w:r w:rsidRPr="00C16313">
        <w:rPr>
          <w:color w:val="4472C4" w:themeColor="accent1"/>
        </w:rPr>
        <w:br/>
      </w:r>
      <w:r>
        <w:t>3. It would be better to use three-line table format for tables 1 and 2</w:t>
      </w:r>
      <w:r w:rsidR="001F1FA3" w:rsidRPr="001F1FA3">
        <w:rPr>
          <w:color w:val="4472C4" w:themeColor="accent1"/>
        </w:rPr>
        <w:t xml:space="preserve"> </w:t>
      </w:r>
      <w:r w:rsidR="001F1FA3" w:rsidRPr="00172E43">
        <w:rPr>
          <w:color w:val="4472C4" w:themeColor="accent1"/>
        </w:rPr>
        <w:br/>
      </w:r>
      <w:r w:rsidR="00B65633" w:rsidRPr="00C16313">
        <w:rPr>
          <w:color w:val="4472C4" w:themeColor="accent1"/>
        </w:rPr>
        <w:t>Table</w:t>
      </w:r>
      <w:r w:rsidR="00730D63">
        <w:rPr>
          <w:color w:val="4472C4" w:themeColor="accent1"/>
        </w:rPr>
        <w:t xml:space="preserve">s 1 and 2 were </w:t>
      </w:r>
      <w:r w:rsidR="00B65633" w:rsidRPr="00C16313">
        <w:rPr>
          <w:color w:val="4472C4" w:themeColor="accent1"/>
        </w:rPr>
        <w:t>converted to t</w:t>
      </w:r>
      <w:r w:rsidR="007C00C2" w:rsidRPr="00730D63">
        <w:rPr>
          <w:color w:val="4472C4" w:themeColor="accent1"/>
        </w:rPr>
        <w:t>hree-line table format.</w:t>
      </w:r>
      <w:r>
        <w:br/>
        <w:t>4. For figure 1 legend, you didn't point out what 15 represent for</w:t>
      </w:r>
      <w:r w:rsidR="001F1FA3" w:rsidRPr="001F1FA3">
        <w:rPr>
          <w:color w:val="4472C4" w:themeColor="accent1"/>
        </w:rPr>
        <w:t xml:space="preserve"> </w:t>
      </w:r>
      <w:r w:rsidR="001F1FA3" w:rsidRPr="00172E43">
        <w:rPr>
          <w:color w:val="4472C4" w:themeColor="accent1"/>
        </w:rPr>
        <w:br/>
      </w:r>
      <w:r w:rsidR="00B4182D" w:rsidRPr="00C16313">
        <w:rPr>
          <w:color w:val="4472C4" w:themeColor="accent1"/>
        </w:rPr>
        <w:t xml:space="preserve">Component 15 was a duplicate of component 2. </w:t>
      </w:r>
      <w:r w:rsidR="00A67DB5" w:rsidRPr="00C16313">
        <w:rPr>
          <w:color w:val="4472C4" w:themeColor="accent1"/>
        </w:rPr>
        <w:t>Figure 1 ha</w:t>
      </w:r>
      <w:r w:rsidR="00B4182D" w:rsidRPr="00C16313">
        <w:rPr>
          <w:color w:val="4472C4" w:themeColor="accent1"/>
        </w:rPr>
        <w:t>s</w:t>
      </w:r>
      <w:r w:rsidR="00A67DB5" w:rsidRPr="00C16313">
        <w:rPr>
          <w:color w:val="4472C4" w:themeColor="accent1"/>
        </w:rPr>
        <w:t xml:space="preserve"> been </w:t>
      </w:r>
      <w:r w:rsidR="00B4182D" w:rsidRPr="00C16313">
        <w:rPr>
          <w:color w:val="4472C4" w:themeColor="accent1"/>
        </w:rPr>
        <w:t xml:space="preserve">modified and </w:t>
      </w:r>
      <w:r w:rsidR="00A67DB5" w:rsidRPr="00C16313">
        <w:rPr>
          <w:color w:val="4472C4" w:themeColor="accent1"/>
        </w:rPr>
        <w:t xml:space="preserve">corrected. All </w:t>
      </w:r>
      <w:r w:rsidR="00B4182D" w:rsidRPr="00C16313">
        <w:rPr>
          <w:color w:val="4472C4" w:themeColor="accent1"/>
        </w:rPr>
        <w:t>component number are now represented.</w:t>
      </w:r>
      <w:r>
        <w:br/>
        <w:t>5. For figure 6, it will be better if you can use arrows to point out the site of bile canaliculi.</w:t>
      </w:r>
      <w:r w:rsidR="001F1FA3" w:rsidRPr="001F1FA3">
        <w:rPr>
          <w:color w:val="4472C4" w:themeColor="accent1"/>
        </w:rPr>
        <w:t xml:space="preserve"> </w:t>
      </w:r>
      <w:r w:rsidR="001F1FA3" w:rsidRPr="00172E43">
        <w:rPr>
          <w:color w:val="4472C4" w:themeColor="accent1"/>
        </w:rPr>
        <w:br/>
      </w:r>
      <w:r w:rsidR="00730D63" w:rsidRPr="00C16313">
        <w:rPr>
          <w:color w:val="4472C4" w:themeColor="accent1"/>
        </w:rPr>
        <w:t>The s</w:t>
      </w:r>
      <w:r w:rsidR="00A31A57" w:rsidRPr="00C16313">
        <w:rPr>
          <w:color w:val="4472C4" w:themeColor="accent1"/>
        </w:rPr>
        <w:t>ite of bile canaliculi</w:t>
      </w:r>
      <w:r w:rsidR="00A31A11" w:rsidRPr="00C16313">
        <w:rPr>
          <w:color w:val="4472C4" w:themeColor="accent1"/>
        </w:rPr>
        <w:t xml:space="preserve"> in </w:t>
      </w:r>
      <w:r w:rsidR="00246CCA">
        <w:rPr>
          <w:color w:val="4472C4" w:themeColor="accent1"/>
        </w:rPr>
        <w:t>the figure (now Figure 7)</w:t>
      </w:r>
      <w:r w:rsidR="00730D63" w:rsidRPr="00C16313">
        <w:rPr>
          <w:color w:val="4472C4" w:themeColor="accent1"/>
        </w:rPr>
        <w:t xml:space="preserve"> was pointed out</w:t>
      </w:r>
      <w:r w:rsidR="0010796E" w:rsidRPr="00C16313">
        <w:rPr>
          <w:color w:val="4472C4" w:themeColor="accent1"/>
        </w:rPr>
        <w:t xml:space="preserve"> with arrows</w:t>
      </w:r>
      <w:r w:rsidR="00A31A57" w:rsidRPr="00C16313">
        <w:rPr>
          <w:color w:val="4472C4" w:themeColor="accent1"/>
        </w:rPr>
        <w:t xml:space="preserve">. </w:t>
      </w:r>
      <w:r w:rsidR="00730D63" w:rsidRPr="00C16313">
        <w:rPr>
          <w:color w:val="4472C4" w:themeColor="accent1"/>
        </w:rPr>
        <w:t>V</w:t>
      </w:r>
      <w:r w:rsidR="00A31A57" w:rsidRPr="00C16313">
        <w:rPr>
          <w:color w:val="4472C4" w:themeColor="accent1"/>
        </w:rPr>
        <w:t>isually similar structures such as cell-cell junction, the nucleus and dead cell</w:t>
      </w:r>
      <w:r w:rsidR="00730D63" w:rsidRPr="00C16313">
        <w:rPr>
          <w:color w:val="4472C4" w:themeColor="accent1"/>
        </w:rPr>
        <w:t xml:space="preserve"> were also pointed out.</w:t>
      </w:r>
      <w:r w:rsidR="0003510D">
        <w:rPr>
          <w:color w:val="4472C4" w:themeColor="accent1"/>
        </w:rPr>
        <w:t xml:space="preserve"> </w:t>
      </w:r>
      <w:r>
        <w:br/>
      </w:r>
      <w:r w:rsidRPr="00F26919">
        <w:t>6. At line 411, please write the full name then the abbreviation.</w:t>
      </w:r>
      <w:r w:rsidR="0062068D" w:rsidRPr="00C16313">
        <w:rPr>
          <w:color w:val="4472C4" w:themeColor="accent1"/>
        </w:rPr>
        <w:t xml:space="preserve"> </w:t>
      </w:r>
      <w:r w:rsidR="0062068D" w:rsidRPr="00C16313">
        <w:rPr>
          <w:color w:val="4472C4" w:themeColor="accent1"/>
        </w:rPr>
        <w:br/>
      </w:r>
      <w:r w:rsidR="00A31A11" w:rsidRPr="00C16313">
        <w:rPr>
          <w:color w:val="4472C4" w:themeColor="accent1"/>
        </w:rPr>
        <w:t>[L</w:t>
      </w:r>
      <w:r w:rsidR="00A31A11" w:rsidRPr="00F26919">
        <w:rPr>
          <w:color w:val="4472C4" w:themeColor="accent1"/>
        </w:rPr>
        <w:t xml:space="preserve">ine </w:t>
      </w:r>
      <w:r w:rsidR="0010796E" w:rsidRPr="00C16313">
        <w:rPr>
          <w:color w:val="4472C4" w:themeColor="accent1"/>
        </w:rPr>
        <w:t>440</w:t>
      </w:r>
      <w:r w:rsidR="00A31A11" w:rsidRPr="00F26919">
        <w:rPr>
          <w:color w:val="4472C4" w:themeColor="accent1"/>
        </w:rPr>
        <w:t>]</w:t>
      </w:r>
      <w:r w:rsidR="00A31A11" w:rsidRPr="00C16313">
        <w:rPr>
          <w:color w:val="4472C4" w:themeColor="accent1"/>
        </w:rPr>
        <w:t xml:space="preserve"> </w:t>
      </w:r>
      <w:r w:rsidR="0003510D" w:rsidRPr="00C16313">
        <w:rPr>
          <w:color w:val="4472C4" w:themeColor="accent1"/>
        </w:rPr>
        <w:t>Added</w:t>
      </w:r>
      <w:r w:rsidR="00487840">
        <w:rPr>
          <w:color w:val="4472C4" w:themeColor="accent1"/>
        </w:rPr>
        <w:t xml:space="preserve"> the</w:t>
      </w:r>
      <w:r w:rsidR="0003510D">
        <w:rPr>
          <w:color w:val="4472C4" w:themeColor="accent1"/>
        </w:rPr>
        <w:t xml:space="preserve"> full name and abbreviation for </w:t>
      </w:r>
      <w:r w:rsidR="0003510D" w:rsidRPr="0003510D">
        <w:rPr>
          <w:color w:val="4472C4" w:themeColor="accent1"/>
        </w:rPr>
        <w:t>Dulbecco's Modified Eagle Medium (DMEM)</w:t>
      </w:r>
      <w:r w:rsidR="0003510D">
        <w:rPr>
          <w:color w:val="4472C4" w:themeColor="accent1"/>
        </w:rPr>
        <w:t>.</w:t>
      </w:r>
      <w:r>
        <w:br/>
        <w:t>7. In 5.5 and 5.6: why is the speed of the centrifuge different since it's used for the same purpose?</w:t>
      </w:r>
      <w:r w:rsidR="0062068D" w:rsidRPr="0062068D">
        <w:rPr>
          <w:color w:val="4472C4" w:themeColor="accent1"/>
        </w:rPr>
        <w:t xml:space="preserve"> </w:t>
      </w:r>
      <w:r w:rsidR="0062068D" w:rsidRPr="00172E43">
        <w:rPr>
          <w:color w:val="4472C4" w:themeColor="accent1"/>
        </w:rPr>
        <w:br/>
      </w:r>
      <w:r w:rsidR="007B4E17">
        <w:rPr>
          <w:color w:val="4472C4" w:themeColor="accent1"/>
        </w:rPr>
        <w:t>50 x g is the commonly accepted speed used to pellet hepatocytes. We find that using 20 x g for the second centrifugation could reduce the amount of non-parenchymal cells pelleted.</w:t>
      </w:r>
      <w:r>
        <w:br/>
        <w:t>8. In 5.7: the cell count should be under the microscope.</w:t>
      </w:r>
      <w:r w:rsidR="0062068D" w:rsidRPr="0062068D">
        <w:rPr>
          <w:color w:val="4472C4" w:themeColor="accent1"/>
        </w:rPr>
        <w:t xml:space="preserve"> </w:t>
      </w:r>
      <w:r w:rsidR="0062068D" w:rsidRPr="00172E43">
        <w:rPr>
          <w:color w:val="4472C4" w:themeColor="accent1"/>
        </w:rPr>
        <w:br/>
      </w:r>
      <w:r w:rsidR="007B4E17">
        <w:rPr>
          <w:color w:val="4472C4" w:themeColor="accent1"/>
        </w:rPr>
        <w:t>Added</w:t>
      </w:r>
      <w:r w:rsidR="00A31A11">
        <w:rPr>
          <w:color w:val="4472C4" w:themeColor="accent1"/>
        </w:rPr>
        <w:t xml:space="preserve"> that cell count was performed </w:t>
      </w:r>
      <w:r w:rsidR="00A31A11" w:rsidRPr="00A31A11">
        <w:rPr>
          <w:color w:val="4472C4" w:themeColor="accent1"/>
        </w:rPr>
        <w:t>with a haemocytometer under the light microscope</w:t>
      </w:r>
      <w:r w:rsidR="00A31A11">
        <w:rPr>
          <w:color w:val="4472C4" w:themeColor="accent1"/>
        </w:rPr>
        <w:t xml:space="preserve">. </w:t>
      </w:r>
      <w:r w:rsidR="007B4E17" w:rsidRPr="00172E43">
        <w:rPr>
          <w:color w:val="4472C4" w:themeColor="accent1"/>
        </w:rPr>
        <w:br/>
      </w:r>
      <w:r>
        <w:t xml:space="preserve">9. At line 483: the cells availability depends on the table-1 will be between </w:t>
      </w:r>
      <w:bookmarkStart w:id="1" w:name="_Hlk61816685"/>
      <w:r>
        <w:t>88-94.8%.</w:t>
      </w:r>
      <w:r w:rsidR="0062068D" w:rsidRPr="0062068D">
        <w:rPr>
          <w:color w:val="4472C4" w:themeColor="accent1"/>
        </w:rPr>
        <w:t xml:space="preserve"> </w:t>
      </w:r>
      <w:bookmarkEnd w:id="1"/>
      <w:r w:rsidR="0062068D" w:rsidRPr="00172E43">
        <w:rPr>
          <w:color w:val="4472C4" w:themeColor="accent1"/>
        </w:rPr>
        <w:br/>
      </w:r>
      <w:r w:rsidR="007B4E17" w:rsidRPr="00C16313">
        <w:rPr>
          <w:color w:val="4472C4" w:themeColor="accent1"/>
        </w:rPr>
        <w:t xml:space="preserve">[Line </w:t>
      </w:r>
      <w:r w:rsidR="00C16313">
        <w:rPr>
          <w:color w:val="4472C4" w:themeColor="accent1"/>
        </w:rPr>
        <w:t>533</w:t>
      </w:r>
      <w:r w:rsidR="007B4E17" w:rsidRPr="00C16313">
        <w:rPr>
          <w:color w:val="4472C4" w:themeColor="accent1"/>
        </w:rPr>
        <w:t>]</w:t>
      </w:r>
      <w:r w:rsidR="007B4E17">
        <w:rPr>
          <w:color w:val="4472C4" w:themeColor="accent1"/>
        </w:rPr>
        <w:t xml:space="preserve"> Updated.</w:t>
      </w:r>
      <w:r>
        <w:br/>
        <w:t>10. Is bubble trap (5) necessary to be used, since the heating step (8) may cause bubble, and you already set a bubble filter (13) after heating</w:t>
      </w:r>
      <w:r w:rsidR="0062068D" w:rsidRPr="0062068D">
        <w:rPr>
          <w:color w:val="4472C4" w:themeColor="accent1"/>
        </w:rPr>
        <w:t xml:space="preserve"> </w:t>
      </w:r>
      <w:r w:rsidR="0062068D" w:rsidRPr="00172E43">
        <w:rPr>
          <w:color w:val="4472C4" w:themeColor="accent1"/>
        </w:rPr>
        <w:br/>
      </w:r>
      <w:r w:rsidR="00F26919">
        <w:rPr>
          <w:color w:val="4472C4" w:themeColor="accent1"/>
        </w:rPr>
        <w:t>The bubble trap acts more like a reservoir to prevent the flow from being disrupted due to accidental introduction of air from the inlets.</w:t>
      </w:r>
      <w:r>
        <w:br/>
      </w:r>
      <w:bookmarkStart w:id="2" w:name="_Hlk61888830"/>
      <w:r>
        <w:t>11. Do you think the perfusion monitor (12) is better to set after bubble filter (13).</w:t>
      </w:r>
      <w:r w:rsidR="00192325" w:rsidRPr="00192325">
        <w:rPr>
          <w:color w:val="4472C4" w:themeColor="accent1"/>
        </w:rPr>
        <w:t xml:space="preserve"> </w:t>
      </w:r>
      <w:r w:rsidR="00192325" w:rsidRPr="00172E43">
        <w:rPr>
          <w:color w:val="4472C4" w:themeColor="accent1"/>
        </w:rPr>
        <w:br/>
      </w:r>
      <w:bookmarkEnd w:id="2"/>
      <w:r w:rsidR="00E359E9" w:rsidRPr="00E359E9">
        <w:rPr>
          <w:color w:val="4472C4" w:themeColor="accent1"/>
        </w:rPr>
        <w:t xml:space="preserve">If the perfusion monitor is placed after the bubble filter, it cannot be used to detect air when the perfusion buffer runs out. Therefore, the user will not be notified. The bubble filter will block air from reaching the perfusion monitor.  </w:t>
      </w:r>
      <w:r>
        <w:br/>
      </w:r>
    </w:p>
    <w:sectPr w:rsidR="00FB4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57"/>
    <w:rsid w:val="0003510D"/>
    <w:rsid w:val="00063EDE"/>
    <w:rsid w:val="000C3AB6"/>
    <w:rsid w:val="000D4F0B"/>
    <w:rsid w:val="0010796E"/>
    <w:rsid w:val="0017038F"/>
    <w:rsid w:val="00191498"/>
    <w:rsid w:val="00192325"/>
    <w:rsid w:val="001E10F0"/>
    <w:rsid w:val="001F1FA3"/>
    <w:rsid w:val="00211A93"/>
    <w:rsid w:val="00246CCA"/>
    <w:rsid w:val="00263FA9"/>
    <w:rsid w:val="002D0533"/>
    <w:rsid w:val="002F2C4E"/>
    <w:rsid w:val="002F7EF8"/>
    <w:rsid w:val="0033188A"/>
    <w:rsid w:val="003A6FD2"/>
    <w:rsid w:val="00406253"/>
    <w:rsid w:val="00407C74"/>
    <w:rsid w:val="0048121F"/>
    <w:rsid w:val="00483567"/>
    <w:rsid w:val="00487840"/>
    <w:rsid w:val="00495F67"/>
    <w:rsid w:val="004A5B57"/>
    <w:rsid w:val="004F554F"/>
    <w:rsid w:val="005244FC"/>
    <w:rsid w:val="005C3737"/>
    <w:rsid w:val="0062068D"/>
    <w:rsid w:val="00725DA9"/>
    <w:rsid w:val="00726147"/>
    <w:rsid w:val="00730D63"/>
    <w:rsid w:val="0074232A"/>
    <w:rsid w:val="00765E8E"/>
    <w:rsid w:val="00775144"/>
    <w:rsid w:val="00796E0D"/>
    <w:rsid w:val="007B4E17"/>
    <w:rsid w:val="007C00C2"/>
    <w:rsid w:val="007C2A19"/>
    <w:rsid w:val="00857790"/>
    <w:rsid w:val="008704D6"/>
    <w:rsid w:val="00891912"/>
    <w:rsid w:val="008A2505"/>
    <w:rsid w:val="008A5359"/>
    <w:rsid w:val="008C1B63"/>
    <w:rsid w:val="009742ED"/>
    <w:rsid w:val="009B6E06"/>
    <w:rsid w:val="009D6039"/>
    <w:rsid w:val="00A31A11"/>
    <w:rsid w:val="00A31A57"/>
    <w:rsid w:val="00A67DB5"/>
    <w:rsid w:val="00A70C44"/>
    <w:rsid w:val="00A835EF"/>
    <w:rsid w:val="00B05D89"/>
    <w:rsid w:val="00B4182D"/>
    <w:rsid w:val="00B501FA"/>
    <w:rsid w:val="00B63C42"/>
    <w:rsid w:val="00B65633"/>
    <w:rsid w:val="00C01CBC"/>
    <w:rsid w:val="00C16313"/>
    <w:rsid w:val="00C8206C"/>
    <w:rsid w:val="00CA4127"/>
    <w:rsid w:val="00CC0FF3"/>
    <w:rsid w:val="00CE5659"/>
    <w:rsid w:val="00DA548E"/>
    <w:rsid w:val="00DB6D6E"/>
    <w:rsid w:val="00DD1D7A"/>
    <w:rsid w:val="00E04D2A"/>
    <w:rsid w:val="00E359E9"/>
    <w:rsid w:val="00F0301F"/>
    <w:rsid w:val="00F26919"/>
    <w:rsid w:val="00FB472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2881"/>
  <w15:chartTrackingRefBased/>
  <w15:docId w15:val="{53B7C97A-E4BC-4FD1-B5F5-2E40C250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5B57"/>
    <w:rPr>
      <w:b/>
      <w:bCs/>
    </w:rPr>
  </w:style>
  <w:style w:type="paragraph" w:styleId="NormalWeb">
    <w:name w:val="Normal (Web)"/>
    <w:basedOn w:val="Normal"/>
    <w:uiPriority w:val="99"/>
    <w:unhideWhenUsed/>
    <w:rsid w:val="004A5B57"/>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8A5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6846">
      <w:bodyDiv w:val="1"/>
      <w:marLeft w:val="0"/>
      <w:marRight w:val="0"/>
      <w:marTop w:val="0"/>
      <w:marBottom w:val="0"/>
      <w:divBdr>
        <w:top w:val="none" w:sz="0" w:space="0" w:color="auto"/>
        <w:left w:val="none" w:sz="0" w:space="0" w:color="auto"/>
        <w:bottom w:val="none" w:sz="0" w:space="0" w:color="auto"/>
        <w:right w:val="none" w:sz="0" w:space="0" w:color="auto"/>
      </w:divBdr>
    </w:div>
    <w:div w:id="10546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Inn Chuan</dc:creator>
  <cp:keywords/>
  <dc:description/>
  <cp:lastModifiedBy>Ng Inn Chuan</cp:lastModifiedBy>
  <cp:revision>9</cp:revision>
  <dcterms:created xsi:type="dcterms:W3CDTF">2021-01-18T12:14:00Z</dcterms:created>
  <dcterms:modified xsi:type="dcterms:W3CDTF">2021-01-18T14:14:00Z</dcterms:modified>
</cp:coreProperties>
</file>