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Particle templated emulsification enables microfluidic-free droplet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Daniel W. Weisgerber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Makiko N. Hatori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Adam R. Abate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Bioengineering and Therapeutic Sciences, California Institute for Quantitative Biosciences, University of California, San Francisco, California,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Chan Zuckerberg Biohub, San Francisco, California,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R. Abate (adam@abatelab.org)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W. Weisgerber (Daniel.Weisgerber@ucsf.edu)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Makiko N. Hatori (Makiko.Hatori@ucsf.edu)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droplet PCR, single molecule encapsulation, particle templated emulsification, droplet microfluidics, single cell analysis, digital biology, hydrogel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Water-in-oil droplet assays are useful for analytical chemistry, enzyme evolution, and single cell analysis, but typically require microfluidics to form the droplets. Here, we describe particle templated emulsification, a microfluidic-free approach to perform droplet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Reactions performed in monodispersed droplets afford enhanced accuracy and sensitivity compared to equivalent ones performed in bulk. However, the requirement of microfluidics to form controlled droplets imposes a barrier to non-experts, limiting their use. Here, we describe particle templated emulsification, an approach to generate monodisperse droplets without microfluidics. Using templating hydrogel spheres, we encapsulate samples in monodispersed droplets by simple vortexing. We demonstrate the approach by using it to perform microfluidic-free digital 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Droplet microfluidics leverages compartmentalization in picoliter droplets to increase the sensitivity and accuracy of assays compared to bulk reactions, and have numerous applications in chemical screening, protein engineering, and next generation sequencing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For example, digital droplet polymerase chain reaction (ddPCR) affords increased accuracy compared to bulk quantitative polymerase chain reaction (qPCR), with applications for genetic variation in cancers, detection of disease causing mutations, and prenatal diagnostics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A challenge of droplet microfluidics, however, is the requirement of microfluidic devices to partition samples; while microfluidics afford excellent control over droplet properties, they require specialized expertise to build and operate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Consequently, droplet-based methods are largely limited to expert labs or, in rare instances, applications in which a commercial instrument is available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To broaden the use of droplet assays, the requirement for specialized microfluidic instrumentation is a hurdle that must be overcome.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Particle Templated Emulsification (PTE), a microfluidic-free method for performing reactions in monodispersed droplets. In PTE, templating particles engulf the sample into droplets in carrier oil by simple vortexing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the system mixes, the aqueous portion fragments into droplets of reducing size until the droplets contain single particles, at which point further fragmentation is not possible because it requires breaking the particles. The engulfed sample surrounds the particles as a shell in the droplets, thereby encapsulating any dispersed cells, reagents, or functional moieties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Thus, PTE requires no equipment or expertise to perform droplet reactions beyond a common vortexer. Additionally, droplet generation takes seconds compared to minutes or hours with microfluidics, and the amount produced is proportional to the container volume, not device operation time, making it supremely scalable. These benefits make PTE ideal for conducting droplet assays in a variety of circumstances in which microfluidics are impractical. Here, we demonstrate PTE and use it to conduct ddPCR.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144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hydrogel particles for particle templated emulsification.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Hydrogel particles used for particle templated emulsification can be prepared using two different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Preparation using commercially available particles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1.1.1.</w:t>
        <w:tab/>
      </w:r>
      <w:r>
        <w:rPr>
          <w:rFonts w:ascii="Calibri" w:hAnsi="Calibri" w:cs="Calibri" w:eastAsia="Calibri"/>
          <w:color w:val="auto"/>
          <w:spacing w:val="0"/>
          <w:position w:val="0"/>
          <w:sz w:val="24"/>
          <w:shd w:fill="FFFF00" w:val="clear"/>
        </w:rPr>
        <w:t xml:space="preserve">Add 0.5 g of dried polyacrylamide particles compatible with PTE (e.g., Bio-Gel P-60 Gel (Bio-Rad), 45-90 &amp;#181;m diameter) to 30 mL of sterile water in a 50 mL conical tube and mix well. Incubate at room temperature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Preparation using microfluidic fabrication of particles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Polyacrylamide particles compatible with PTE can be prepared using commercially available drop makers (e.g., QX200 Drop Generator (Bio-Rad), RayDrop (Fluigent) etc.), or by custom microfluidic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1.2.1.</w:t>
        <w:tab/>
        <w:t xml:space="preserve">Fabrication of custom master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1.2.1.1.</w:t>
        <w:tab/>
      </w:r>
      <w:r>
        <w:rPr>
          <w:rFonts w:ascii="Calibri" w:hAnsi="Calibri" w:cs="Calibri" w:eastAsia="Calibri"/>
          <w:color w:val="auto"/>
          <w:spacing w:val="0"/>
          <w:position w:val="0"/>
          <w:sz w:val="24"/>
          <w:shd w:fill="auto" w:val="clear"/>
        </w:rPr>
        <w:t xml:space="preserve">Design a soft photolithography mask using computer-aided design (CAD) software. Print the photomask with a 10 &amp;#181;m resolution on circuit board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1.2.1.2.</w:t>
        <w:tab/>
      </w:r>
      <w:r>
        <w:rPr>
          <w:rFonts w:ascii="Calibri" w:hAnsi="Calibri" w:cs="Calibri" w:eastAsia="Calibri"/>
          <w:color w:val="auto"/>
          <w:spacing w:val="0"/>
          <w:position w:val="0"/>
          <w:sz w:val="24"/>
          <w:shd w:fill="FFFF00" w:val="clear"/>
        </w:rPr>
        <w:t xml:space="preserve">Pour 1 mL of photoresist onto the center of a 3 in silicon wafer. Use a spin coater to create a 50 &amp;#181;m layer of photoresist by spinning it at 500 rpm for 30 sec followed by 1250 rpm for 30 sec. Place the wafer onto a hotplate set to 95 &amp;#176;C for 15 min to evaporate the solvent.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1.2.1.3.</w:t>
        <w:tab/>
      </w:r>
      <w:r>
        <w:rPr>
          <w:rFonts w:ascii="Calibri" w:hAnsi="Calibri" w:cs="Calibri" w:eastAsia="Calibri"/>
          <w:color w:val="auto"/>
          <w:spacing w:val="0"/>
          <w:position w:val="0"/>
          <w:sz w:val="24"/>
          <w:shd w:fill="FFFF00" w:val="clear"/>
        </w:rPr>
        <w:t xml:space="preserve">Secure the photomask onto the silicon wafer with a cover glass slide and expose the wafer under a collimated 190 mW, 365 &amp;#181;m UV LED for 2.5 min. Place the wafer on a hotplate set to 95 &amp;#176;C for 5 min for post exposure baking.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1.2.1.4.</w:t>
        <w:tab/>
      </w:r>
      <w:r>
        <w:rPr>
          <w:rFonts w:ascii="Calibri" w:hAnsi="Calibri" w:cs="Calibri" w:eastAsia="Calibri"/>
          <w:color w:val="auto"/>
          <w:spacing w:val="0"/>
          <w:position w:val="0"/>
          <w:sz w:val="24"/>
          <w:shd w:fill="FFFF00" w:val="clear"/>
        </w:rPr>
        <w:t xml:space="preserve">Develop the photoresist-silicon wafer by immersing it in a bath of 100% propylene glycol monomethyl ether acetate (PGMEA) for up to 15 min. Rinse the wafer with fresh 100% PGMEA followed by 100% isopropanol. Air dry the wafer.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1.2.1.5.</w:t>
        <w:tab/>
      </w:r>
      <w:r>
        <w:rPr>
          <w:rFonts w:ascii="Calibri" w:hAnsi="Calibri" w:cs="Calibri" w:eastAsia="Calibri"/>
          <w:color w:val="auto"/>
          <w:spacing w:val="0"/>
          <w:position w:val="0"/>
          <w:sz w:val="24"/>
          <w:shd w:fill="FFFF00" w:val="clear"/>
        </w:rPr>
        <w:t xml:space="preserve">Remove any residual isopropanol by drying the wafer on a hotplate set to 95 &amp;#176;C for 1 min. Place the wafer into a clean 3 in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1.2.2.</w:t>
        <w:tab/>
        <w:t xml:space="preserve">Fabrication of the custom microfluidic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1.2.2.1.</w:t>
        <w:tab/>
      </w:r>
      <w:r>
        <w:rPr>
          <w:rFonts w:ascii="Calibri" w:hAnsi="Calibri" w:cs="Calibri" w:eastAsia="Calibri"/>
          <w:color w:val="auto"/>
          <w:spacing w:val="0"/>
          <w:position w:val="0"/>
          <w:sz w:val="24"/>
          <w:shd w:fill="FFFF00" w:val="clear"/>
        </w:rPr>
        <w:t xml:space="preserve">Mix the polydimethylsiloxane (PDMS) silicon base and curing reagent in a 10:1 ratio by mass. Degas the mixed PDMS using a desiccator under house vacuum until no air bubbles are observable.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1.2.2.2.</w:t>
        <w:tab/>
      </w:r>
      <w:r>
        <w:rPr>
          <w:rFonts w:ascii="Calibri" w:hAnsi="Calibri" w:cs="Calibri" w:eastAsia="Calibri"/>
          <w:color w:val="auto"/>
          <w:spacing w:val="0"/>
          <w:position w:val="0"/>
          <w:sz w:val="24"/>
          <w:shd w:fill="FFFF00" w:val="clear"/>
        </w:rPr>
        <w:t xml:space="preserve">Pour the degassed PDMS over the master in the petri dish, ensuring the silicon wafer is completely submerged. Degas the silicon wafer and PDMS to remove any air bubbles that may have formed during pouring.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1.2.2.3.</w:t>
        <w:tab/>
      </w:r>
      <w:r>
        <w:rPr>
          <w:rFonts w:ascii="Calibri" w:hAnsi="Calibri" w:cs="Calibri" w:eastAsia="Calibri"/>
          <w:color w:val="auto"/>
          <w:spacing w:val="0"/>
          <w:position w:val="0"/>
          <w:sz w:val="24"/>
          <w:shd w:fill="FFFF00" w:val="clear"/>
        </w:rPr>
        <w:t xml:space="preserve">Cure the PDMS by placing the silicon wafer and PDMS into an oven set to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at least 60 min. Excise a block of PDMS containing the microfluidic features from the petri dish using a scalpel. Take extra care to avoid damaging any features present on the silicon master.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1.2.2.4.</w:t>
        <w:tab/>
      </w:r>
      <w:r>
        <w:rPr>
          <w:rFonts w:ascii="Calibri" w:hAnsi="Calibri" w:cs="Calibri" w:eastAsia="Calibri"/>
          <w:color w:val="auto"/>
          <w:spacing w:val="0"/>
          <w:position w:val="0"/>
          <w:sz w:val="24"/>
          <w:shd w:fill="FFFF00" w:val="clear"/>
        </w:rPr>
        <w:t xml:space="preserve">Punch the inlets and the outlets into the PDMS block corresponding to the inlets and outlets in the microfluidic device using a 0.75 mm biopsy punch. Remove any dust and particulates with the repetitive application and removal of packaging tape to the surface of the PDMS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1.2.2.5.</w:t>
        <w:tab/>
      </w:r>
      <w:r>
        <w:rPr>
          <w:rFonts w:ascii="Calibri" w:hAnsi="Calibri" w:cs="Calibri" w:eastAsia="Calibri"/>
          <w:color w:val="auto"/>
          <w:spacing w:val="0"/>
          <w:position w:val="0"/>
          <w:sz w:val="24"/>
          <w:shd w:fill="FFFF00" w:val="clear"/>
        </w:rPr>
        <w:t xml:space="preserve">Clean a 50 mm x 75 mm glass slide by rinsing it with 100% isopropanol and subsequently air drying the surface. Plasma treat both the glass slide and the PDMS (features facing up) using 1 mbar of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plasma for 1 min using a plasma bonder.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1.2.2.6.</w:t>
        <w:tab/>
      </w:r>
      <w:r>
        <w:rPr>
          <w:rFonts w:ascii="Calibri" w:hAnsi="Calibri" w:cs="Calibri" w:eastAsia="Calibri"/>
          <w:color w:val="auto"/>
          <w:spacing w:val="0"/>
          <w:position w:val="0"/>
          <w:sz w:val="24"/>
          <w:shd w:fill="FFFF00" w:val="clear"/>
        </w:rPr>
        <w:t xml:space="preserve">Affix the PDMS to the glass slide by placing the plasma treated PDMS with features facing down onto the glass slide, plasma treated side facing up. Place the slide into an oven set to 65 &amp;#176;C for at least 30 min to complete the bonding.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1.2.2.7.</w:t>
        <w:tab/>
      </w:r>
      <w:r>
        <w:rPr>
          <w:rFonts w:ascii="Calibri" w:hAnsi="Calibri" w:cs="Calibri" w:eastAsia="Calibri"/>
          <w:color w:val="auto"/>
          <w:spacing w:val="0"/>
          <w:position w:val="0"/>
          <w:sz w:val="24"/>
          <w:shd w:fill="FFFF00" w:val="clear"/>
        </w:rPr>
        <w:t xml:space="preserve">Treat all microfluidic channels with a fluorinated surface treatment to ensure surface hydrophobicity and prevent wetting. Bake the device at 65 &amp;#176;C for at least 10 min.</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1.2.3.</w:t>
        <w:tab/>
        <w:t xml:space="preserve">Fabrication of templating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1.2.3.1.</w:t>
        <w:tab/>
      </w:r>
      <w:r>
        <w:rPr>
          <w:rFonts w:ascii="Calibri" w:hAnsi="Calibri" w:cs="Calibri" w:eastAsia="Calibri"/>
          <w:color w:val="auto"/>
          <w:spacing w:val="0"/>
          <w:position w:val="0"/>
          <w:sz w:val="24"/>
          <w:shd w:fill="auto" w:val="clear"/>
        </w:rPr>
        <w:t xml:space="preserve">Prepare a polyacrylamide (PAA) solution consisting of 6.2% acrylamide, 0.18% 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-methylenebis (acrylamide), and 0.3% ammonium persulfate. Load this solution into a 1 mL syringe with a 28G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1.2.3.2.</w:t>
        <w:tab/>
      </w:r>
      <w:r>
        <w:rPr>
          <w:rFonts w:ascii="Calibri" w:hAnsi="Calibri" w:cs="Calibri" w:eastAsia="Calibri"/>
          <w:color w:val="auto"/>
          <w:spacing w:val="0"/>
          <w:position w:val="0"/>
          <w:sz w:val="24"/>
          <w:shd w:fill="auto" w:val="clear"/>
        </w:rPr>
        <w:t xml:space="preserve">Prepare an insoluble continuous phase consisting of 5% (w/w) fluorosurfactant and 1% N,N,NN-tetramethylethylenediamine (TEMED) in hydrofluoroether (HFE) oil for the generation and stabilization of droplets. Load the solution into new 1 mL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1.2.3.3.</w:t>
        <w:tab/>
      </w:r>
      <w:r>
        <w:rPr>
          <w:rFonts w:ascii="Calibri" w:hAnsi="Calibri" w:cs="Calibri" w:eastAsia="Calibri"/>
          <w:color w:val="auto"/>
          <w:spacing w:val="0"/>
          <w:position w:val="0"/>
          <w:sz w:val="24"/>
          <w:shd w:fill="FFFF00" w:val="clear"/>
        </w:rPr>
        <w:t xml:space="preserve">Load both PAA and HFE solution containing syringes into syringe pumps (E.g., NE-501). Connect both syringes to the microfluidic device using polyethylene tubing inserted onto the syringe and into the device. Before the connecting, prime the pumps to remove the air from the tubing.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model, syringe pumps may be controlled with built in input, manufacture software, or a custom script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https://github.com/AbateLab/Pump-Control-Program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1.2.3.4.</w:t>
        <w:tab/>
      </w:r>
      <w:r>
        <w:rPr>
          <w:rFonts w:ascii="Calibri" w:hAnsi="Calibri" w:cs="Calibri" w:eastAsia="Calibri"/>
          <w:color w:val="auto"/>
          <w:spacing w:val="0"/>
          <w:position w:val="0"/>
          <w:sz w:val="24"/>
          <w:shd w:fill="FFFF00" w:val="clear"/>
        </w:rPr>
        <w:t xml:space="preserve">Run the drop generation device with PAA and HFE oil inputs at 300 &amp;#181;L/h and 500 &amp;#181;L/h, respectively. Collect 1 mL of the droplets in a 15 mL collection tube and incubate for 3 h at room temperature for polymerization. After the incubation, remove the lower layer of oil by pipetting.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1.2.3.5.</w:t>
        <w:tab/>
      </w:r>
      <w:r>
        <w:rPr>
          <w:rFonts w:ascii="Calibri" w:hAnsi="Calibri" w:cs="Calibri" w:eastAsia="Calibri"/>
          <w:color w:val="auto"/>
          <w:spacing w:val="0"/>
          <w:position w:val="0"/>
          <w:sz w:val="24"/>
          <w:shd w:fill="FFFF00" w:val="clear"/>
        </w:rPr>
        <w:t xml:space="preserve">Add 1 mL of 20% (v/v) perfluoro-1-octanol (PFO) in HFE oil to the 15 mL collection tube as a chemical demulsifier. After mixing, spin down the 15 mL collection tube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Remove the PFO/HFE supernatant by pipetting. Repeat 1x.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1.2.3.6.</w:t>
        <w:tab/>
      </w:r>
      <w:r>
        <w:rPr>
          <w:rFonts w:ascii="Calibri" w:hAnsi="Calibri" w:cs="Calibri" w:eastAsia="Calibri"/>
          <w:color w:val="auto"/>
          <w:spacing w:val="0"/>
          <w:position w:val="0"/>
          <w:sz w:val="24"/>
          <w:shd w:fill="FFFF00" w:val="clear"/>
        </w:rPr>
        <w:t xml:space="preserve">Add 2 mL of 2% sorbitan monooleate in hexane to the 15 mL collection tube and vortex to mix. Spin the tube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Remove the supernatant by pipetting to remove surfactant/hexane solution. Repeat 2x.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1.2.3.7.</w:t>
        <w:tab/>
      </w:r>
      <w:r>
        <w:rPr>
          <w:rFonts w:ascii="Calibri" w:hAnsi="Calibri" w:cs="Calibri" w:eastAsia="Calibri"/>
          <w:color w:val="auto"/>
          <w:spacing w:val="0"/>
          <w:position w:val="0"/>
          <w:sz w:val="24"/>
          <w:shd w:fill="FFFF00" w:val="clear"/>
        </w:rPr>
        <w:t xml:space="preserve">Add 5 mL of TEBST buffer (20 mM Tris-HCl pH 8.0, 274 mM NaCl, 5.4 mM KCl, 20 mM EDTA, 0.2% Triton X100) and mix well. Spin down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Remove the supernatant by pipetting. Repeat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1.2.3.8.</w:t>
        <w:tab/>
      </w:r>
      <w:r>
        <w:rPr>
          <w:rFonts w:ascii="Calibri" w:hAnsi="Calibri" w:cs="Calibri" w:eastAsia="Calibri"/>
          <w:color w:val="auto"/>
          <w:spacing w:val="0"/>
          <w:position w:val="0"/>
          <w:sz w:val="24"/>
          <w:shd w:fill="FFFF00" w:val="clear"/>
        </w:rPr>
        <w:t xml:space="preserve">Resuspend in 5 mL TEBST</w:t>
      </w:r>
      <w:r>
        <w:rPr>
          <w:rFonts w:ascii="Calibri" w:hAnsi="Calibri" w:cs="Calibri" w:eastAsia="Calibri"/>
          <w:color w:val="auto"/>
          <w:spacing w:val="0"/>
          <w:position w:val="0"/>
          <w:sz w:val="24"/>
          <w:shd w:fill="auto" w:val="clear"/>
        </w:rPr>
        <w:t xml:space="preserve">. This solution may be stored at 4 &amp;#176;C indefinitely.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Particle templated emulsification.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preparation of templating particles, PTE is used to encapsulate the sample and reagents in droplets.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Prepare the polyacrylamide particles for particle templated emulsification by centrifuging at 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to pellet the particles, then remove the supernatant by pipetting and resuspend using sterile water. Repeat 3x to ensure removal of any residual TEBST.</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Determine the concentration and diameter of the templating particles using a hemocytometer (or equivalent). Calculate individual particle diameter by measuring the diameters in pixels and converting to microns. Conversion of pixels to microns may be calculated using the hemocytometer (or equivalent) as a calibration slide and measuring the known grid distance in pixels.</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Prepare the disperse phase in a fresh 1.5 mL microcentrifuge tube using a PCR master mix, the appropriate primers, and a fluorescein hydrolysis probe according to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Incubate at room temperature for 5 min under gentle agitation (10 rpm) using a tube rotator to ensure homogenous distribution of the components.</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and target concentration of particles is based upon Poisson loading. As general rule, the number of particles should be an order of magnitude more than the number of samples to be encapsulated. For samples of unknown concentrations, a dilution series is necessary to ensure Poisson loading.</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Centrifuge the disperse phase at 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and remove the supernatant. Record the volume of the supernatant extracted and using the total disperse phase volume calculated in </w:t>
      </w:r>
      <w:r>
        <w:rPr>
          <w:rFonts w:ascii="Calibri" w:hAnsi="Calibri" w:cs="Calibri" w:eastAsia="Calibri"/>
          <w:b/>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 determine the pellet volume.</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supernatant extracted will vary depending on particle packing, diameter, and concentration with a minimum expected volume of 300 &amp;#181;L.</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Add 1 &amp;#181;L of 1.62 pg /&amp;#181;L </w:t>
      </w:r>
      <w:r>
        <w:rPr>
          <w:rFonts w:ascii="Calibri" w:hAnsi="Calibri" w:cs="Calibri" w:eastAsia="Calibri"/>
          <w:i/>
          <w:color w:val="auto"/>
          <w:spacing w:val="0"/>
          <w:position w:val="0"/>
          <w:sz w:val="24"/>
          <w:shd w:fill="FFFF00" w:val="clear"/>
        </w:rPr>
        <w:t xml:space="preserve">Saccharomyces cerevisiae</w:t>
      </w:r>
      <w:r>
        <w:rPr>
          <w:rFonts w:ascii="Calibri" w:hAnsi="Calibri" w:cs="Calibri" w:eastAsia="Calibri"/>
          <w:color w:val="auto"/>
          <w:spacing w:val="0"/>
          <w:position w:val="0"/>
          <w:sz w:val="24"/>
          <w:shd w:fill="FFFF00" w:val="clear"/>
        </w:rPr>
        <w:t xml:space="preserve"> genomic DNA to the pellet from </w:t>
      </w:r>
      <w:r>
        <w:rPr>
          <w:rFonts w:ascii="Calibri" w:hAnsi="Calibri" w:cs="Calibri" w:eastAsia="Calibri"/>
          <w:b/>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 and mix thoroughly by pipetting or vigorous tapping. </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presence of excess aqueous content can decrease encapsulation efficiency. If the sample volume exceeds 1% of the pellet volume, concentrate the sample. If the sample cannot be concentrated, scale the PCR master mix and resulting pellet volume according to the sample volume. PTE permits the emulsification of small (10 &amp;#181;L) to large (2 mL) volumes of templating particles. The PCR master mix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and oil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can be scaled according to the target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and measured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volume of the particle pellet respectively.</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Add 200 &amp;#181;L 2% fluorosurfactant in HFE oil to the tube as the insoluble continuous phase for emulsification. Ensure the pellet is dislodged by pipetting or tapping/flicking the tube. Then vortex at 3000 rpm for 30 sec.</w:t>
      </w:r>
      <w:r>
        <w:rPr>
          <w:rFonts w:ascii="Calibri" w:hAnsi="Calibri" w:cs="Calibri" w:eastAsia="Calibri"/>
          <w:color w:val="auto"/>
          <w:spacing w:val="0"/>
          <w:position w:val="0"/>
          <w:sz w:val="24"/>
          <w:shd w:fill="auto" w:val="clear"/>
        </w:rPr>
        <w:t xml:space="preserve"> </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setting corresponding to 3000 rpm may vary depending on brand and model.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Allow for the emulsions to settle for 1 min. Remove 100 &amp;#181;L of the bottom oil phase and replace this volume with fresh 2% fluorosurfactant in HFE oil. Gently invert the tube several times to mix. Repeat 3-5x or until small satellite droplets have been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Digital droplet PCR and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After 2-5 min of settling, remove the bottom oil phase. Replace this volume with 5% fluorosurfactant in fluorocarbon oil (e.g., FC-40).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Using a wide bore pipette tip, carefully pipette the 100 &amp;#181;L of sample into 200 &amp;#181;L PCR tubes. Place the PCR tubes into a thermocycler and run according to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Pipette the sample onto a counting slide using a wide bore pipette tip for fluorescent imaging. Image the sample using a fluorescent microscope with 490 nm excitation and 525 nm emission detection wavelengths.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Quantify the positive fluorescent droplets (N</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and total drops (N</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to verify the presence and calculate the number of template molecules (</w:t>
      </w:r>
      <w:r>
        <w:rPr>
          <w:rFonts w:ascii="Calibri" w:hAnsi="Calibri" w:cs="Calibri" w:eastAsia="Calibri"/>
          <w:color w:val="auto"/>
          <w:spacing w:val="0"/>
          <w:position w:val="0"/>
          <w:sz w:val="24"/>
          <w:shd w:fill="auto" w:val="clear"/>
        </w:rPr>
        <w:t xml:space="preserve">λ) using the fraction of positive droplets (N</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and Poisson statistics: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Calculate the 95% confidence interval (z</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 1.96) 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Calculate the sample concentration (molecules/&amp;#181;L) using the volume ( in &amp;#181;L) of sample added in step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using the equation given below. Determine the mean and standard deviation of the sample concentration using technical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PTE, the monodispersity of the emulsions is dictated by that of the templating particles, because the droplets have a diameter slightly larger than the particles. Thus, uniform particles are central to controlled PTE encapsulation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variety of methods exist for generating uniform templating particles, including chemical (sol-gel, emulsion polymerization), hydrodynamic (membrane emulsification, homogenization), and filtration methods. Microfluidic approaches in particular, afford superb monodispersity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allow additional particle engineering to enhance their functionality in PTE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Alternatively, templating particles can be purchased, although their uniformity, while adequate, is typically less than with microfluidic generation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perform PTE, the particles are mixed with the sample to be encapsulated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the excess supernatant is removed by centrifugation and pipetting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as illustrated by a photograph of a particle pellet at the bottom of a PCR tube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encapsulating oil containing a stabilizing surfactant is then added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the sample gently pipetted before vortexing for 30 seconds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to generate the emulsion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resultant droplets contain a particle core and aqueous shell comprising the initial sample, within which reside the reagents, target molecules, and cells necessary for the reaction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Just as in droplet microfluidic encapsulation, discrete entities like small beads or cells are encapsulated randomly and in accordance with a Poisson distribution, although nearly all droplets contain a templating particle due to the nature of PTE physics.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in successful PTE, double or triple core droplets exist, though they generally contribute negligibly to the reaction, provided they are rare. Achieving a low frequency of multicore droplets while retaining adequate shells requires optimization of process parameters, including surface tension, inter-particle adhesion forces, sample viscosity, container size, and vortexing power and time. For example, a poorly optimized emulsification may contain polydispersed droplets with many templating particles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indicating that the vortexing was insufficient to fully emulsify the sample. In such instances, detergents can be added to reduce inter-particle adhesion and lower surface tension, or vortexing power or time can be increased. Another common issue is generation of excessive satellites, which are small empty droplets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Satellites can be unavoidable in PTE emulsions depending on the interfacial tension and rheological properties of the sample and carrier oil. However, they often result from not adequately removing excess sample prior to emulsification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or vortexing with too much power, stripping the shells from the droplets. In a successful PTE emulsification, satellites should comprise no more than ~10% of the total encapsulated sample volume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At this level, they usually contribute negligibly to the reaction and can be ignored. For aesthetic purposes, they can be cleared from the emulsion by washing with fresh oil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utility of PTE, we used it to perform microfluidic-free digital PCR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Using the process, we encapsulated a sample comprising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genomic DNA, and thermocycled it. In digital PCR, droplets containing amplified targets become fluorescent, while those without remain dim. Thus, a fluorescent droplet indicates a target, allowing direct quantitation of targets by counting positive droplets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number of fluorescent droplets thus scales with the target molecules, yielding few positives when the target is rare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many when it is abundant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As with encapsulation of other discrete components, target encapsulation follows a Poisson distribution, allowing the positive droplet fraction to be transformed into the target concentration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thereby demonstrating the ability to perform digital PCR with PTE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are repeatable using commercially available polyacrylamide particles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demonstrate the ability of PTE to perform standard digital PCR with commercially available polyacrylamide particles, achieving accurate measurements over the same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particle templated emulsification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Templating particles are mixed with reagents.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Excess reagents are removed following centrifugation.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addition of template molecules occurs before the addition of oil.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Vortexing produces droplets containing a single template molecule.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Subsequent thermocycling and imaging allows for digital droplet analysis of target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Encapsulation of sample into droplets using particle templated emulsification.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templating particles used for particle templating emulsification.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Separation of templating particle pellet from supernatant following centrifugation.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Droplets resulting from particle templated emulsification with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identifiable aqueous shell.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Identification and cleanup of particle templated emulsification droplets.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non-uniform droplet generation with multiple particles per droplet from insufficient vortexing.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Expected presence of satellites and droplets following particle templated emulsification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water-in-oil fractionation.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Resulting emulsion following oil washing.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Excessive satellite generation resulting from residual supernatant during particle templated emulsification.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Evaluation of particle templated emulsification digital droplet PCR.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Fluorescent imaging of the droplets identifies positive fluorescent droplets and negative non-fluorescent droplets.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Identification of rare template or low concentrations of template with digital droplet PCR.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Over abundant template encapsulation resulting in a variable number of template molecules per droplet.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Demonstration of digital droplet PCR using commercially available PAA.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Fluorescent imaging of the droplets identifies negative non-fluorescent droplets.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Identification of low concentrations of template with digital droplet PCR.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Identification of high concentrations of template with digital droplet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the PCR master mix used with PTE for digital droplet PCR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Thermocycling conditions for digital droplet PCR using PTE emulsions.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PTE uses particles to encapsulate samples in monodispersed droplets by vortexing. In addition to its simplicity and accessibility, PTE provides several additional benefits, including allowing large volumes of droplets to be generated instantaneously. Moreover, the process can be conducted in an isolated tube, obviating the need to transfer samples to microfluidic devices, streamlining the overall workflow and limiting opportunities for sample contamination or loss. The templating particles also provide a means by which to engineer the contents of the resultant droplet reactions. For example, particle size, chemistry, and wettability can be engineered for targeted biomolecule or cell capture, while functional moieties such as enzymes, actives, or nucleic acids, can be displayed on particle to facilitate reactions, such as for single cell sequencing or functional characterization. While the approach is flexible, there are nevertheless important constraints to its use. For example, it is not currently possible to perform droplet additions as are often conducted with microfluidics, requiring that all reaction components be introduced before encapsulation; this requires that reagents be compatible and stable until the droplets can be generated and, in the case of troublesome combinations, can often be addressed by quickly mixing and emulsifying the sample on ice. Alternatively, reactive components that can be triggered externally with light or heat can be used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PTE thus provides a flexible and scalable method for conducting droplet assays accessible to non-experts. This, coupled with its innate simplicity and flexibility, makes PTE ideal for the execution and development of numerous droplet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developing this protocol was supported by the National Institutes of Health (R01-EB019453-02), the Office of the Director of National Intelligence, Intelligence Advanced Research Projects Activity through Raytheon BBN Technologies Corp (N66001-18-C-4507), the Chan-Zuckerberg Biohub Investigator Program, Defense Advanced Research Projects Agency through Texas A&amp;amp;M University (W911NF1920013), and Centers for Disease Control and Prevention through Johns Hopkins University Applied Physics Laboratory (75D30-11-9C-06818 (CDC3)). The views and conclusions contained herein are those of the authors and should not be interpreted as necessarily representing the official policies, either expressed or implied, of the above organizations or the U.S. Government. The U.S. Government is authorized to reproduce and distribute reprints for governmental purposes notwithstanding any copyright annotation therein.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Mashaghi, S., Abbaspourrad, A., Weitz, D. A., van Oijen, A. M. Droplet microfluidics: A tool for biology, chemistry, and nanotechnology. </w:t>
      </w:r>
      <w:r>
        <w:rPr>
          <w:rFonts w:ascii="Calibri" w:hAnsi="Calibri" w:cs="Calibri" w:eastAsia="Calibri"/>
          <w:i/>
          <w:color w:val="auto"/>
          <w:spacing w:val="0"/>
          <w:position w:val="0"/>
          <w:sz w:val="24"/>
          <w:shd w:fill="auto" w:val="clear"/>
        </w:rPr>
        <w:t xml:space="preserve">Trends in Analytical Chemistry.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118-125 (2016).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Gielen, F., et al. Ultrahigh-throughput-directed enzyme evolution by absorbance-activated droplet sorting (AADS). </w:t>
      </w:r>
      <w:r>
        <w:rPr>
          <w:rFonts w:ascii="Calibri" w:hAnsi="Calibri" w:cs="Calibri" w:eastAsia="Calibri"/>
          <w:i/>
          <w:color w:val="auto"/>
          <w:spacing w:val="0"/>
          <w:position w:val="0"/>
          <w:sz w:val="24"/>
          <w:shd w:fill="auto" w:val="clear"/>
        </w:rPr>
        <w:t xml:space="preserve">Proceedings of the National Academy of Sciences of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(47), E7383-E7389 (2016).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Mai, S., Murphy, T. W., Lu, C. Microfluidics for genome-wide studies involving next generation sequencing.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(2), 021501 (2017).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Olmedillas-L&amp;#243;pez, S., Garc&amp;#237;a-Arranz, M., Garc&amp;#237;a-Olmo, D. Current and emerging Applications of Droplet Digital PCR in Oncology. </w:t>
      </w:r>
      <w:r>
        <w:rPr>
          <w:rFonts w:ascii="Calibri" w:hAnsi="Calibri" w:cs="Calibri" w:eastAsia="Calibri"/>
          <w:i/>
          <w:color w:val="auto"/>
          <w:spacing w:val="0"/>
          <w:position w:val="0"/>
          <w:sz w:val="24"/>
          <w:shd w:fill="auto" w:val="clear"/>
        </w:rPr>
        <w:t xml:space="preserve">Molecular Diagnosis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(5), 493-510 (2017).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Tong, Y., Shen, S., Jiang, H., Chen, Z. Application of Digital PCR in Detecting Human Diseases Associated Gene Mutation.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(3), 1718-1730 (2017).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Yan, Y., et al. Evaluation of droplet digital PCR for non-invasive prenatal diagnosis of phenylketonuria.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 </w:t>
      </w:r>
      <w:r>
        <w:rPr>
          <w:rFonts w:ascii="Calibri" w:hAnsi="Calibri" w:cs="Calibri" w:eastAsia="Calibri"/>
          <w:color w:val="auto"/>
          <w:spacing w:val="0"/>
          <w:position w:val="0"/>
          <w:sz w:val="24"/>
          <w:shd w:fill="auto" w:val="clear"/>
        </w:rPr>
        <w:t xml:space="preserve">(27), 7115-7126 (2019).</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Shang, L., Cheng, Y., Zhao, Y. Emerging Droplet Microfluidics.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 </w:t>
      </w:r>
      <w:r>
        <w:rPr>
          <w:rFonts w:ascii="Calibri" w:hAnsi="Calibri" w:cs="Calibri" w:eastAsia="Calibri"/>
          <w:color w:val="auto"/>
          <w:spacing w:val="0"/>
          <w:position w:val="0"/>
          <w:sz w:val="24"/>
          <w:shd w:fill="auto" w:val="clear"/>
        </w:rPr>
        <w:t xml:space="preserve">(12), 7964-8040 (2017).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The, S., Lin, R., Hung, L., Lee, A. P. Droplet Microfluidics.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(2), 198-220 (2008).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Baker, M. Digital PCR hits its stride.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541-544 (2012).</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Kolodziejczyk, A. A., Kim, J. K., Svensson, V., Marioni, J. C., Teichmann, S. A. The Technology and Biology of Single-Cell RNA Sequencing.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(4), 610-620 (2015).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Hatori, M. N, Kim, S. C., Abate, A. R. Particle-Templated Emulsification for Microfluidics-Free Digital Biology.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(16), 9813-9820 (2018).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Panda, P., et al. Stop-flow lithography to generate cell-laden microgel particles.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(7), 1056-1061 (2008).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Yozwiak, C. E., Hirschhorn, T., Stockwell, B. R. Towards a microparticle-based system for pooled assays of small molecules in cellular contexts.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(3), 761-771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AbateLab/Pump-Control-Progra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