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F6DF7" w14:textId="0BA366D0" w:rsidR="00003FC3" w:rsidRDefault="00003FC3" w:rsidP="002C0A7C">
      <w:pPr>
        <w:spacing w:after="0"/>
      </w:pPr>
      <w:r>
        <w:t>Dear Editor,</w:t>
      </w:r>
    </w:p>
    <w:p w14:paraId="16ABE732" w14:textId="5BD13464" w:rsidR="00003FC3" w:rsidRDefault="00003FC3" w:rsidP="002C0A7C">
      <w:pPr>
        <w:spacing w:after="0"/>
      </w:pPr>
    </w:p>
    <w:p w14:paraId="710DE68F" w14:textId="77777777" w:rsidR="00003FC3" w:rsidRDefault="00003FC3" w:rsidP="002C0A7C">
      <w:pPr>
        <w:spacing w:after="0"/>
      </w:pPr>
      <w:r>
        <w:t xml:space="preserve">We have taken this opportunity to address the editorial and reviewer comments. For your convenience we have summarized these responses below. </w:t>
      </w:r>
    </w:p>
    <w:p w14:paraId="3058DBAE" w14:textId="77777777" w:rsidR="00003FC3" w:rsidRDefault="00003FC3" w:rsidP="002C0A7C">
      <w:pPr>
        <w:spacing w:after="0"/>
      </w:pPr>
    </w:p>
    <w:p w14:paraId="2F67EA2E" w14:textId="3D52E646" w:rsidR="00330D16" w:rsidRDefault="00330D16" w:rsidP="002C0A7C">
      <w:pPr>
        <w:spacing w:after="0"/>
      </w:pPr>
      <w:r>
        <w:t>Please reference our responses</w:t>
      </w:r>
      <w:r w:rsidR="00E95A7B">
        <w:t xml:space="preserve"> directly below each comment and with </w:t>
      </w:r>
      <w:r w:rsidR="00296A56" w:rsidRPr="000A5C65">
        <w:rPr>
          <w:i/>
          <w:iCs/>
          <w:color w:val="0070C0"/>
        </w:rPr>
        <w:t>blue</w:t>
      </w:r>
      <w:r w:rsidR="00E95A7B" w:rsidRPr="000A5C65">
        <w:rPr>
          <w:i/>
          <w:iCs/>
          <w:color w:val="0070C0"/>
        </w:rPr>
        <w:t xml:space="preserve"> italicized text</w:t>
      </w:r>
      <w:r>
        <w:t xml:space="preserve">, to the editorial and reviewer comments with relevant italicized text quoted (“…”) with changes </w:t>
      </w:r>
      <w:r w:rsidR="00E95A7B">
        <w:t xml:space="preserve">marked with </w:t>
      </w:r>
      <w:r w:rsidR="00296A56" w:rsidRPr="00296A56">
        <w:rPr>
          <w:color w:val="FF0000"/>
        </w:rPr>
        <w:t>red</w:t>
      </w:r>
      <w:r w:rsidR="00E95A7B" w:rsidRPr="00296A56">
        <w:rPr>
          <w:color w:val="FF0000"/>
        </w:rPr>
        <w:t xml:space="preserve"> text</w:t>
      </w:r>
      <w:r>
        <w:t>.</w:t>
      </w:r>
    </w:p>
    <w:p w14:paraId="6134A86F" w14:textId="77777777" w:rsidR="00330D16" w:rsidRDefault="00330D16" w:rsidP="002C0A7C">
      <w:pPr>
        <w:spacing w:after="0"/>
      </w:pPr>
    </w:p>
    <w:p w14:paraId="47D7EE07" w14:textId="408FA188" w:rsidR="002C0A7C" w:rsidRDefault="002C0A7C" w:rsidP="002C0A7C">
      <w:pPr>
        <w:spacing w:after="0"/>
      </w:pPr>
      <w:r>
        <w:t>Editorial comments:</w:t>
      </w:r>
    </w:p>
    <w:p w14:paraId="41D36094" w14:textId="77777777" w:rsidR="002C0A7C" w:rsidRDefault="002C0A7C" w:rsidP="002C0A7C">
      <w:pPr>
        <w:spacing w:after="0"/>
      </w:pPr>
      <w:r>
        <w:t>Changes to be made by the Author(s):</w:t>
      </w:r>
    </w:p>
    <w:p w14:paraId="652CE607" w14:textId="1EB8E79E" w:rsidR="002C0A7C" w:rsidRDefault="002C0A7C" w:rsidP="002C0A7C">
      <w:pPr>
        <w:spacing w:after="0"/>
      </w:pPr>
      <w:r>
        <w:t>1. Please take this opportunity to thoroughly proofread the manuscript to ensure that there are no spelling or grammar issues.</w:t>
      </w:r>
    </w:p>
    <w:p w14:paraId="369A5F82" w14:textId="3975E483" w:rsidR="00EF4E5A" w:rsidRDefault="00EF4E5A" w:rsidP="002C0A7C">
      <w:pPr>
        <w:spacing w:after="0"/>
        <w:rPr>
          <w:i/>
          <w:iCs/>
        </w:rPr>
      </w:pPr>
      <w:r>
        <w:tab/>
      </w:r>
      <w:r w:rsidRPr="000A5C65">
        <w:rPr>
          <w:i/>
          <w:iCs/>
          <w:color w:val="0070C0"/>
        </w:rPr>
        <w:t>We have taken this opportunity proofread the manuscript and to correct several grammatical errors pointed out by the editor and reviewers.</w:t>
      </w:r>
    </w:p>
    <w:p w14:paraId="75BF2AEA" w14:textId="77777777" w:rsidR="00EF4E5A" w:rsidRPr="00EF4E5A" w:rsidRDefault="00EF4E5A" w:rsidP="002C0A7C">
      <w:pPr>
        <w:spacing w:after="0"/>
        <w:rPr>
          <w:i/>
          <w:iCs/>
        </w:rPr>
      </w:pPr>
    </w:p>
    <w:p w14:paraId="068199B3" w14:textId="24A88A1E" w:rsidR="002C0A7C" w:rsidRDefault="002C0A7C" w:rsidP="002C0A7C">
      <w:pPr>
        <w:spacing w:after="0"/>
      </w:pPr>
      <w:r>
        <w:t>2. Please provide an email address for each author.</w:t>
      </w:r>
    </w:p>
    <w:p w14:paraId="70C763F5" w14:textId="36A1B970" w:rsidR="00EF4E5A" w:rsidRPr="000A5C65" w:rsidRDefault="00EF4E5A" w:rsidP="002C0A7C">
      <w:pPr>
        <w:spacing w:after="0"/>
        <w:rPr>
          <w:i/>
          <w:iCs/>
          <w:color w:val="0070C0"/>
        </w:rPr>
      </w:pPr>
      <w:r>
        <w:tab/>
      </w:r>
      <w:r w:rsidRPr="000A5C65">
        <w:rPr>
          <w:i/>
          <w:iCs/>
          <w:color w:val="0070C0"/>
        </w:rPr>
        <w:t>We have supplied the email addresses of the three authors under the affiliations.</w:t>
      </w:r>
    </w:p>
    <w:p w14:paraId="70FE7068" w14:textId="77777777" w:rsidR="00EF4E5A" w:rsidRPr="006C48AD" w:rsidRDefault="00EF4E5A" w:rsidP="00EF4E5A">
      <w:pPr>
        <w:spacing w:after="0"/>
        <w:rPr>
          <w:i/>
          <w:iCs/>
          <w:color w:val="FF0000"/>
        </w:rPr>
      </w:pPr>
      <w:r>
        <w:rPr>
          <w:i/>
          <w:iCs/>
        </w:rPr>
        <w:t>“</w:t>
      </w:r>
      <w:r w:rsidRPr="006C48AD">
        <w:rPr>
          <w:i/>
          <w:iCs/>
          <w:color w:val="FF0000"/>
        </w:rPr>
        <w:t>Daniel.Weisgerber@ucsf.edu</w:t>
      </w:r>
    </w:p>
    <w:p w14:paraId="6C2B326D" w14:textId="77777777" w:rsidR="00EF4E5A" w:rsidRPr="006C48AD" w:rsidRDefault="00EF4E5A" w:rsidP="00EF4E5A">
      <w:pPr>
        <w:spacing w:after="0"/>
        <w:rPr>
          <w:i/>
          <w:iCs/>
          <w:color w:val="FF0000"/>
        </w:rPr>
      </w:pPr>
      <w:r w:rsidRPr="006C48AD">
        <w:rPr>
          <w:i/>
          <w:iCs/>
          <w:color w:val="FF0000"/>
        </w:rPr>
        <w:t>Makiko.Hatori@ucsf.edu</w:t>
      </w:r>
    </w:p>
    <w:p w14:paraId="7553C89D" w14:textId="69344C91" w:rsidR="00EF4E5A" w:rsidRPr="00EF4E5A" w:rsidRDefault="00EF4E5A" w:rsidP="00EF4E5A">
      <w:pPr>
        <w:spacing w:after="0"/>
        <w:rPr>
          <w:i/>
          <w:iCs/>
        </w:rPr>
      </w:pPr>
      <w:r w:rsidRPr="006C48AD">
        <w:rPr>
          <w:i/>
          <w:iCs/>
          <w:color w:val="FF0000"/>
        </w:rPr>
        <w:t>adam@abatelab.org</w:t>
      </w:r>
      <w:r>
        <w:rPr>
          <w:i/>
          <w:iCs/>
        </w:rPr>
        <w:t>”</w:t>
      </w:r>
    </w:p>
    <w:p w14:paraId="05767B0C" w14:textId="77777777" w:rsidR="00EF4E5A" w:rsidRDefault="00EF4E5A" w:rsidP="002C0A7C">
      <w:pPr>
        <w:spacing w:after="0"/>
      </w:pPr>
    </w:p>
    <w:p w14:paraId="34F224DF" w14:textId="166A5768" w:rsidR="002C0A7C" w:rsidRDefault="002C0A7C" w:rsidP="002C0A7C">
      <w:pPr>
        <w:spacing w:after="0"/>
      </w:pPr>
      <w:r>
        <w:t>3. Please define all abbreviations before use. E.g. PAA, PDMS, TEMED</w:t>
      </w:r>
    </w:p>
    <w:p w14:paraId="08A7E682" w14:textId="71281682" w:rsidR="00EF4E5A" w:rsidRPr="00EF4E5A" w:rsidRDefault="00EF4E5A" w:rsidP="002C0A7C">
      <w:pPr>
        <w:spacing w:after="0"/>
        <w:rPr>
          <w:i/>
          <w:iCs/>
        </w:rPr>
      </w:pPr>
      <w:r>
        <w:tab/>
      </w:r>
      <w:r w:rsidRPr="000A5C65">
        <w:rPr>
          <w:i/>
          <w:iCs/>
          <w:color w:val="0070C0"/>
        </w:rPr>
        <w:t xml:space="preserve">We have </w:t>
      </w:r>
      <w:r w:rsidR="00AB6015" w:rsidRPr="000A5C65">
        <w:rPr>
          <w:i/>
          <w:iCs/>
          <w:color w:val="0070C0"/>
        </w:rPr>
        <w:t>proofread the manuscript with extra attention for undefined abbreviations. We have now properly defined all abbreviations before use.</w:t>
      </w:r>
    </w:p>
    <w:p w14:paraId="18A9E76B" w14:textId="77777777" w:rsidR="00EF4E5A" w:rsidRDefault="00EF4E5A" w:rsidP="002C0A7C">
      <w:pPr>
        <w:spacing w:after="0"/>
      </w:pPr>
    </w:p>
    <w:p w14:paraId="487D455F" w14:textId="29F46413" w:rsidR="002C0A7C" w:rsidRDefault="002C0A7C" w:rsidP="002C0A7C">
      <w:pPr>
        <w:spacing w:after="0"/>
      </w:pPr>
      <w:r>
        <w:t>4. Please use the imperative tense in the protocol, as if telling someone how to do the technique. E.g. “Load solution in..” instead of “solution is loaded…”.</w:t>
      </w:r>
    </w:p>
    <w:p w14:paraId="1FB007A5" w14:textId="5F71A72C" w:rsidR="00AB6015" w:rsidRPr="000A5C65" w:rsidRDefault="00AB6015" w:rsidP="002C0A7C">
      <w:pPr>
        <w:spacing w:after="0"/>
        <w:rPr>
          <w:i/>
          <w:iCs/>
          <w:color w:val="0070C0"/>
        </w:rPr>
      </w:pPr>
      <w:r w:rsidRPr="000A5C65">
        <w:rPr>
          <w:color w:val="0070C0"/>
        </w:rPr>
        <w:tab/>
      </w:r>
      <w:r w:rsidRPr="000A5C65">
        <w:rPr>
          <w:i/>
          <w:iCs/>
          <w:color w:val="0070C0"/>
        </w:rPr>
        <w:t>We have proofread the protocol with particular attention towards using the imperative tense.</w:t>
      </w:r>
    </w:p>
    <w:p w14:paraId="151314BF" w14:textId="77777777" w:rsidR="00AB6015" w:rsidRDefault="00AB6015" w:rsidP="002C0A7C">
      <w:pPr>
        <w:spacing w:after="0"/>
      </w:pPr>
    </w:p>
    <w:p w14:paraId="08DB167F" w14:textId="26273D32" w:rsidR="002C0A7C" w:rsidRDefault="002C0A7C" w:rsidP="002C0A7C">
      <w:pPr>
        <w:spacing w:after="0"/>
      </w:pPr>
      <w:r>
        <w:t>5. Line 72: “…tube and mix well.” Instead of “..tube mixing well.”.</w:t>
      </w:r>
    </w:p>
    <w:p w14:paraId="4A636475" w14:textId="28FBEEEB" w:rsidR="00AB6015" w:rsidRDefault="000A5C65" w:rsidP="000A5C65">
      <w:pPr>
        <w:spacing w:after="0"/>
        <w:ind w:firstLine="720"/>
        <w:rPr>
          <w:i/>
          <w:iCs/>
          <w:color w:val="0070C0"/>
        </w:rPr>
      </w:pPr>
      <w:r w:rsidRPr="000A5C65">
        <w:rPr>
          <w:i/>
          <w:iCs/>
          <w:color w:val="0070C0"/>
        </w:rPr>
        <w:t>W</w:t>
      </w:r>
      <w:r w:rsidR="00AB6015" w:rsidRPr="000A5C65">
        <w:rPr>
          <w:i/>
          <w:iCs/>
          <w:color w:val="0070C0"/>
        </w:rPr>
        <w:t>e have corrected the sentence.</w:t>
      </w:r>
    </w:p>
    <w:p w14:paraId="64096C3C" w14:textId="690B32D2" w:rsidR="00654375" w:rsidRPr="00654375" w:rsidRDefault="00306112" w:rsidP="00654375">
      <w:pPr>
        <w:spacing w:after="0"/>
        <w:rPr>
          <w:color w:val="0070C0"/>
        </w:rPr>
      </w:pPr>
      <w:r>
        <w:rPr>
          <w:bCs/>
        </w:rPr>
        <w:t>“</w:t>
      </w:r>
      <w:r w:rsidR="006B5EF6" w:rsidRPr="006B5EF6">
        <w:rPr>
          <w:bCs/>
        </w:rPr>
        <w:t xml:space="preserve">Add 0.5 g of dried commercial particles to 30 mL of sterile water in a 50 mL conical </w:t>
      </w:r>
      <w:r w:rsidR="006B5EF6" w:rsidRPr="006B5EF6">
        <w:rPr>
          <w:bCs/>
          <w:color w:val="FF0000"/>
        </w:rPr>
        <w:t>tube and mix well</w:t>
      </w:r>
      <w:r>
        <w:rPr>
          <w:bCs/>
        </w:rPr>
        <w:t>.”</w:t>
      </w:r>
    </w:p>
    <w:p w14:paraId="55EF0B81" w14:textId="77777777" w:rsidR="00AB6015" w:rsidRDefault="00AB6015" w:rsidP="002C0A7C">
      <w:pPr>
        <w:spacing w:after="0"/>
      </w:pPr>
    </w:p>
    <w:p w14:paraId="57FAB677" w14:textId="4E992FBA" w:rsidR="002C0A7C" w:rsidRDefault="002C0A7C" w:rsidP="002C0A7C">
      <w:pPr>
        <w:spacing w:after="0"/>
      </w:pPr>
      <w:r>
        <w:t>6. Line 84: 50 µm layer/coat?</w:t>
      </w:r>
    </w:p>
    <w:p w14:paraId="65C8C092" w14:textId="438B1904" w:rsidR="00AB6015" w:rsidRDefault="00AB6015" w:rsidP="002C0A7C">
      <w:pPr>
        <w:spacing w:after="0"/>
        <w:rPr>
          <w:i/>
          <w:iCs/>
          <w:color w:val="0070C0"/>
        </w:rPr>
      </w:pPr>
      <w:r>
        <w:tab/>
      </w:r>
      <w:r w:rsidRPr="000A5C65">
        <w:rPr>
          <w:i/>
          <w:iCs/>
          <w:color w:val="0070C0"/>
        </w:rPr>
        <w:t>We have corrected this within the protocol.</w:t>
      </w:r>
    </w:p>
    <w:p w14:paraId="4A4B8658" w14:textId="2DA1E595" w:rsidR="00306112" w:rsidRPr="00306112" w:rsidRDefault="00306112" w:rsidP="002C0A7C">
      <w:pPr>
        <w:spacing w:after="0"/>
      </w:pPr>
      <w:r w:rsidRPr="00306112">
        <w:t>“</w:t>
      </w:r>
      <w:r w:rsidR="006B5EF6" w:rsidRPr="006B5EF6">
        <w:rPr>
          <w:bCs/>
        </w:rPr>
        <w:t xml:space="preserve">Use a spin coater to create a </w:t>
      </w:r>
      <w:r w:rsidR="006B5EF6" w:rsidRPr="006B5EF6">
        <w:rPr>
          <w:bCs/>
          <w:color w:val="FF0000"/>
        </w:rPr>
        <w:t xml:space="preserve">50 μm layer of photoresist </w:t>
      </w:r>
      <w:r w:rsidR="006B5EF6" w:rsidRPr="006B5EF6">
        <w:rPr>
          <w:bCs/>
        </w:rPr>
        <w:t>by spinning at 500 rpm for 30 sec followed by 1250 rpm for 30 sec.</w:t>
      </w:r>
      <w:r w:rsidRPr="00306112">
        <w:t>”</w:t>
      </w:r>
    </w:p>
    <w:p w14:paraId="47483613" w14:textId="77777777" w:rsidR="00AB6015" w:rsidRPr="00AB6015" w:rsidRDefault="00AB6015" w:rsidP="002C0A7C">
      <w:pPr>
        <w:spacing w:after="0"/>
        <w:rPr>
          <w:i/>
          <w:iCs/>
        </w:rPr>
      </w:pPr>
    </w:p>
    <w:p w14:paraId="4836D323" w14:textId="384F51B7" w:rsidR="002C0A7C" w:rsidRDefault="002C0A7C" w:rsidP="002C0A7C">
      <w:pPr>
        <w:spacing w:after="0"/>
      </w:pPr>
      <w:r>
        <w:t>7. Line 85: Secure with what? Please add details here.</w:t>
      </w:r>
    </w:p>
    <w:p w14:paraId="55FEB903" w14:textId="2761CFA6" w:rsidR="00AB6015" w:rsidRDefault="00AB6015" w:rsidP="002C0A7C">
      <w:pPr>
        <w:spacing w:after="0"/>
        <w:rPr>
          <w:i/>
          <w:iCs/>
          <w:color w:val="0070C0"/>
        </w:rPr>
      </w:pPr>
      <w:r>
        <w:tab/>
      </w:r>
      <w:r w:rsidRPr="000A5C65">
        <w:rPr>
          <w:i/>
          <w:iCs/>
          <w:color w:val="0070C0"/>
        </w:rPr>
        <w:t>We have clarified this within the protocol.</w:t>
      </w:r>
    </w:p>
    <w:p w14:paraId="6E67CAD3" w14:textId="0F091844" w:rsidR="00306112" w:rsidRPr="00306112" w:rsidRDefault="00306112" w:rsidP="002C0A7C">
      <w:pPr>
        <w:spacing w:after="0"/>
      </w:pPr>
      <w:r w:rsidRPr="00306112">
        <w:t>“</w:t>
      </w:r>
      <w:r w:rsidR="006B5EF6" w:rsidRPr="006B5EF6">
        <w:rPr>
          <w:bCs/>
        </w:rPr>
        <w:t>3.</w:t>
      </w:r>
      <w:r w:rsidR="006B5EF6" w:rsidRPr="006B5EF6">
        <w:rPr>
          <w:bCs/>
        </w:rPr>
        <w:tab/>
        <w:t xml:space="preserve">Secure the photomask onto the silicon wafer with a </w:t>
      </w:r>
      <w:r w:rsidR="006B5EF6" w:rsidRPr="006B5EF6">
        <w:rPr>
          <w:bCs/>
          <w:color w:val="FF0000"/>
        </w:rPr>
        <w:t xml:space="preserve">cover glass slide </w:t>
      </w:r>
      <w:r w:rsidR="006B5EF6" w:rsidRPr="006B5EF6">
        <w:rPr>
          <w:bCs/>
        </w:rPr>
        <w:t xml:space="preserve">and </w:t>
      </w:r>
      <w:r>
        <w:rPr>
          <w:bCs/>
        </w:rPr>
        <w:t>…</w:t>
      </w:r>
      <w:r w:rsidRPr="00306112">
        <w:t>”</w:t>
      </w:r>
    </w:p>
    <w:p w14:paraId="1835B9F2" w14:textId="77777777" w:rsidR="00AB6015" w:rsidRDefault="00AB6015" w:rsidP="002C0A7C">
      <w:pPr>
        <w:spacing w:after="0"/>
      </w:pPr>
    </w:p>
    <w:p w14:paraId="7A4ED2BB" w14:textId="602B2D5A" w:rsidR="002C0A7C" w:rsidRDefault="002C0A7C" w:rsidP="002C0A7C">
      <w:pPr>
        <w:spacing w:after="0"/>
      </w:pPr>
      <w:r>
        <w:t>8. Lines 89-91: What is the concentration of PGMEA, isopropanol used?</w:t>
      </w:r>
    </w:p>
    <w:p w14:paraId="7377CC57" w14:textId="6F5D015E" w:rsidR="00AB6015" w:rsidRDefault="00AB6015" w:rsidP="002C0A7C">
      <w:pPr>
        <w:spacing w:after="0"/>
        <w:rPr>
          <w:i/>
          <w:iCs/>
          <w:color w:val="0070C0"/>
        </w:rPr>
      </w:pPr>
      <w:r>
        <w:lastRenderedPageBreak/>
        <w:tab/>
      </w:r>
      <w:r w:rsidRPr="000A5C65">
        <w:rPr>
          <w:i/>
          <w:iCs/>
          <w:color w:val="0070C0"/>
        </w:rPr>
        <w:t>In both cases 100% PGMEA and isopropanol were used. We have clarified this within the protocol.</w:t>
      </w:r>
    </w:p>
    <w:p w14:paraId="5E0A5A19" w14:textId="6B4EA2F0" w:rsidR="00E12920" w:rsidRPr="000A5C65" w:rsidRDefault="00E12920" w:rsidP="002C0A7C">
      <w:pPr>
        <w:spacing w:after="0"/>
        <w:rPr>
          <w:i/>
          <w:iCs/>
        </w:rPr>
      </w:pPr>
      <w:r w:rsidRPr="00E12920">
        <w:rPr>
          <w:i/>
          <w:iCs/>
        </w:rPr>
        <w:t>“</w:t>
      </w:r>
      <w:r w:rsidR="006B5EF6" w:rsidRPr="006B5EF6">
        <w:rPr>
          <w:bCs/>
        </w:rPr>
        <w:t xml:space="preserve">Develop the photoresist-silicon wafer by immersing it in a bath of </w:t>
      </w:r>
      <w:r w:rsidR="006B5EF6" w:rsidRPr="006B5EF6">
        <w:rPr>
          <w:bCs/>
          <w:color w:val="FF0000"/>
        </w:rPr>
        <w:t>100%</w:t>
      </w:r>
      <w:r w:rsidR="006B5EF6" w:rsidRPr="006B5EF6">
        <w:rPr>
          <w:bCs/>
        </w:rPr>
        <w:t xml:space="preserve"> propylene glycol monomethyl ether acetate (PGMEA) for up to 15 min. Rinse the wafer with fresh </w:t>
      </w:r>
      <w:r w:rsidR="006B5EF6" w:rsidRPr="006B5EF6">
        <w:rPr>
          <w:bCs/>
          <w:color w:val="FF0000"/>
        </w:rPr>
        <w:t>100</w:t>
      </w:r>
      <w:r w:rsidR="006B5EF6" w:rsidRPr="006B5EF6">
        <w:rPr>
          <w:bCs/>
        </w:rPr>
        <w:t xml:space="preserve">% PGMEA followed by </w:t>
      </w:r>
      <w:r w:rsidR="006B5EF6" w:rsidRPr="006B5EF6">
        <w:rPr>
          <w:bCs/>
          <w:color w:val="FF0000"/>
        </w:rPr>
        <w:t xml:space="preserve">100% </w:t>
      </w:r>
      <w:r w:rsidR="006B5EF6" w:rsidRPr="006B5EF6">
        <w:rPr>
          <w:bCs/>
        </w:rPr>
        <w:t>isopropanol.</w:t>
      </w:r>
      <w:r w:rsidRPr="00E12920">
        <w:rPr>
          <w:i/>
          <w:iCs/>
        </w:rPr>
        <w:t>”</w:t>
      </w:r>
    </w:p>
    <w:p w14:paraId="7C27D1C0" w14:textId="77777777" w:rsidR="00AB6015" w:rsidRDefault="00AB6015" w:rsidP="002C0A7C">
      <w:pPr>
        <w:spacing w:after="0"/>
      </w:pPr>
    </w:p>
    <w:p w14:paraId="3CF75B27" w14:textId="1EA6A518" w:rsidR="002C0A7C" w:rsidRDefault="002C0A7C" w:rsidP="002C0A7C">
      <w:pPr>
        <w:spacing w:after="0"/>
      </w:pPr>
      <w:r>
        <w:t>9. Lines 95-99: Please add details about degassing.</w:t>
      </w:r>
    </w:p>
    <w:p w14:paraId="7A184462" w14:textId="4AE8C21C" w:rsidR="00AB6015" w:rsidRDefault="00AB6015" w:rsidP="002C0A7C">
      <w:pPr>
        <w:spacing w:after="0"/>
        <w:rPr>
          <w:i/>
          <w:iCs/>
          <w:color w:val="0070C0"/>
        </w:rPr>
      </w:pPr>
      <w:r>
        <w:tab/>
      </w:r>
      <w:bookmarkStart w:id="0" w:name="_Hlk61689441"/>
      <w:r w:rsidRPr="000A5C65">
        <w:rPr>
          <w:i/>
          <w:iCs/>
          <w:color w:val="0070C0"/>
        </w:rPr>
        <w:t xml:space="preserve">We have provided additional details regarding the </w:t>
      </w:r>
      <w:r w:rsidR="00F41660" w:rsidRPr="000A5C65">
        <w:rPr>
          <w:i/>
          <w:iCs/>
          <w:color w:val="0070C0"/>
        </w:rPr>
        <w:t>procedure</w:t>
      </w:r>
      <w:r w:rsidRPr="000A5C65">
        <w:rPr>
          <w:i/>
          <w:iCs/>
          <w:color w:val="0070C0"/>
        </w:rPr>
        <w:t xml:space="preserve"> of degassing the PDMS within the protocol.</w:t>
      </w:r>
      <w:bookmarkEnd w:id="0"/>
    </w:p>
    <w:p w14:paraId="1E0C365C" w14:textId="49256C90" w:rsidR="00E12920" w:rsidRPr="004623A5" w:rsidRDefault="00E12920" w:rsidP="002C0A7C">
      <w:pPr>
        <w:spacing w:after="0"/>
      </w:pPr>
      <w:r w:rsidRPr="004623A5">
        <w:t>“</w:t>
      </w:r>
      <w:r w:rsidR="004623A5" w:rsidRPr="004623A5">
        <w:rPr>
          <w:color w:val="FF0000"/>
        </w:rPr>
        <w:t xml:space="preserve">Degas the mixed PDMS using a desiccator under house </w:t>
      </w:r>
      <w:r w:rsidR="004623A5" w:rsidRPr="004623A5">
        <w:t>vacuum until no air bubbles are observable.</w:t>
      </w:r>
      <w:r w:rsidR="004623A5" w:rsidRPr="004623A5">
        <w:rPr>
          <w:bCs/>
        </w:rPr>
        <w:t>”</w:t>
      </w:r>
    </w:p>
    <w:p w14:paraId="1D9393C5" w14:textId="77777777" w:rsidR="00AB6015" w:rsidRDefault="00AB6015" w:rsidP="002C0A7C">
      <w:pPr>
        <w:spacing w:after="0"/>
      </w:pPr>
    </w:p>
    <w:p w14:paraId="7870AD86" w14:textId="4198AA75" w:rsidR="002C0A7C" w:rsidRDefault="002C0A7C" w:rsidP="002C0A7C">
      <w:pPr>
        <w:spacing w:after="0"/>
      </w:pPr>
      <w:r>
        <w:t>10. Line 107: Which tape is used?</w:t>
      </w:r>
    </w:p>
    <w:p w14:paraId="18D025B2" w14:textId="2202C8E6" w:rsidR="00AB6015" w:rsidRPr="000A5C65" w:rsidRDefault="00AB6015" w:rsidP="002C0A7C">
      <w:pPr>
        <w:spacing w:after="0"/>
        <w:rPr>
          <w:i/>
          <w:iCs/>
        </w:rPr>
      </w:pPr>
      <w:r>
        <w:tab/>
      </w:r>
      <w:bookmarkStart w:id="1" w:name="_Hlk61689462"/>
      <w:r w:rsidRPr="000A5C65">
        <w:rPr>
          <w:i/>
          <w:iCs/>
          <w:color w:val="0070C0"/>
        </w:rPr>
        <w:t>We use Scotch tape for the removal of dust/debris from the microfluidic device prior to bonding. We have clarified this within the protocol.</w:t>
      </w:r>
      <w:bookmarkEnd w:id="1"/>
    </w:p>
    <w:p w14:paraId="5FE1E383" w14:textId="75DA8D28" w:rsidR="00AB6015" w:rsidRDefault="00E12920" w:rsidP="00E12920">
      <w:r>
        <w:t>“</w:t>
      </w:r>
      <w:r w:rsidR="004E1FEF" w:rsidRPr="004E1FEF">
        <w:rPr>
          <w:bCs/>
        </w:rPr>
        <w:t xml:space="preserve">Remove any dust and particulates with the repetitive application and removal of </w:t>
      </w:r>
      <w:r w:rsidR="004E1FEF" w:rsidRPr="004E1FEF">
        <w:rPr>
          <w:bCs/>
          <w:color w:val="FF0000"/>
        </w:rPr>
        <w:t xml:space="preserve">packaging </w:t>
      </w:r>
      <w:r w:rsidR="004E1FEF" w:rsidRPr="004E1FEF">
        <w:rPr>
          <w:bCs/>
        </w:rPr>
        <w:t>tape to the surface of the PDMS block.</w:t>
      </w:r>
      <w:r>
        <w:t>”</w:t>
      </w:r>
    </w:p>
    <w:p w14:paraId="651217D1" w14:textId="77777777" w:rsidR="00E12920" w:rsidRDefault="00E12920" w:rsidP="002C0A7C">
      <w:pPr>
        <w:spacing w:after="0"/>
      </w:pPr>
    </w:p>
    <w:p w14:paraId="15BDDD07" w14:textId="77E20F20" w:rsidR="002C0A7C" w:rsidRDefault="002C0A7C" w:rsidP="002C0A7C">
      <w:pPr>
        <w:spacing w:after="0"/>
      </w:pPr>
      <w:r>
        <w:t>11. Line 117: Please specify which fluid is used.</w:t>
      </w:r>
    </w:p>
    <w:p w14:paraId="366B261A" w14:textId="5EE17D45" w:rsidR="00AB6015" w:rsidRPr="000A5C65" w:rsidRDefault="00AB6015" w:rsidP="002C0A7C">
      <w:pPr>
        <w:spacing w:after="0"/>
        <w:rPr>
          <w:i/>
          <w:iCs/>
        </w:rPr>
      </w:pPr>
      <w:r>
        <w:tab/>
      </w:r>
      <w:bookmarkStart w:id="2" w:name="_Hlk61689474"/>
      <w:r w:rsidR="004E1FEF">
        <w:rPr>
          <w:i/>
          <w:iCs/>
          <w:color w:val="0070C0"/>
        </w:rPr>
        <w:t>For the treatment of microfluidic devices we use Aquapel. However, Aquapel is a company/product. In an attempt to avoid commercial language (Editorial comment 19) we have rewritten the sentence to avoid confusion.</w:t>
      </w:r>
      <w:r w:rsidRPr="000A5C65">
        <w:rPr>
          <w:i/>
          <w:iCs/>
          <w:color w:val="0070C0"/>
        </w:rPr>
        <w:t xml:space="preserve"> </w:t>
      </w:r>
      <w:bookmarkEnd w:id="2"/>
    </w:p>
    <w:p w14:paraId="38C0A14F" w14:textId="77777777" w:rsidR="004E1FEF" w:rsidRDefault="00E12920" w:rsidP="004E1FEF">
      <w:pPr>
        <w:spacing w:after="0"/>
        <w:rPr>
          <w:bCs/>
        </w:rPr>
      </w:pPr>
      <w:r>
        <w:t>“</w:t>
      </w:r>
      <w:r w:rsidR="004E1FEF" w:rsidRPr="004E1FEF">
        <w:rPr>
          <w:bCs/>
        </w:rPr>
        <w:t>10.</w:t>
      </w:r>
      <w:r w:rsidR="004E1FEF" w:rsidRPr="004E1FEF">
        <w:rPr>
          <w:bCs/>
        </w:rPr>
        <w:tab/>
        <w:t xml:space="preserve">Treat all microfluidic channels </w:t>
      </w:r>
      <w:r w:rsidR="004E1FEF" w:rsidRPr="00CE3F78">
        <w:rPr>
          <w:bCs/>
          <w:color w:val="FF0000"/>
        </w:rPr>
        <w:t>with a fluorinated surface treatment</w:t>
      </w:r>
      <w:r w:rsidR="004E1FEF" w:rsidRPr="004E1FEF">
        <w:rPr>
          <w:bCs/>
        </w:rPr>
        <w:t>.</w:t>
      </w:r>
    </w:p>
    <w:p w14:paraId="556E54D4" w14:textId="51C2C9B2" w:rsidR="00AB6015" w:rsidRPr="00E12920" w:rsidRDefault="004E1FEF" w:rsidP="004E1FEF">
      <w:pPr>
        <w:spacing w:after="0"/>
        <w:rPr>
          <w:bCs/>
        </w:rPr>
      </w:pPr>
      <w:r w:rsidRPr="00CE3F78">
        <w:rPr>
          <w:bCs/>
          <w:color w:val="FF0000"/>
        </w:rPr>
        <w:t>11.</w:t>
      </w:r>
      <w:r w:rsidRPr="00CE3F78">
        <w:rPr>
          <w:bCs/>
          <w:color w:val="FF0000"/>
        </w:rPr>
        <w:tab/>
        <w:t xml:space="preserve">Bake the device at 65 </w:t>
      </w:r>
      <w:r w:rsidRPr="00CE3F78">
        <w:rPr>
          <w:bCs/>
          <w:color w:val="FF0000"/>
          <w:vertAlign w:val="superscript"/>
        </w:rPr>
        <w:t>o</w:t>
      </w:r>
      <w:r w:rsidRPr="00CE3F78">
        <w:rPr>
          <w:bCs/>
          <w:color w:val="FF0000"/>
        </w:rPr>
        <w:t>C for at least 10 min.</w:t>
      </w:r>
      <w:r>
        <w:rPr>
          <w:bCs/>
        </w:rPr>
        <w:t>”</w:t>
      </w:r>
    </w:p>
    <w:p w14:paraId="7C7928C2" w14:textId="77777777" w:rsidR="00E12920" w:rsidRDefault="00E12920" w:rsidP="002C0A7C">
      <w:pPr>
        <w:spacing w:after="0"/>
      </w:pPr>
    </w:p>
    <w:p w14:paraId="2FD50606" w14:textId="04B9258E" w:rsidR="002C0A7C" w:rsidRDefault="002C0A7C" w:rsidP="002C0A7C">
      <w:pPr>
        <w:spacing w:after="0"/>
      </w:pPr>
      <w:r>
        <w:t>12. Line 125-126: “..and 1%” of what? Also specify if the syringe mentioned (line 126) is different from the one in line 124.</w:t>
      </w:r>
    </w:p>
    <w:p w14:paraId="4DE27893" w14:textId="46E90464" w:rsidR="00AB6015" w:rsidRPr="000A5C65" w:rsidRDefault="00AB6015" w:rsidP="002C0A7C">
      <w:pPr>
        <w:spacing w:after="0"/>
        <w:rPr>
          <w:i/>
          <w:iCs/>
        </w:rPr>
      </w:pPr>
      <w:r>
        <w:tab/>
      </w:r>
      <w:bookmarkStart w:id="3" w:name="_Hlk61689553"/>
      <w:r w:rsidRPr="000A5C65">
        <w:rPr>
          <w:i/>
          <w:iCs/>
          <w:color w:val="0070C0"/>
        </w:rPr>
        <w:t>We have updated the protocol to include the name TEMED, 1% TEMED, and appropriately defining the abbreviation. We also specify that a new syringe should be used in loading this mixture.</w:t>
      </w:r>
      <w:bookmarkEnd w:id="3"/>
    </w:p>
    <w:p w14:paraId="745A4020" w14:textId="273E962F" w:rsidR="00AB6015" w:rsidRDefault="00E12920" w:rsidP="002C0A7C">
      <w:pPr>
        <w:spacing w:after="0"/>
      </w:pPr>
      <w:r>
        <w:t>“</w:t>
      </w:r>
      <w:r w:rsidR="00CE3F78" w:rsidRPr="00CE3F78">
        <w:t>2.</w:t>
      </w:r>
      <w:r w:rsidR="00CE3F78" w:rsidRPr="00CE3F78">
        <w:tab/>
        <w:t xml:space="preserve">Prepare an insoluble continuous phase consisting of 5% (w/w) deprotonated </w:t>
      </w:r>
      <w:r w:rsidR="00CE3F78" w:rsidRPr="00CE3F78">
        <w:rPr>
          <w:color w:val="FF0000"/>
        </w:rPr>
        <w:t>fluorosurfactant and 1% N,N,NN-Tetramethylethylenedi (TEMED) in hydrofluoroether (HFE) oil for the generation and stabilization of droplets. Load the solution into new 1 mL syringe.</w:t>
      </w:r>
      <w:r>
        <w:t>”</w:t>
      </w:r>
    </w:p>
    <w:p w14:paraId="12C7C32A" w14:textId="77777777" w:rsidR="00E12920" w:rsidRDefault="00E12920" w:rsidP="002C0A7C">
      <w:pPr>
        <w:spacing w:after="0"/>
      </w:pPr>
    </w:p>
    <w:p w14:paraId="1A54DBAA" w14:textId="455AF69F" w:rsidR="002C0A7C" w:rsidRDefault="002C0A7C" w:rsidP="002C0A7C">
      <w:pPr>
        <w:spacing w:after="0"/>
      </w:pPr>
      <w:r>
        <w:t>13. Line 133: “… droplets in..” instead of “…droplets to..”</w:t>
      </w:r>
    </w:p>
    <w:p w14:paraId="4DB41A49" w14:textId="1F5DE564" w:rsidR="00AB6015" w:rsidRPr="000A5C65" w:rsidRDefault="00AB6015" w:rsidP="002C0A7C">
      <w:pPr>
        <w:spacing w:after="0"/>
        <w:rPr>
          <w:i/>
          <w:iCs/>
        </w:rPr>
      </w:pPr>
      <w:r>
        <w:tab/>
      </w:r>
      <w:bookmarkStart w:id="4" w:name="_Hlk61689591"/>
      <w:r w:rsidRPr="000A5C65">
        <w:rPr>
          <w:i/>
          <w:iCs/>
          <w:color w:val="0070C0"/>
        </w:rPr>
        <w:t>We have updated the organization of this sentence as suggested.</w:t>
      </w:r>
      <w:bookmarkEnd w:id="4"/>
    </w:p>
    <w:p w14:paraId="7035F016" w14:textId="0C104FDD" w:rsidR="00AB6015" w:rsidRDefault="00E12920" w:rsidP="002C0A7C">
      <w:pPr>
        <w:spacing w:after="0"/>
      </w:pPr>
      <w:r>
        <w:t>“</w:t>
      </w:r>
      <w:r w:rsidR="00CE3F78" w:rsidRPr="00CE3F78">
        <w:rPr>
          <w:bCs/>
        </w:rPr>
        <w:t xml:space="preserve">Collect 1 mL of the droplets </w:t>
      </w:r>
      <w:r w:rsidR="00CE3F78" w:rsidRPr="00CE3F78">
        <w:rPr>
          <w:bCs/>
          <w:color w:val="FF0000"/>
        </w:rPr>
        <w:t xml:space="preserve">in a </w:t>
      </w:r>
      <w:r w:rsidR="00CE3F78" w:rsidRPr="00CE3F78">
        <w:rPr>
          <w:bCs/>
        </w:rPr>
        <w:t xml:space="preserve">15 ml collection </w:t>
      </w:r>
      <w:r>
        <w:rPr>
          <w:bCs/>
        </w:rPr>
        <w:t>…</w:t>
      </w:r>
      <w:r>
        <w:t>”</w:t>
      </w:r>
    </w:p>
    <w:p w14:paraId="6224ED09" w14:textId="77777777" w:rsidR="00E12920" w:rsidRDefault="00E12920" w:rsidP="002C0A7C">
      <w:pPr>
        <w:spacing w:after="0"/>
      </w:pPr>
    </w:p>
    <w:p w14:paraId="447BC72C" w14:textId="60487620" w:rsidR="002C0A7C" w:rsidRDefault="002C0A7C" w:rsidP="002C0A7C">
      <w:pPr>
        <w:spacing w:after="0"/>
      </w:pPr>
      <w:r>
        <w:t>14. Line 134-135: How and when is TEMED introduced?</w:t>
      </w:r>
    </w:p>
    <w:p w14:paraId="56E88676" w14:textId="7A0D4A66" w:rsidR="00AB6015" w:rsidRPr="000A5C65" w:rsidRDefault="00AB6015" w:rsidP="002C0A7C">
      <w:pPr>
        <w:spacing w:after="0"/>
        <w:rPr>
          <w:i/>
          <w:iCs/>
        </w:rPr>
      </w:pPr>
      <w:r>
        <w:tab/>
      </w:r>
      <w:bookmarkStart w:id="5" w:name="_Hlk61689601"/>
      <w:r w:rsidRPr="000A5C65">
        <w:rPr>
          <w:i/>
          <w:iCs/>
          <w:color w:val="0070C0"/>
        </w:rPr>
        <w:t>TEMED was introduce within the oil phase (see Editorial comment 12). This describes the method of introducing TEMED for the polymerization of the PAA particles.</w:t>
      </w:r>
      <w:bookmarkEnd w:id="5"/>
    </w:p>
    <w:p w14:paraId="5F3C2BEF" w14:textId="77777777" w:rsidR="00AB6015" w:rsidRDefault="00AB6015" w:rsidP="002C0A7C">
      <w:pPr>
        <w:spacing w:after="0"/>
      </w:pPr>
    </w:p>
    <w:p w14:paraId="5B94C896" w14:textId="6AEC2E54" w:rsidR="002C0A7C" w:rsidRDefault="002C0A7C" w:rsidP="002C0A7C">
      <w:pPr>
        <w:spacing w:after="0"/>
      </w:pPr>
      <w:bookmarkStart w:id="6" w:name="_Hlk61685406"/>
      <w:r>
        <w:t>15. Line 136: How is the oil removed?</w:t>
      </w:r>
    </w:p>
    <w:bookmarkEnd w:id="6"/>
    <w:p w14:paraId="01BA2F5A" w14:textId="28925D2C" w:rsidR="00AB6015" w:rsidRPr="000A5C65" w:rsidRDefault="00AB6015" w:rsidP="002C0A7C">
      <w:pPr>
        <w:spacing w:after="0"/>
        <w:rPr>
          <w:i/>
          <w:iCs/>
        </w:rPr>
      </w:pPr>
      <w:r>
        <w:tab/>
      </w:r>
      <w:bookmarkStart w:id="7" w:name="_Hlk61689911"/>
      <w:r w:rsidRPr="000A5C65">
        <w:rPr>
          <w:i/>
          <w:iCs/>
          <w:color w:val="0070C0"/>
        </w:rPr>
        <w:t xml:space="preserve">Within the </w:t>
      </w:r>
      <w:r w:rsidR="002A65CA">
        <w:rPr>
          <w:i/>
          <w:iCs/>
          <w:color w:val="0070C0"/>
        </w:rPr>
        <w:t>protocol</w:t>
      </w:r>
      <w:r w:rsidRPr="000A5C65">
        <w:rPr>
          <w:i/>
          <w:iCs/>
          <w:color w:val="0070C0"/>
        </w:rPr>
        <w:t>,</w:t>
      </w:r>
      <w:r w:rsidR="002A65CA">
        <w:rPr>
          <w:i/>
          <w:iCs/>
          <w:color w:val="0070C0"/>
        </w:rPr>
        <w:t xml:space="preserve"> </w:t>
      </w:r>
      <w:r w:rsidRPr="000A5C65">
        <w:rPr>
          <w:i/>
          <w:iCs/>
          <w:color w:val="0070C0"/>
        </w:rPr>
        <w:t>we have clarified that the oil is removed using a pipette.</w:t>
      </w:r>
      <w:bookmarkEnd w:id="7"/>
    </w:p>
    <w:p w14:paraId="35375C14" w14:textId="29BD4ED2" w:rsidR="00AB6015" w:rsidRPr="002A65CA" w:rsidRDefault="002A65CA" w:rsidP="002A65CA">
      <w:pPr>
        <w:rPr>
          <w:bCs/>
        </w:rPr>
      </w:pPr>
      <w:r w:rsidRPr="0039736B">
        <w:t>“</w:t>
      </w:r>
      <w:r w:rsidRPr="0039736B">
        <w:rPr>
          <w:bCs/>
        </w:rPr>
        <w:t xml:space="preserve">Remove the lower layer of oil </w:t>
      </w:r>
      <w:r w:rsidRPr="0039736B">
        <w:rPr>
          <w:bCs/>
          <w:color w:val="FF0000"/>
        </w:rPr>
        <w:t>by pipetting</w:t>
      </w:r>
      <w:r w:rsidRPr="0039736B">
        <w:rPr>
          <w:bCs/>
        </w:rPr>
        <w:t>.</w:t>
      </w:r>
      <w:r w:rsidRPr="0039736B">
        <w:t>”</w:t>
      </w:r>
    </w:p>
    <w:p w14:paraId="75E00804" w14:textId="233FE9F5" w:rsidR="002C0A7C" w:rsidRDefault="002C0A7C" w:rsidP="002C0A7C">
      <w:pPr>
        <w:spacing w:after="0"/>
      </w:pPr>
      <w:r>
        <w:lastRenderedPageBreak/>
        <w:t>16. Line 137: When should this be added? To which tube?</w:t>
      </w:r>
    </w:p>
    <w:p w14:paraId="65FF1732" w14:textId="6430BEC7" w:rsidR="00AB6015" w:rsidRPr="000A5C65" w:rsidRDefault="00AB6015" w:rsidP="002C0A7C">
      <w:pPr>
        <w:spacing w:after="0"/>
        <w:rPr>
          <w:i/>
          <w:iCs/>
        </w:rPr>
      </w:pPr>
      <w:r>
        <w:tab/>
      </w:r>
      <w:bookmarkStart w:id="8" w:name="_Hlk61689927"/>
      <w:r w:rsidRPr="000A5C65">
        <w:rPr>
          <w:i/>
          <w:iCs/>
          <w:color w:val="0070C0"/>
        </w:rPr>
        <w:t xml:space="preserve">We have clarified which tube the PFO should be added, the collection tube now referenced as such within </w:t>
      </w:r>
      <w:r w:rsidR="00E81769">
        <w:rPr>
          <w:i/>
          <w:iCs/>
          <w:color w:val="0070C0"/>
        </w:rPr>
        <w:t>the previous step</w:t>
      </w:r>
      <w:r w:rsidRPr="000A5C65">
        <w:rPr>
          <w:i/>
          <w:iCs/>
          <w:color w:val="0070C0"/>
        </w:rPr>
        <w:t>.</w:t>
      </w:r>
      <w:bookmarkEnd w:id="8"/>
    </w:p>
    <w:p w14:paraId="0B9F1E31" w14:textId="7DF93504" w:rsidR="00AB6015" w:rsidRPr="00CE3F78" w:rsidRDefault="002A65CA" w:rsidP="002C0A7C">
      <w:pPr>
        <w:spacing w:after="0"/>
      </w:pPr>
      <w:r w:rsidRPr="00CE3F78">
        <w:t>“</w:t>
      </w:r>
      <w:bookmarkStart w:id="9" w:name="_Hlk61687374"/>
      <w:r w:rsidRPr="00CE3F78">
        <w:rPr>
          <w:bCs/>
        </w:rPr>
        <w:t xml:space="preserve">Collect 1 mL of the droplets in a 15 ml </w:t>
      </w:r>
      <w:r w:rsidRPr="00CE3F78">
        <w:rPr>
          <w:bCs/>
          <w:color w:val="FF0000"/>
        </w:rPr>
        <w:t xml:space="preserve">collection </w:t>
      </w:r>
      <w:r w:rsidRPr="00CE3F78">
        <w:rPr>
          <w:bCs/>
        </w:rPr>
        <w:t xml:space="preserve">tube </w:t>
      </w:r>
      <w:bookmarkEnd w:id="9"/>
      <w:r w:rsidRPr="00CE3F78">
        <w:rPr>
          <w:bCs/>
        </w:rPr>
        <w:t>and …</w:t>
      </w:r>
      <w:r w:rsidRPr="00CE3F78">
        <w:t>”</w:t>
      </w:r>
    </w:p>
    <w:p w14:paraId="374768DC" w14:textId="150AC4CA" w:rsidR="002A65CA" w:rsidRPr="00CE3F78" w:rsidRDefault="002A65CA" w:rsidP="002C0A7C">
      <w:pPr>
        <w:spacing w:after="0"/>
      </w:pPr>
      <w:r w:rsidRPr="00CE3F78">
        <w:t>“</w:t>
      </w:r>
      <w:bookmarkStart w:id="10" w:name="_Hlk61621890"/>
      <w:bookmarkStart w:id="11" w:name="_Hlk61621410"/>
      <w:r w:rsidR="00CE3F78" w:rsidRPr="00CE3F78">
        <w:rPr>
          <w:bCs/>
        </w:rPr>
        <w:t xml:space="preserve">Add 1 mL of 20% (v/v) perfluoro-1-octanol (PFO) in HFE oil to the 15 mL </w:t>
      </w:r>
      <w:r w:rsidR="00CE3F78" w:rsidRPr="00CE3F78">
        <w:rPr>
          <w:bCs/>
          <w:color w:val="FF0000"/>
        </w:rPr>
        <w:t xml:space="preserve">collection tube </w:t>
      </w:r>
      <w:r w:rsidR="00CE3F78" w:rsidRPr="00CE3F78">
        <w:rPr>
          <w:bCs/>
        </w:rPr>
        <w:t>as a chemical demulsifier</w:t>
      </w:r>
      <w:r w:rsidRPr="00CE3F78">
        <w:rPr>
          <w:bCs/>
        </w:rPr>
        <w:t>.</w:t>
      </w:r>
      <w:bookmarkEnd w:id="10"/>
      <w:bookmarkEnd w:id="11"/>
      <w:r w:rsidRPr="00CE3F78">
        <w:t>”</w:t>
      </w:r>
    </w:p>
    <w:p w14:paraId="5B90538D" w14:textId="77777777" w:rsidR="002A65CA" w:rsidRDefault="002A65CA" w:rsidP="002C0A7C">
      <w:pPr>
        <w:spacing w:after="0"/>
      </w:pPr>
    </w:p>
    <w:p w14:paraId="2EA08661" w14:textId="658FDC05" w:rsidR="002C0A7C" w:rsidRDefault="002C0A7C" w:rsidP="002C0A7C">
      <w:pPr>
        <w:spacing w:after="0"/>
      </w:pPr>
      <w:r>
        <w:t>17. Lines 141, 145, 152, 171: How are the supernatants removed? Using what?</w:t>
      </w:r>
    </w:p>
    <w:p w14:paraId="5AF8A2F3" w14:textId="2796BB59" w:rsidR="00AB6015" w:rsidRPr="000A5C65" w:rsidRDefault="00AB6015" w:rsidP="002C0A7C">
      <w:pPr>
        <w:spacing w:after="0"/>
        <w:rPr>
          <w:i/>
          <w:iCs/>
          <w:color w:val="0070C0"/>
        </w:rPr>
      </w:pPr>
      <w:r>
        <w:tab/>
      </w:r>
      <w:bookmarkStart w:id="12" w:name="_Hlk61689971"/>
      <w:r w:rsidRPr="000A5C65">
        <w:rPr>
          <w:i/>
          <w:iCs/>
          <w:color w:val="0070C0"/>
        </w:rPr>
        <w:t>Here we remove the supernatants using a pipette. We have updated the protocol to specify this.</w:t>
      </w:r>
      <w:bookmarkEnd w:id="12"/>
    </w:p>
    <w:p w14:paraId="5C9E0F49" w14:textId="31B4EAD6" w:rsidR="00AB6015" w:rsidRPr="00CE3F78" w:rsidRDefault="002A65CA" w:rsidP="002C0A7C">
      <w:pPr>
        <w:spacing w:after="0"/>
      </w:pPr>
      <w:r>
        <w:t>“</w:t>
      </w:r>
      <w:r w:rsidRPr="00CE3F78">
        <w:rPr>
          <w:bCs/>
        </w:rPr>
        <w:t xml:space="preserve">Remove the PFO/HFE supernatant </w:t>
      </w:r>
      <w:r w:rsidRPr="00CE3F78">
        <w:rPr>
          <w:bCs/>
          <w:color w:val="FF0000"/>
        </w:rPr>
        <w:t>by pipetting</w:t>
      </w:r>
      <w:r w:rsidRPr="00CE3F78">
        <w:rPr>
          <w:bCs/>
        </w:rPr>
        <w:t>.</w:t>
      </w:r>
      <w:r w:rsidRPr="00CE3F78">
        <w:t>”</w:t>
      </w:r>
    </w:p>
    <w:p w14:paraId="246ACD25" w14:textId="6DFA1203" w:rsidR="002A65CA" w:rsidRPr="00CE3F78" w:rsidRDefault="002A65CA" w:rsidP="002C0A7C">
      <w:pPr>
        <w:spacing w:after="0"/>
      </w:pPr>
      <w:r w:rsidRPr="00CE3F78">
        <w:t>“</w:t>
      </w:r>
      <w:r w:rsidRPr="00CE3F78">
        <w:rPr>
          <w:bCs/>
        </w:rPr>
        <w:t xml:space="preserve">Remove the supernatant </w:t>
      </w:r>
      <w:r w:rsidRPr="00CE3F78">
        <w:rPr>
          <w:bCs/>
          <w:color w:val="FF0000"/>
        </w:rPr>
        <w:t>by pipetting</w:t>
      </w:r>
      <w:r w:rsidRPr="00CE3F78">
        <w:rPr>
          <w:bCs/>
        </w:rPr>
        <w:t xml:space="preserve"> to remove surfactant/hexane solution.</w:t>
      </w:r>
      <w:r w:rsidRPr="00CE3F78">
        <w:t>”</w:t>
      </w:r>
    </w:p>
    <w:p w14:paraId="7E5920B1" w14:textId="18C21B60" w:rsidR="002A65CA" w:rsidRPr="00CE3F78" w:rsidRDefault="002A65CA" w:rsidP="002C0A7C">
      <w:pPr>
        <w:spacing w:after="0"/>
      </w:pPr>
      <w:r w:rsidRPr="00CE3F78">
        <w:t>“</w:t>
      </w:r>
      <w:r w:rsidR="00063EA3" w:rsidRPr="00CE3F78">
        <w:rPr>
          <w:bCs/>
        </w:rPr>
        <w:t xml:space="preserve">Remove the supernatant </w:t>
      </w:r>
      <w:r w:rsidR="00063EA3" w:rsidRPr="00CE3F78">
        <w:rPr>
          <w:bCs/>
          <w:color w:val="FF0000"/>
        </w:rPr>
        <w:t>by pipetting</w:t>
      </w:r>
      <w:r w:rsidR="00063EA3" w:rsidRPr="00CE3F78">
        <w:rPr>
          <w:bCs/>
        </w:rPr>
        <w:t>.</w:t>
      </w:r>
      <w:r w:rsidRPr="00CE3F78">
        <w:t>”</w:t>
      </w:r>
    </w:p>
    <w:p w14:paraId="69A1014C" w14:textId="332B0D4D" w:rsidR="00063EA3" w:rsidRDefault="00063EA3" w:rsidP="002C0A7C">
      <w:pPr>
        <w:spacing w:after="0"/>
      </w:pPr>
      <w:r w:rsidRPr="00CE3F78">
        <w:t xml:space="preserve">“… </w:t>
      </w:r>
      <w:r w:rsidRPr="00CE3F78">
        <w:rPr>
          <w:bCs/>
        </w:rPr>
        <w:t xml:space="preserve">remove the supernatant </w:t>
      </w:r>
      <w:r w:rsidRPr="00CE3F78">
        <w:rPr>
          <w:bCs/>
          <w:color w:val="FF0000"/>
        </w:rPr>
        <w:t>by pipetting</w:t>
      </w:r>
      <w:r w:rsidRPr="00CE3F78">
        <w:rPr>
          <w:bCs/>
        </w:rPr>
        <w:t xml:space="preserve"> and resuspend…</w:t>
      </w:r>
      <w:r w:rsidRPr="00CE3F78">
        <w:t>”</w:t>
      </w:r>
    </w:p>
    <w:p w14:paraId="735C299A" w14:textId="77777777" w:rsidR="002A65CA" w:rsidRDefault="002A65CA" w:rsidP="002C0A7C">
      <w:pPr>
        <w:spacing w:after="0"/>
      </w:pPr>
    </w:p>
    <w:p w14:paraId="5F4FF3B4" w14:textId="36BD4813" w:rsidR="002C0A7C" w:rsidRDefault="002C0A7C" w:rsidP="002C0A7C">
      <w:pPr>
        <w:spacing w:after="0"/>
      </w:pPr>
      <w:r>
        <w:t>18. Line 156: How is the average diameter determined? Please add details about microscopy/imaging.</w:t>
      </w:r>
    </w:p>
    <w:p w14:paraId="1682D19A" w14:textId="321CA63A" w:rsidR="00AB6015" w:rsidRPr="000A5C65" w:rsidRDefault="00AB6015" w:rsidP="002C0A7C">
      <w:pPr>
        <w:spacing w:after="0"/>
        <w:rPr>
          <w:i/>
          <w:iCs/>
        </w:rPr>
      </w:pPr>
      <w:r>
        <w:tab/>
      </w:r>
      <w:bookmarkStart w:id="13" w:name="_Hlk61690023"/>
      <w:r w:rsidRPr="000A5C65">
        <w:rPr>
          <w:i/>
          <w:iCs/>
          <w:color w:val="0070C0"/>
        </w:rPr>
        <w:t>The average diameter is determined using an optical microscope in correspondence with a calibration slide with known distances, necessary to convert pixels to distance.</w:t>
      </w:r>
      <w:r w:rsidR="0093469C" w:rsidRPr="000A5C65">
        <w:rPr>
          <w:i/>
          <w:iCs/>
          <w:color w:val="0070C0"/>
        </w:rPr>
        <w:t xml:space="preserve"> We have included a brief explanation of this process within the protocol.</w:t>
      </w:r>
      <w:bookmarkEnd w:id="13"/>
    </w:p>
    <w:p w14:paraId="7A441B64" w14:textId="0A21F347" w:rsidR="00AB6015" w:rsidRDefault="00063EA3" w:rsidP="002C0A7C">
      <w:pPr>
        <w:spacing w:after="0"/>
      </w:pPr>
      <w:r>
        <w:t>“</w:t>
      </w:r>
      <w:r w:rsidR="00CE3F78" w:rsidRPr="00CE3F78">
        <w:rPr>
          <w:color w:val="FF0000"/>
        </w:rPr>
        <w:t>Calculate individual particle diameter by measuring the diameters in pixels and converting to microns. Conversion of pixels to microns may be calculated using the hemocytometer (or equivalent) as a calibration slide and measuring the known grid distance in pixels.</w:t>
      </w:r>
      <w:r>
        <w:t>”</w:t>
      </w:r>
    </w:p>
    <w:p w14:paraId="442D8359" w14:textId="77777777" w:rsidR="00063EA3" w:rsidRDefault="00063EA3" w:rsidP="002C0A7C">
      <w:pPr>
        <w:spacing w:after="0"/>
      </w:pPr>
    </w:p>
    <w:p w14:paraId="194530A3" w14:textId="1021CC2D" w:rsidR="002C0A7C" w:rsidRDefault="002C0A7C" w:rsidP="002C0A7C">
      <w:pPr>
        <w:spacing w:after="0"/>
      </w:pPr>
      <w:r>
        <w:t>19. JoVE cannot publish manuscripts containing commercial language. This includes trademark symbols (™), registered symbols (®), and company names before an instrument or reagent. Please remove all commercial language from your manuscript and use generic terms instead (E.g. Line 158: “Platinum Multiplex Master Mix” can be replaced by “PCR master mix”).</w:t>
      </w:r>
    </w:p>
    <w:p w14:paraId="7BA28A4C" w14:textId="332641F7" w:rsidR="0093469C" w:rsidRPr="000A5C65" w:rsidRDefault="0093469C" w:rsidP="002C0A7C">
      <w:pPr>
        <w:spacing w:after="0"/>
        <w:rPr>
          <w:i/>
          <w:iCs/>
        </w:rPr>
      </w:pPr>
      <w:r>
        <w:tab/>
      </w:r>
      <w:bookmarkStart w:id="14" w:name="_Hlk61690032"/>
      <w:r w:rsidRPr="000A5C65">
        <w:rPr>
          <w:i/>
          <w:iCs/>
          <w:color w:val="0070C0"/>
        </w:rPr>
        <w:t>We have proofread the manuscript and replaced the appropriate text with generic terms to avoid commercial language.</w:t>
      </w:r>
      <w:bookmarkEnd w:id="14"/>
      <w:r w:rsidR="00CE3F78">
        <w:rPr>
          <w:i/>
          <w:iCs/>
          <w:color w:val="0070C0"/>
        </w:rPr>
        <w:t xml:space="preserve"> We have noted any conflicts with editorial/reviewer comments within our response to reveiwers.</w:t>
      </w:r>
    </w:p>
    <w:p w14:paraId="1BAA3DC2" w14:textId="77777777" w:rsidR="0093469C" w:rsidRDefault="0093469C" w:rsidP="002C0A7C">
      <w:pPr>
        <w:spacing w:after="0"/>
      </w:pPr>
    </w:p>
    <w:p w14:paraId="0E679471" w14:textId="43A72053" w:rsidR="002C0A7C" w:rsidRDefault="002C0A7C" w:rsidP="002C0A7C">
      <w:pPr>
        <w:spacing w:after="0"/>
      </w:pPr>
      <w:r>
        <w:t>20. Line 159: What is the disperse phase prepared in?</w:t>
      </w:r>
    </w:p>
    <w:p w14:paraId="7D8FE20C" w14:textId="4640B2E0" w:rsidR="0093469C" w:rsidRPr="000A5C65" w:rsidRDefault="0093469C" w:rsidP="002C0A7C">
      <w:pPr>
        <w:spacing w:after="0"/>
        <w:rPr>
          <w:i/>
          <w:iCs/>
        </w:rPr>
      </w:pPr>
      <w:r>
        <w:tab/>
      </w:r>
      <w:bookmarkStart w:id="15" w:name="_Hlk61690043"/>
      <w:r w:rsidRPr="000A5C65">
        <w:rPr>
          <w:i/>
          <w:iCs/>
          <w:color w:val="0070C0"/>
        </w:rPr>
        <w:t>We have clarified that the disperse phase is prepared in a fresh 1.5 mL microcentrifuge tube.</w:t>
      </w:r>
      <w:bookmarkEnd w:id="15"/>
    </w:p>
    <w:p w14:paraId="3B1B277F" w14:textId="5C1EAF6F" w:rsidR="0093469C" w:rsidRDefault="00063EA3" w:rsidP="002C0A7C">
      <w:pPr>
        <w:spacing w:after="0"/>
      </w:pPr>
      <w:r>
        <w:t>“</w:t>
      </w:r>
      <w:r w:rsidRPr="00C26D5E">
        <w:rPr>
          <w:bCs/>
        </w:rPr>
        <w:t xml:space="preserve">prepare the disperse phase </w:t>
      </w:r>
      <w:r w:rsidRPr="00B641FF">
        <w:rPr>
          <w:bCs/>
          <w:color w:val="FF0000"/>
        </w:rPr>
        <w:t xml:space="preserve">in a fresh 1.5 mL microcentrifuge tube </w:t>
      </w:r>
      <w:r w:rsidRPr="00C26D5E">
        <w:rPr>
          <w:bCs/>
        </w:rPr>
        <w:t>according to:</w:t>
      </w:r>
      <w:r>
        <w:t>”</w:t>
      </w:r>
    </w:p>
    <w:p w14:paraId="01916B56" w14:textId="77777777" w:rsidR="00063EA3" w:rsidRDefault="00063EA3" w:rsidP="002C0A7C">
      <w:pPr>
        <w:spacing w:after="0"/>
      </w:pPr>
    </w:p>
    <w:p w14:paraId="36B66182" w14:textId="1BC71119" w:rsidR="002C0A7C" w:rsidRDefault="002C0A7C" w:rsidP="002C0A7C">
      <w:pPr>
        <w:spacing w:after="0"/>
      </w:pPr>
      <w:r>
        <w:t>21. Line 169: Incubation temperature? Agitation speed? Instrument/method used for agitation?</w:t>
      </w:r>
    </w:p>
    <w:p w14:paraId="3EE7BD61" w14:textId="68BAA1BE" w:rsidR="0093469C" w:rsidRPr="000A5C65" w:rsidRDefault="0093469C" w:rsidP="002C0A7C">
      <w:pPr>
        <w:spacing w:after="0"/>
        <w:rPr>
          <w:i/>
          <w:iCs/>
        </w:rPr>
      </w:pPr>
      <w:r>
        <w:tab/>
      </w:r>
      <w:bookmarkStart w:id="16" w:name="_Hlk61690052"/>
      <w:r w:rsidRPr="000A5C65">
        <w:rPr>
          <w:i/>
          <w:iCs/>
          <w:color w:val="0070C0"/>
        </w:rPr>
        <w:t xml:space="preserve">We have identified the incubation temperature as room temperature and the agitation speed as </w:t>
      </w:r>
      <w:r w:rsidR="00B921A2">
        <w:rPr>
          <w:i/>
          <w:iCs/>
          <w:color w:val="0070C0"/>
        </w:rPr>
        <w:t>10</w:t>
      </w:r>
      <w:r w:rsidRPr="000A5C65">
        <w:rPr>
          <w:i/>
          <w:iCs/>
          <w:color w:val="0070C0"/>
        </w:rPr>
        <w:t xml:space="preserve"> rpm</w:t>
      </w:r>
      <w:r w:rsidR="00B921A2">
        <w:rPr>
          <w:i/>
          <w:iCs/>
          <w:color w:val="0070C0"/>
        </w:rPr>
        <w:t xml:space="preserve"> using</w:t>
      </w:r>
      <w:r w:rsidRPr="000A5C65">
        <w:rPr>
          <w:i/>
          <w:iCs/>
          <w:color w:val="0070C0"/>
        </w:rPr>
        <w:t xml:space="preserve"> a tube rotator. The protocol has been updated accordingly.</w:t>
      </w:r>
      <w:bookmarkEnd w:id="16"/>
    </w:p>
    <w:p w14:paraId="3FEE742E" w14:textId="4395A7BA" w:rsidR="0093469C" w:rsidRPr="00063EA3" w:rsidRDefault="00063EA3" w:rsidP="00063EA3">
      <w:pPr>
        <w:rPr>
          <w:bCs/>
        </w:rPr>
      </w:pPr>
      <w:r>
        <w:t>“</w:t>
      </w:r>
      <w:r w:rsidR="00B921A2" w:rsidRPr="00B921A2">
        <w:rPr>
          <w:color w:val="FF0000"/>
        </w:rPr>
        <w:t>Incubate the disperse phase at room temperature for 5 min under gentle agitation (10 rpm) using a tube rotator</w:t>
      </w:r>
      <w:r w:rsidR="00B921A2" w:rsidRPr="00B921A2">
        <w:t xml:space="preserve"> to ensure homogenous distribution of the components.</w:t>
      </w:r>
      <w:r>
        <w:t>”</w:t>
      </w:r>
    </w:p>
    <w:p w14:paraId="2039601D" w14:textId="77777777" w:rsidR="00063EA3" w:rsidRDefault="00063EA3" w:rsidP="002C0A7C">
      <w:pPr>
        <w:spacing w:after="0"/>
      </w:pPr>
    </w:p>
    <w:p w14:paraId="0DC78362" w14:textId="42D15492" w:rsidR="002C0A7C" w:rsidRDefault="002C0A7C" w:rsidP="002C0A7C">
      <w:pPr>
        <w:spacing w:after="0"/>
      </w:pPr>
      <w:r>
        <w:t>22. Line 174: “..pellet from 2.5..” instead of “..pellet from 2.4..”? Please check.</w:t>
      </w:r>
    </w:p>
    <w:p w14:paraId="73A64D56" w14:textId="74E457EA" w:rsidR="0093469C" w:rsidRPr="000A5C65" w:rsidRDefault="0093469C" w:rsidP="002C0A7C">
      <w:pPr>
        <w:spacing w:after="0"/>
        <w:rPr>
          <w:i/>
          <w:iCs/>
        </w:rPr>
      </w:pPr>
      <w:r>
        <w:tab/>
      </w:r>
      <w:bookmarkStart w:id="17" w:name="_Hlk61690144"/>
      <w:r w:rsidRPr="000A5C65">
        <w:rPr>
          <w:i/>
          <w:iCs/>
          <w:color w:val="0070C0"/>
        </w:rPr>
        <w:t>We have checked and clarified that the pellet is from step 2.5, not 2.4.</w:t>
      </w:r>
      <w:bookmarkEnd w:id="17"/>
    </w:p>
    <w:p w14:paraId="770D9C9F" w14:textId="5989323B" w:rsidR="0093469C" w:rsidRDefault="00063EA3" w:rsidP="002C0A7C">
      <w:pPr>
        <w:spacing w:after="0"/>
      </w:pPr>
      <w:r w:rsidRPr="00B921A2">
        <w:t xml:space="preserve">“… </w:t>
      </w:r>
      <w:r w:rsidRPr="00B921A2">
        <w:rPr>
          <w:bCs/>
        </w:rPr>
        <w:t>pellet from 2.</w:t>
      </w:r>
      <w:r w:rsidRPr="00B921A2">
        <w:rPr>
          <w:bCs/>
          <w:color w:val="FF0000"/>
        </w:rPr>
        <w:t>5</w:t>
      </w:r>
      <w:r w:rsidRPr="00B921A2">
        <w:rPr>
          <w:bCs/>
        </w:rPr>
        <w:t xml:space="preserve"> and mix thoroughly via pipetting …</w:t>
      </w:r>
      <w:r w:rsidRPr="00B921A2">
        <w:t>”</w:t>
      </w:r>
    </w:p>
    <w:p w14:paraId="6E338646" w14:textId="77777777" w:rsidR="00063EA3" w:rsidRDefault="00063EA3" w:rsidP="002C0A7C">
      <w:pPr>
        <w:spacing w:after="0"/>
      </w:pPr>
    </w:p>
    <w:p w14:paraId="3A080132" w14:textId="05ADD4B0" w:rsidR="002C0A7C" w:rsidRDefault="002C0A7C" w:rsidP="002C0A7C">
      <w:pPr>
        <w:spacing w:after="0"/>
      </w:pPr>
      <w:r>
        <w:lastRenderedPageBreak/>
        <w:t>23. Line 175: “..excess aqueous content/phase..” instead of “..excess aqueous..”.</w:t>
      </w:r>
    </w:p>
    <w:p w14:paraId="78C52366" w14:textId="17B2A170" w:rsidR="0093469C" w:rsidRPr="000A5C65" w:rsidRDefault="0093469C" w:rsidP="002C0A7C">
      <w:pPr>
        <w:spacing w:after="0"/>
        <w:rPr>
          <w:i/>
          <w:iCs/>
        </w:rPr>
      </w:pPr>
      <w:r>
        <w:tab/>
      </w:r>
      <w:r w:rsidRPr="000A5C65">
        <w:rPr>
          <w:i/>
          <w:iCs/>
          <w:color w:val="0070C0"/>
        </w:rPr>
        <w:t>We have updated the protocol to aqueous content instead of just aqueous.</w:t>
      </w:r>
    </w:p>
    <w:p w14:paraId="3AE7F139" w14:textId="58D3518C" w:rsidR="0093469C" w:rsidRDefault="00B921A2" w:rsidP="002C0A7C">
      <w:pPr>
        <w:spacing w:after="0"/>
      </w:pPr>
      <w:r>
        <w:t>“</w:t>
      </w:r>
      <w:r w:rsidRPr="00B921A2">
        <w:t xml:space="preserve">The presence of excess aqueous </w:t>
      </w:r>
      <w:r w:rsidRPr="00B921A2">
        <w:rPr>
          <w:color w:val="FF0000"/>
        </w:rPr>
        <w:t xml:space="preserve">content </w:t>
      </w:r>
      <w:r w:rsidRPr="00B921A2">
        <w:t>can decrease encapsulation efficiency.</w:t>
      </w:r>
      <w:r>
        <w:t>”</w:t>
      </w:r>
    </w:p>
    <w:p w14:paraId="19F55950" w14:textId="77777777" w:rsidR="00B921A2" w:rsidRDefault="00B921A2" w:rsidP="002C0A7C">
      <w:pPr>
        <w:spacing w:after="0"/>
      </w:pPr>
    </w:p>
    <w:p w14:paraId="6022B6A6" w14:textId="6E17064C" w:rsidR="002C0A7C" w:rsidRDefault="002C0A7C" w:rsidP="002C0A7C">
      <w:pPr>
        <w:spacing w:after="0"/>
      </w:pPr>
      <w:r>
        <w:t>24. Line 203-205: Please provide details about fluorescent imaging (instruments used, wavelengths etc.). Also add these details in the table of materials.</w:t>
      </w:r>
    </w:p>
    <w:p w14:paraId="045994AA" w14:textId="2EBC66BB" w:rsidR="00535D0B" w:rsidRPr="000A5C65" w:rsidRDefault="00535D0B" w:rsidP="008A588C">
      <w:pPr>
        <w:spacing w:after="0"/>
        <w:rPr>
          <w:i/>
          <w:iCs/>
        </w:rPr>
      </w:pPr>
      <w:r>
        <w:tab/>
      </w:r>
      <w:r w:rsidR="00B921A2">
        <w:rPr>
          <w:i/>
          <w:iCs/>
          <w:color w:val="0070C0"/>
        </w:rPr>
        <w:t>We use an EVOS FL Auto Imaging System, because the instrument name includes commercial language we have defaulted to a generic fluorescent microscope as suggested (Editorial comment 19).</w:t>
      </w:r>
      <w:r w:rsidR="008A588C">
        <w:rPr>
          <w:i/>
          <w:iCs/>
          <w:color w:val="0070C0"/>
        </w:rPr>
        <w:t xml:space="preserve"> We have included the appropriate excitation and emission for fluorescent imaging.</w:t>
      </w:r>
    </w:p>
    <w:p w14:paraId="0EC5D316" w14:textId="0A687EB2" w:rsidR="00535D0B" w:rsidRDefault="008A588C" w:rsidP="008A588C">
      <w:r>
        <w:t>“</w:t>
      </w:r>
      <w:r w:rsidRPr="008A588C">
        <w:rPr>
          <w:bCs/>
          <w:color w:val="FF0000"/>
        </w:rPr>
        <w:t>Image the sample using a fluorescent microscope with 490 nm excitation and 525</w:t>
      </w:r>
      <w:r>
        <w:rPr>
          <w:bCs/>
          <w:color w:val="FF0000"/>
        </w:rPr>
        <w:t xml:space="preserve"> nm</w:t>
      </w:r>
      <w:r w:rsidRPr="008A588C">
        <w:rPr>
          <w:bCs/>
          <w:color w:val="FF0000"/>
        </w:rPr>
        <w:t xml:space="preserve"> emission detection.</w:t>
      </w:r>
      <w:r>
        <w:t>”</w:t>
      </w:r>
    </w:p>
    <w:p w14:paraId="6CDEDC08" w14:textId="77777777" w:rsidR="008A588C" w:rsidRDefault="008A588C" w:rsidP="002C0A7C">
      <w:pPr>
        <w:spacing w:after="0"/>
      </w:pPr>
    </w:p>
    <w:p w14:paraId="2EC5F631" w14:textId="563FB394" w:rsidR="002C0A7C" w:rsidRDefault="002C0A7C" w:rsidP="002C0A7C">
      <w:pPr>
        <w:spacing w:after="0"/>
      </w:pPr>
      <w:r>
        <w:t>25. Please include the details from Step 1 (preparation of the particles, fabrication of the device) in the highlighted part that identifies the essential steps of the protocol for the video, i.e., the steps that should be visualized to tell the most cohesive story of the Protocol.</w:t>
      </w:r>
    </w:p>
    <w:p w14:paraId="64D924A2" w14:textId="0036ABAD" w:rsidR="00535D0B" w:rsidRPr="000A5C65" w:rsidRDefault="00535D0B" w:rsidP="002C0A7C">
      <w:pPr>
        <w:spacing w:after="0"/>
        <w:rPr>
          <w:i/>
          <w:iCs/>
        </w:rPr>
      </w:pPr>
      <w:r>
        <w:tab/>
      </w:r>
      <w:r w:rsidRPr="000A5C65">
        <w:rPr>
          <w:i/>
          <w:iCs/>
          <w:color w:val="0070C0"/>
        </w:rPr>
        <w:t xml:space="preserve">We have highlighted additional portions of the protocol that details the preparation </w:t>
      </w:r>
      <w:r w:rsidR="008A588C">
        <w:rPr>
          <w:i/>
          <w:iCs/>
          <w:color w:val="0070C0"/>
        </w:rPr>
        <w:t xml:space="preserve">of </w:t>
      </w:r>
      <w:r w:rsidRPr="000A5C65">
        <w:rPr>
          <w:i/>
          <w:iCs/>
          <w:color w:val="0070C0"/>
        </w:rPr>
        <w:t>the microfluidic device and templating particle fabrication.</w:t>
      </w:r>
    </w:p>
    <w:p w14:paraId="5E14FED6" w14:textId="77777777" w:rsidR="00535D0B" w:rsidRDefault="00535D0B" w:rsidP="002C0A7C">
      <w:pPr>
        <w:spacing w:after="0"/>
      </w:pPr>
    </w:p>
    <w:p w14:paraId="7B828140" w14:textId="66812FC8" w:rsidR="002C0A7C" w:rsidRDefault="002C0A7C" w:rsidP="002C0A7C">
      <w:pPr>
        <w:spacing w:after="0"/>
      </w:pPr>
      <w:r>
        <w:t>26. Please consider providing reaction set-ups and solution compositions as Tables in separate .xls or .xlsx files uploaded to your Editorial Manager account. These tables can then be referenced in the protocol text.</w:t>
      </w:r>
    </w:p>
    <w:p w14:paraId="5DEFFDC8" w14:textId="14B29EB5" w:rsidR="002C0A7C" w:rsidRDefault="00535D0B" w:rsidP="002C0A7C">
      <w:pPr>
        <w:spacing w:after="0"/>
      </w:pPr>
      <w:r>
        <w:tab/>
      </w:r>
      <w:r w:rsidRPr="000A5C65">
        <w:rPr>
          <w:i/>
          <w:iCs/>
          <w:color w:val="0070C0"/>
        </w:rPr>
        <w:t>As suggested, we have converted the Tables to separate .xlsx files and uploaded them within the Editorial Manager.</w:t>
      </w:r>
    </w:p>
    <w:p w14:paraId="5AE7C29D" w14:textId="77777777" w:rsidR="002C0A7C" w:rsidRDefault="002C0A7C" w:rsidP="002C0A7C">
      <w:pPr>
        <w:spacing w:after="0"/>
      </w:pPr>
    </w:p>
    <w:p w14:paraId="0821DC87" w14:textId="77777777" w:rsidR="002C0A7C" w:rsidRDefault="002C0A7C" w:rsidP="002C0A7C">
      <w:pPr>
        <w:spacing w:after="0"/>
      </w:pPr>
      <w:r>
        <w:t>____________________________________</w:t>
      </w:r>
    </w:p>
    <w:p w14:paraId="1615D234" w14:textId="77777777" w:rsidR="002C0A7C" w:rsidRDefault="002C0A7C" w:rsidP="002C0A7C">
      <w:pPr>
        <w:spacing w:after="0"/>
      </w:pPr>
      <w:r>
        <w:t>Reviewers' comments:</w:t>
      </w:r>
    </w:p>
    <w:p w14:paraId="5E2DE058" w14:textId="77777777" w:rsidR="002C0A7C" w:rsidRDefault="002C0A7C" w:rsidP="002C0A7C">
      <w:pPr>
        <w:spacing w:after="0"/>
      </w:pPr>
      <w:r>
        <w:t>Reviewer #1:</w:t>
      </w:r>
    </w:p>
    <w:p w14:paraId="21046670" w14:textId="77777777" w:rsidR="002C0A7C" w:rsidRDefault="002C0A7C" w:rsidP="002C0A7C">
      <w:pPr>
        <w:spacing w:after="0"/>
      </w:pPr>
      <w:r>
        <w:t>Manuscript Summary:</w:t>
      </w:r>
    </w:p>
    <w:p w14:paraId="40DAA1B1" w14:textId="5EA150E6" w:rsidR="002C0A7C" w:rsidRDefault="002C0A7C" w:rsidP="002C0A7C">
      <w:pPr>
        <w:spacing w:after="0"/>
      </w:pPr>
      <w:r>
        <w:t>The paper entitled "Particle templated emulsification enables microfluidic free droplet assays" is very interesting and significant to lower the access barrier to droplet-based digital PCR. However, the paper lacks some specifics to be truly reproducible by a non-expert. In addition, the paper lacks of a method to analyze fully the dPCR results. Also, it does not discuss the limitations of using commercially available particles due to their non-uniformity on the results of dPCR.</w:t>
      </w:r>
    </w:p>
    <w:p w14:paraId="6DA967D6" w14:textId="571D98AB" w:rsidR="006E7ED4" w:rsidRPr="006E7ED4" w:rsidRDefault="006E7ED4" w:rsidP="002C0A7C">
      <w:pPr>
        <w:spacing w:after="0"/>
        <w:rPr>
          <w:i/>
          <w:iCs/>
          <w:color w:val="0070C0"/>
        </w:rPr>
      </w:pPr>
      <w:r w:rsidRPr="006E7ED4">
        <w:rPr>
          <w:color w:val="0070C0"/>
        </w:rPr>
        <w:tab/>
      </w:r>
      <w:r w:rsidRPr="006E7ED4">
        <w:rPr>
          <w:i/>
          <w:iCs/>
          <w:color w:val="0070C0"/>
        </w:rPr>
        <w:t>We have expanded upon the analysis of the dPCR results, included results from commercially available particles, and also cited previous work (ref 11) that provides additional information on dPCR analysis and commercial limitations.</w:t>
      </w:r>
    </w:p>
    <w:p w14:paraId="1E79D653" w14:textId="77777777" w:rsidR="002C0A7C" w:rsidRDefault="002C0A7C" w:rsidP="002C0A7C">
      <w:pPr>
        <w:spacing w:after="0"/>
      </w:pPr>
    </w:p>
    <w:p w14:paraId="431FEB85" w14:textId="77777777" w:rsidR="002C0A7C" w:rsidRDefault="002C0A7C" w:rsidP="002C0A7C">
      <w:pPr>
        <w:spacing w:after="0"/>
      </w:pPr>
      <w:r>
        <w:t>Specific remarks:</w:t>
      </w:r>
    </w:p>
    <w:p w14:paraId="3A9B1E17" w14:textId="16381893" w:rsidR="002C0A7C" w:rsidRDefault="002C0A7C" w:rsidP="002C0A7C">
      <w:pPr>
        <w:spacing w:after="0"/>
      </w:pPr>
      <w:r>
        <w:t>- Figure 1 does not show when the sample is added, panel A only describes the PCR mix</w:t>
      </w:r>
    </w:p>
    <w:p w14:paraId="011374AE" w14:textId="02788148" w:rsidR="00E95A7B" w:rsidRPr="000A5C65" w:rsidRDefault="00535D0B" w:rsidP="00535D0B">
      <w:pPr>
        <w:spacing w:after="0"/>
        <w:ind w:firstLine="720"/>
        <w:rPr>
          <w:i/>
          <w:iCs/>
          <w:color w:val="0070C0"/>
        </w:rPr>
      </w:pPr>
      <w:r w:rsidRPr="000A5C65">
        <w:rPr>
          <w:i/>
          <w:iCs/>
          <w:color w:val="0070C0"/>
        </w:rPr>
        <w:t>W</w:t>
      </w:r>
      <w:r w:rsidR="00E95A7B" w:rsidRPr="000A5C65">
        <w:rPr>
          <w:i/>
          <w:iCs/>
          <w:color w:val="0070C0"/>
        </w:rPr>
        <w:t>e have updated Figure 1 to include where/when the sample is added.</w:t>
      </w:r>
    </w:p>
    <w:p w14:paraId="7B62C9E8" w14:textId="77777777" w:rsidR="00E95A7B" w:rsidRDefault="00E95A7B" w:rsidP="002C0A7C">
      <w:pPr>
        <w:spacing w:after="0"/>
      </w:pPr>
    </w:p>
    <w:p w14:paraId="6BDE2AD9" w14:textId="1097E482" w:rsidR="002C0A7C" w:rsidRDefault="002C0A7C" w:rsidP="002C0A7C">
      <w:pPr>
        <w:spacing w:after="0"/>
      </w:pPr>
      <w:r>
        <w:t>- line 71: the authors should provide the dimensions of the commercially available particles</w:t>
      </w:r>
    </w:p>
    <w:p w14:paraId="2E26131D" w14:textId="6903C2D5" w:rsidR="00E95A7B" w:rsidRPr="000A5C65" w:rsidRDefault="00E95A7B" w:rsidP="002C0A7C">
      <w:pPr>
        <w:spacing w:after="0"/>
        <w:rPr>
          <w:i/>
          <w:iCs/>
          <w:color w:val="0070C0"/>
        </w:rPr>
      </w:pPr>
      <w:r w:rsidRPr="00E95A7B">
        <w:rPr>
          <w:i/>
          <w:iCs/>
          <w:color w:val="FF0000"/>
        </w:rPr>
        <w:tab/>
      </w:r>
      <w:r w:rsidRPr="000A5C65">
        <w:rPr>
          <w:i/>
          <w:iCs/>
          <w:color w:val="0070C0"/>
        </w:rPr>
        <w:t>We have updated the text to include dimensions of the commercially available particles.</w:t>
      </w:r>
    </w:p>
    <w:p w14:paraId="00342643" w14:textId="2E3D6066" w:rsidR="00E95A7B" w:rsidRDefault="00E95A7B" w:rsidP="002C0A7C">
      <w:pPr>
        <w:spacing w:after="0"/>
      </w:pPr>
      <w:r>
        <w:lastRenderedPageBreak/>
        <w:t>“</w:t>
      </w:r>
      <w:r w:rsidR="00D70A2C" w:rsidRPr="00D70A2C">
        <w:t>Commercially available polyacrylamide particles compatible with particle templated emulsification include Bio-Gel P-60 Gel (Bio-Rad)</w:t>
      </w:r>
      <w:r w:rsidR="00D70A2C" w:rsidRPr="00D70A2C">
        <w:rPr>
          <w:color w:val="FF0000"/>
        </w:rPr>
        <w:t>, 45-90 µm diameter</w:t>
      </w:r>
      <w:r w:rsidR="00D70A2C" w:rsidRPr="00D70A2C">
        <w:t>.</w:t>
      </w:r>
      <w:r w:rsidR="00D70A2C">
        <w:t>”</w:t>
      </w:r>
    </w:p>
    <w:p w14:paraId="110396E7" w14:textId="77777777" w:rsidR="00E95A7B" w:rsidRDefault="00E95A7B" w:rsidP="002C0A7C">
      <w:pPr>
        <w:spacing w:after="0"/>
      </w:pPr>
    </w:p>
    <w:p w14:paraId="451EC683" w14:textId="5F5F628C" w:rsidR="002C0A7C" w:rsidRDefault="002C0A7C" w:rsidP="002C0A7C">
      <w:pPr>
        <w:spacing w:after="0"/>
      </w:pPr>
      <w:r>
        <w:t>- line 117: what is the fluorinated surface treatment specifically?</w:t>
      </w:r>
    </w:p>
    <w:p w14:paraId="6954852D" w14:textId="21B91F85" w:rsidR="00E95A7B" w:rsidRPr="00AD0F9F" w:rsidRDefault="00E95A7B" w:rsidP="002C0A7C">
      <w:pPr>
        <w:spacing w:after="0"/>
        <w:rPr>
          <w:i/>
          <w:iCs/>
        </w:rPr>
      </w:pPr>
      <w:r w:rsidRPr="00AD0F9F">
        <w:rPr>
          <w:i/>
          <w:iCs/>
        </w:rPr>
        <w:tab/>
      </w:r>
      <w:bookmarkStart w:id="18" w:name="_Hlk61689490"/>
      <w:r w:rsidR="00AD0F9F" w:rsidRPr="000A5C65">
        <w:rPr>
          <w:i/>
          <w:iCs/>
          <w:color w:val="0070C0"/>
        </w:rPr>
        <w:t xml:space="preserve">The fluorinated surface treatment used to treat our devices is Aquapel. </w:t>
      </w:r>
      <w:r w:rsidR="00D70A2C">
        <w:rPr>
          <w:i/>
          <w:iCs/>
          <w:color w:val="0070C0"/>
        </w:rPr>
        <w:t>As requested (Editorial comments 18), we have avoided directly identifying the fluorinated surface treatment as Aquapel since it includes unpublishable commercial language.</w:t>
      </w:r>
      <w:bookmarkEnd w:id="18"/>
      <w:r w:rsidR="00D70A2C">
        <w:rPr>
          <w:i/>
          <w:iCs/>
          <w:color w:val="0070C0"/>
        </w:rPr>
        <w:t xml:space="preserve"> We have clarified within the materials list Aquapel as the fluorinated surface treatment.</w:t>
      </w:r>
    </w:p>
    <w:p w14:paraId="0140EC98" w14:textId="259716C6" w:rsidR="00AD0F9F" w:rsidRPr="00AD0F9F" w:rsidRDefault="00AD0F9F" w:rsidP="002C0A7C">
      <w:pPr>
        <w:spacing w:after="0"/>
      </w:pPr>
      <w:r w:rsidRPr="00AD0F9F">
        <w:t>“</w:t>
      </w:r>
      <w:r w:rsidR="00D70A2C" w:rsidRPr="00D70A2C">
        <w:t>Treat all microfluidic channels with a fluorinated surface treatment to ensure surface hydrophobicity and prevent wetting.</w:t>
      </w:r>
      <w:r w:rsidRPr="00AD0F9F">
        <w:t>”</w:t>
      </w:r>
    </w:p>
    <w:p w14:paraId="3171F7DB" w14:textId="77777777" w:rsidR="00AD0F9F" w:rsidRDefault="00AD0F9F" w:rsidP="002C0A7C">
      <w:pPr>
        <w:spacing w:after="0"/>
      </w:pPr>
    </w:p>
    <w:p w14:paraId="48B256D9" w14:textId="1FCF5CC3" w:rsidR="002C0A7C" w:rsidRDefault="002C0A7C" w:rsidP="002C0A7C">
      <w:pPr>
        <w:spacing w:after="0"/>
      </w:pPr>
      <w:r>
        <w:t>- line 125: what is deprotonated Krytox 157 FSH specifically?</w:t>
      </w:r>
    </w:p>
    <w:p w14:paraId="3CC22F41" w14:textId="746EFE50" w:rsidR="00A23AA6" w:rsidRDefault="00AD0F9F" w:rsidP="002C0A7C">
      <w:pPr>
        <w:spacing w:after="0"/>
        <w:rPr>
          <w:i/>
          <w:iCs/>
          <w:color w:val="0070C0"/>
        </w:rPr>
      </w:pPr>
      <w:r>
        <w:tab/>
      </w:r>
      <w:r w:rsidRPr="000A5C65">
        <w:rPr>
          <w:i/>
          <w:iCs/>
          <w:color w:val="0070C0"/>
        </w:rPr>
        <w:t xml:space="preserve">Krytox (157 FSH) is an ionic surfactant used in forming droplets. The surfactant is necessary for stabilizing drops produced either microfluidically or using particle templated emulsification. Specifically, the Krytox surfactant consists of a </w:t>
      </w:r>
      <w:r w:rsidR="00371130" w:rsidRPr="000A5C65">
        <w:rPr>
          <w:i/>
          <w:iCs/>
          <w:color w:val="0070C0"/>
        </w:rPr>
        <w:t>functionalized carboxylic acid group at the terminal fluoromethylene group of poly(hexafluoropropylene oxide).</w:t>
      </w:r>
      <w:r w:rsidR="00D70A2C">
        <w:rPr>
          <w:i/>
          <w:iCs/>
          <w:color w:val="0070C0"/>
        </w:rPr>
        <w:t xml:space="preserve"> </w:t>
      </w:r>
    </w:p>
    <w:p w14:paraId="71267037" w14:textId="3B1F1274" w:rsidR="00AD0F9F" w:rsidRPr="00AD0F9F" w:rsidRDefault="0039736B" w:rsidP="0039736B">
      <w:pPr>
        <w:spacing w:after="0"/>
        <w:rPr>
          <w:i/>
          <w:iCs/>
        </w:rPr>
      </w:pPr>
      <w:r>
        <w:rPr>
          <w:i/>
          <w:iCs/>
          <w:color w:val="0070C0"/>
        </w:rPr>
        <w:t>However numerous alternative surfactants can be used within this protocol. We have updated the protocol to use only one surfactant along with a  brief explanation of the role in droplet formation.</w:t>
      </w:r>
      <w:r w:rsidR="00D70A2C">
        <w:rPr>
          <w:i/>
          <w:iCs/>
          <w:color w:val="0070C0"/>
        </w:rPr>
        <w:t xml:space="preserve"> </w:t>
      </w:r>
    </w:p>
    <w:p w14:paraId="5F50A4AB" w14:textId="0960CFE4" w:rsidR="00AD0F9F" w:rsidRPr="00A23AA6" w:rsidRDefault="00A23AA6" w:rsidP="002C0A7C">
      <w:pPr>
        <w:spacing w:after="0"/>
      </w:pPr>
      <w:r>
        <w:t>“</w:t>
      </w:r>
      <w:bookmarkStart w:id="19" w:name="_Hlk61599833"/>
      <w:r w:rsidRPr="001616C7">
        <w:rPr>
          <w:bCs/>
        </w:rPr>
        <w:t xml:space="preserve">Prepare </w:t>
      </w:r>
      <w:r>
        <w:rPr>
          <w:bCs/>
        </w:rPr>
        <w:t xml:space="preserve">an </w:t>
      </w:r>
      <w:r>
        <w:rPr>
          <w:bCs/>
          <w:color w:val="FF0000"/>
        </w:rPr>
        <w:t>in</w:t>
      </w:r>
      <w:r w:rsidRPr="00594736">
        <w:rPr>
          <w:bCs/>
          <w:color w:val="FF0000"/>
        </w:rPr>
        <w:t>soluble</w:t>
      </w:r>
      <w:r w:rsidRPr="00594736">
        <w:rPr>
          <w:bCs/>
        </w:rPr>
        <w:t xml:space="preserve"> continuous phase consisting of 5% (w/w)</w:t>
      </w:r>
      <w:r w:rsidRPr="00594736">
        <w:rPr>
          <w:bCs/>
          <w:color w:val="FF0000"/>
        </w:rPr>
        <w:t xml:space="preserve"> </w:t>
      </w:r>
      <w:bookmarkStart w:id="20" w:name="_Hlk61687320"/>
      <w:r w:rsidR="0039736B" w:rsidRPr="00240EA8">
        <w:rPr>
          <w:color w:val="FF0000"/>
        </w:rPr>
        <w:t xml:space="preserve">008-fluoroSurfactant </w:t>
      </w:r>
      <w:r w:rsidRPr="00594736">
        <w:rPr>
          <w:bCs/>
        </w:rPr>
        <w:t>and</w:t>
      </w:r>
      <w:r w:rsidRPr="00C26D5E">
        <w:rPr>
          <w:bCs/>
        </w:rPr>
        <w:t xml:space="preserve"> 1</w:t>
      </w:r>
      <w:r w:rsidRPr="00A23AA6">
        <w:rPr>
          <w:bCs/>
        </w:rPr>
        <w:t xml:space="preserve">% N,N,NN-Tetramethylethylenedi (TEMED) in hydrofluoroether (HFE) oil </w:t>
      </w:r>
      <w:r w:rsidRPr="00240EA8">
        <w:rPr>
          <w:bCs/>
          <w:color w:val="FF0000"/>
        </w:rPr>
        <w:t>for the generation and stabilization of droplets</w:t>
      </w:r>
      <w:r w:rsidRPr="00A23AA6">
        <w:rPr>
          <w:bCs/>
        </w:rPr>
        <w:t>.</w:t>
      </w:r>
      <w:bookmarkEnd w:id="19"/>
      <w:bookmarkEnd w:id="20"/>
      <w:r w:rsidRPr="00A23AA6">
        <w:t>”</w:t>
      </w:r>
    </w:p>
    <w:p w14:paraId="701328E2" w14:textId="77777777" w:rsidR="00A23AA6" w:rsidRDefault="00A23AA6" w:rsidP="002C0A7C">
      <w:pPr>
        <w:spacing w:after="0"/>
      </w:pPr>
    </w:p>
    <w:p w14:paraId="7CBA92B4" w14:textId="68A58034" w:rsidR="002C0A7C" w:rsidRDefault="002C0A7C" w:rsidP="002C0A7C">
      <w:pPr>
        <w:spacing w:after="0"/>
      </w:pPr>
      <w:r>
        <w:t>- line 130: define the acronym PAA</w:t>
      </w:r>
    </w:p>
    <w:p w14:paraId="30343BCF" w14:textId="110F811D" w:rsidR="00371130" w:rsidRDefault="00371130" w:rsidP="002C0A7C">
      <w:pPr>
        <w:spacing w:after="0"/>
        <w:rPr>
          <w:i/>
          <w:iCs/>
        </w:rPr>
      </w:pPr>
      <w:r>
        <w:tab/>
      </w:r>
      <w:r w:rsidRPr="000A5C65">
        <w:rPr>
          <w:i/>
          <w:iCs/>
          <w:color w:val="0070C0"/>
        </w:rPr>
        <w:t>We have updated the text accordingly to define PAA.</w:t>
      </w:r>
    </w:p>
    <w:p w14:paraId="333E3BAF" w14:textId="6A76F819" w:rsidR="00371130" w:rsidRPr="00371130" w:rsidRDefault="00371130" w:rsidP="002C0A7C">
      <w:pPr>
        <w:spacing w:after="0"/>
      </w:pPr>
      <w:r>
        <w:t>“</w:t>
      </w:r>
      <w:r w:rsidRPr="00371130">
        <w:t xml:space="preserve">Prepare a polyacrylamide </w:t>
      </w:r>
      <w:r w:rsidRPr="00371130">
        <w:rPr>
          <w:color w:val="FF0000"/>
        </w:rPr>
        <w:t>(PAA)</w:t>
      </w:r>
      <w:r w:rsidRPr="00371130">
        <w:t xml:space="preserve"> solution consisting of 6.2% acrylamide, 0.18% N,N′-methylenebis (acrylamide), and 0.3% ammonium persulfate. Load this solution into a 1 mL syringe.</w:t>
      </w:r>
      <w:r>
        <w:t>”</w:t>
      </w:r>
    </w:p>
    <w:p w14:paraId="691FD905" w14:textId="77777777" w:rsidR="00371130" w:rsidRDefault="00371130" w:rsidP="002C0A7C">
      <w:pPr>
        <w:spacing w:after="0"/>
      </w:pPr>
    </w:p>
    <w:p w14:paraId="1C9AF55C" w14:textId="7118BB09" w:rsidR="002C0A7C" w:rsidRDefault="002C0A7C" w:rsidP="002C0A7C">
      <w:pPr>
        <w:spacing w:after="0"/>
      </w:pPr>
      <w:r>
        <w:t>- line 131: what syringe pumps are used? Is a custom script necessary, that sounds over-specific to the system used by the authors</w:t>
      </w:r>
    </w:p>
    <w:p w14:paraId="5CCC2DF2" w14:textId="73A0F33E" w:rsidR="00371130" w:rsidRPr="00C26CF8" w:rsidRDefault="00371130" w:rsidP="002C0A7C">
      <w:pPr>
        <w:spacing w:after="0"/>
        <w:rPr>
          <w:i/>
          <w:iCs/>
          <w:color w:val="FF0000"/>
        </w:rPr>
      </w:pPr>
      <w:r>
        <w:tab/>
      </w:r>
      <w:bookmarkStart w:id="21" w:name="_Hlk61689886"/>
      <w:r w:rsidRPr="000A5C65">
        <w:rPr>
          <w:i/>
          <w:iCs/>
          <w:color w:val="0070C0"/>
        </w:rPr>
        <w:t xml:space="preserve">We use </w:t>
      </w:r>
      <w:r w:rsidR="00AB6015" w:rsidRPr="000A5C65">
        <w:rPr>
          <w:i/>
          <w:iCs/>
          <w:color w:val="0070C0"/>
        </w:rPr>
        <w:t>New Era NE-501</w:t>
      </w:r>
      <w:r w:rsidRPr="000A5C65">
        <w:rPr>
          <w:i/>
          <w:iCs/>
          <w:color w:val="0070C0"/>
        </w:rPr>
        <w:t xml:space="preserve"> syringe pumps in our setup, which we have now identified in the protocol. These pumps are controlled using a PC using a custom script we have made available using GitHub (see link). However, this is not necessary as </w:t>
      </w:r>
      <w:r w:rsidR="00A23AA6">
        <w:rPr>
          <w:i/>
          <w:iCs/>
          <w:color w:val="0070C0"/>
        </w:rPr>
        <w:t xml:space="preserve">many </w:t>
      </w:r>
      <w:r w:rsidRPr="000A5C65">
        <w:rPr>
          <w:i/>
          <w:iCs/>
          <w:color w:val="0070C0"/>
        </w:rPr>
        <w:t>alternative commercially available syringe pumps do not require the use of the script. Within this step we have identified the critical flow rate requirement that must be met</w:t>
      </w:r>
      <w:r w:rsidR="00A23AA6">
        <w:rPr>
          <w:i/>
          <w:iCs/>
          <w:color w:val="0070C0"/>
        </w:rPr>
        <w:t xml:space="preserve"> regardless of the syringe pump</w:t>
      </w:r>
      <w:r w:rsidRPr="000A5C65">
        <w:rPr>
          <w:i/>
          <w:iCs/>
          <w:color w:val="0070C0"/>
        </w:rPr>
        <w:t>.</w:t>
      </w:r>
      <w:bookmarkEnd w:id="21"/>
    </w:p>
    <w:p w14:paraId="40BA8BC0" w14:textId="549CC248" w:rsidR="00371130" w:rsidRDefault="00371130" w:rsidP="002C0A7C">
      <w:pPr>
        <w:spacing w:after="0"/>
      </w:pPr>
      <w:r>
        <w:t>“</w:t>
      </w:r>
      <w:r w:rsidR="00240EA8" w:rsidRPr="00240EA8">
        <w:rPr>
          <w:color w:val="FF0000"/>
        </w:rPr>
        <w:t>Load both PAA and HFE solution containing syringes into NE-501 syringe pumps.</w:t>
      </w:r>
      <w:r>
        <w:t>”</w:t>
      </w:r>
    </w:p>
    <w:p w14:paraId="1CD620EC" w14:textId="5AC4F749" w:rsidR="00240EA8" w:rsidRDefault="00240EA8" w:rsidP="002C0A7C">
      <w:pPr>
        <w:spacing w:after="0"/>
      </w:pPr>
      <w:r>
        <w:t>“</w:t>
      </w:r>
      <w:r w:rsidRPr="00240EA8">
        <w:t xml:space="preserve">Note: Depending on the model, syringe pumps may be controlled with built in input, manufacture software, or </w:t>
      </w:r>
      <w:bookmarkStart w:id="22" w:name="_Hlk61948834"/>
      <w:r>
        <w:t>for NE-501 pumps a</w:t>
      </w:r>
      <w:r w:rsidRPr="00240EA8">
        <w:t xml:space="preserve"> custom </w:t>
      </w:r>
      <w:bookmarkEnd w:id="22"/>
      <w:r w:rsidRPr="00240EA8">
        <w:t>program (available at https://github.com/AbateLab/Pump-Control-Program).</w:t>
      </w:r>
      <w:r>
        <w:t>”</w:t>
      </w:r>
    </w:p>
    <w:p w14:paraId="68F7C13F" w14:textId="77777777" w:rsidR="00371130" w:rsidRPr="00371130" w:rsidRDefault="00371130" w:rsidP="002C0A7C">
      <w:pPr>
        <w:spacing w:after="0"/>
      </w:pPr>
    </w:p>
    <w:p w14:paraId="7FC38889" w14:textId="1708D370" w:rsidR="002C0A7C" w:rsidRDefault="002C0A7C" w:rsidP="002C0A7C">
      <w:pPr>
        <w:spacing w:after="0"/>
      </w:pPr>
      <w:r>
        <w:t>- line 134: when is TEMED introduced and how? There is no mention of TEMED before</w:t>
      </w:r>
    </w:p>
    <w:p w14:paraId="48A4288F" w14:textId="7A1A733B" w:rsidR="00371130" w:rsidRDefault="00C26CF8" w:rsidP="002C0A7C">
      <w:pPr>
        <w:spacing w:after="0"/>
        <w:rPr>
          <w:i/>
          <w:iCs/>
        </w:rPr>
      </w:pPr>
      <w:r>
        <w:rPr>
          <w:i/>
          <w:iCs/>
        </w:rPr>
        <w:tab/>
      </w:r>
      <w:bookmarkStart w:id="23" w:name="_Hlk61689707"/>
      <w:r w:rsidRPr="000A5C65">
        <w:rPr>
          <w:i/>
          <w:iCs/>
          <w:color w:val="0070C0"/>
        </w:rPr>
        <w:t>We have updated the protocol to define TEMED and indicate where it is introduced.</w:t>
      </w:r>
      <w:bookmarkEnd w:id="23"/>
    </w:p>
    <w:p w14:paraId="64CD47F2" w14:textId="0EE99E6D" w:rsidR="00C26CF8" w:rsidRPr="00C26CF8" w:rsidRDefault="00C26CF8" w:rsidP="002C0A7C">
      <w:pPr>
        <w:spacing w:after="0"/>
      </w:pPr>
      <w:r>
        <w:t>“</w:t>
      </w:r>
      <w:r w:rsidR="00240EA8" w:rsidRPr="00240EA8">
        <w:t xml:space="preserve">Prepare an insoluble continuous phase consisting of 5% (w/w) fluorosurfactant and 1% </w:t>
      </w:r>
      <w:r w:rsidR="00240EA8" w:rsidRPr="00240EA8">
        <w:rPr>
          <w:color w:val="FF0000"/>
        </w:rPr>
        <w:t xml:space="preserve">N,N,NN-Tetramethylethylenedi (TEMED) in hydrofluoroether (HFE) oil </w:t>
      </w:r>
      <w:r w:rsidR="00240EA8" w:rsidRPr="00240EA8">
        <w:t>for the generation and stabilization of droplets.</w:t>
      </w:r>
      <w:r w:rsidR="00240EA8">
        <w:t>”</w:t>
      </w:r>
    </w:p>
    <w:p w14:paraId="1ECDF2FB" w14:textId="77777777" w:rsidR="00371130" w:rsidRDefault="00371130" w:rsidP="002C0A7C">
      <w:pPr>
        <w:spacing w:after="0"/>
      </w:pPr>
    </w:p>
    <w:p w14:paraId="0B59DFDE" w14:textId="2D81A148" w:rsidR="002C0A7C" w:rsidRDefault="002C0A7C" w:rsidP="002C0A7C">
      <w:pPr>
        <w:spacing w:after="0"/>
      </w:pPr>
      <w:r>
        <w:t>- line 146: how long could the beads be stored at 4C?</w:t>
      </w:r>
    </w:p>
    <w:p w14:paraId="61151DD9" w14:textId="62A86385" w:rsidR="00C26CF8" w:rsidRDefault="00C26CF8" w:rsidP="002C0A7C">
      <w:pPr>
        <w:spacing w:after="0"/>
      </w:pPr>
      <w:r>
        <w:tab/>
      </w:r>
      <w:bookmarkStart w:id="24" w:name="_Hlk61690000"/>
      <w:r w:rsidRPr="000A5C65">
        <w:rPr>
          <w:i/>
          <w:iCs/>
          <w:color w:val="0070C0"/>
        </w:rPr>
        <w:t>The polyacrylamide beads can be stored indefinitely at 4C. We have updated the protocol to specify this fact.</w:t>
      </w:r>
      <w:r w:rsidRPr="000A5C65">
        <w:rPr>
          <w:color w:val="0070C0"/>
        </w:rPr>
        <w:tab/>
      </w:r>
      <w:bookmarkEnd w:id="24"/>
    </w:p>
    <w:p w14:paraId="661AE175" w14:textId="06EF09D9" w:rsidR="00C26CF8" w:rsidRPr="00C26CF8" w:rsidRDefault="00C26CF8" w:rsidP="002C0A7C">
      <w:pPr>
        <w:spacing w:after="0"/>
      </w:pPr>
      <w:r w:rsidRPr="00C26CF8">
        <w:t xml:space="preserve">“Resuspend in 5 mL TEBST. This solution may be stored at 4°C </w:t>
      </w:r>
      <w:r w:rsidRPr="00C26CF8">
        <w:rPr>
          <w:color w:val="FF0000"/>
        </w:rPr>
        <w:t>indefinitely</w:t>
      </w:r>
      <w:r w:rsidRPr="00C26CF8">
        <w:t>.”</w:t>
      </w:r>
    </w:p>
    <w:p w14:paraId="5905F011" w14:textId="77777777" w:rsidR="00C26CF8" w:rsidRDefault="00C26CF8" w:rsidP="002C0A7C">
      <w:pPr>
        <w:spacing w:after="0"/>
      </w:pPr>
    </w:p>
    <w:p w14:paraId="11EDF0F0" w14:textId="6C9B7193" w:rsidR="002C0A7C" w:rsidRDefault="002C0A7C" w:rsidP="002C0A7C">
      <w:pPr>
        <w:spacing w:after="0"/>
      </w:pPr>
      <w:bookmarkStart w:id="25" w:name="_Hlk61605718"/>
      <w:r>
        <w:t>- line 173: the authors should discuss the importance/impact of the pellet volume, and how that step may affect the results</w:t>
      </w:r>
    </w:p>
    <w:bookmarkEnd w:id="25"/>
    <w:p w14:paraId="63B1B369" w14:textId="7847C0BA" w:rsidR="002D4974" w:rsidRDefault="00CB1C4A" w:rsidP="002C0A7C">
      <w:pPr>
        <w:spacing w:after="0"/>
        <w:rPr>
          <w:i/>
          <w:iCs/>
        </w:rPr>
      </w:pPr>
      <w:r>
        <w:tab/>
      </w:r>
      <w:bookmarkStart w:id="26" w:name="_Hlk61690184"/>
      <w:r w:rsidR="00E31A92" w:rsidRPr="000A5C65">
        <w:rPr>
          <w:i/>
          <w:iCs/>
          <w:color w:val="0070C0"/>
        </w:rPr>
        <w:t xml:space="preserve">One particular strength of particle templated emulsification is </w:t>
      </w:r>
      <w:r w:rsidR="002D3B5C" w:rsidRPr="000A5C65">
        <w:rPr>
          <w:i/>
          <w:iCs/>
          <w:color w:val="0070C0"/>
        </w:rPr>
        <w:t>the</w:t>
      </w:r>
      <w:r w:rsidR="00E31A92" w:rsidRPr="000A5C65">
        <w:rPr>
          <w:i/>
          <w:iCs/>
          <w:color w:val="0070C0"/>
        </w:rPr>
        <w:t xml:space="preserve"> ability to scale</w:t>
      </w:r>
      <w:r w:rsidR="002D3B5C" w:rsidRPr="000A5C65">
        <w:rPr>
          <w:i/>
          <w:iCs/>
          <w:color w:val="0070C0"/>
        </w:rPr>
        <w:t xml:space="preserve"> the reaction</w:t>
      </w:r>
      <w:r w:rsidR="00E31A92" w:rsidRPr="000A5C65">
        <w:rPr>
          <w:i/>
          <w:iCs/>
          <w:color w:val="0070C0"/>
        </w:rPr>
        <w:t>. The reaction described within this protocol targets 100 uL but can be expanded to larger (1 mL) or smaller (10 uL) pellets with the PCR master mix and oil being scaled accordingly. We have expanded on this explanation within the protocol.</w:t>
      </w:r>
      <w:bookmarkEnd w:id="26"/>
    </w:p>
    <w:p w14:paraId="11589A65" w14:textId="6C2581A5" w:rsidR="00E31A92" w:rsidRPr="00E31A92" w:rsidRDefault="00E31A92" w:rsidP="002C0A7C">
      <w:pPr>
        <w:spacing w:after="0"/>
      </w:pPr>
      <w:r>
        <w:t>“</w:t>
      </w:r>
      <w:r w:rsidR="002D3B5C" w:rsidRPr="002D3B5C">
        <w:rPr>
          <w:color w:val="FF0000"/>
        </w:rPr>
        <w:t>NOTE: Particle templated emulsification permits the emulsification of small (10 uL) to large (1 mL) volumes of templating particles. The PCR master mix (step 2.3) and oil (step 2.6) can be scaled according to the target (step 2.3) and measured (step 2.5) volume of the particle pellet respectively.</w:t>
      </w:r>
      <w:r>
        <w:t>”</w:t>
      </w:r>
    </w:p>
    <w:p w14:paraId="5D8B921A" w14:textId="77777777" w:rsidR="00CB1C4A" w:rsidRDefault="00CB1C4A" w:rsidP="002C0A7C">
      <w:pPr>
        <w:spacing w:after="0"/>
      </w:pPr>
    </w:p>
    <w:p w14:paraId="7040DDE2" w14:textId="443F05AB" w:rsidR="002C0A7C" w:rsidRPr="00536CE9" w:rsidRDefault="002C0A7C" w:rsidP="002C0A7C">
      <w:pPr>
        <w:spacing w:after="0"/>
        <w:rPr>
          <w:color w:val="FF0000"/>
        </w:rPr>
      </w:pPr>
      <w:r>
        <w:t xml:space="preserve">- </w:t>
      </w:r>
      <w:bookmarkStart w:id="27" w:name="_Hlk61606399"/>
      <w:r>
        <w:t>line 179: define "weitz", define HFE oil</w:t>
      </w:r>
      <w:bookmarkEnd w:id="27"/>
    </w:p>
    <w:p w14:paraId="40C94D35" w14:textId="67FE2AB5" w:rsidR="003D15F3" w:rsidRPr="000A5C65" w:rsidRDefault="003D15F3" w:rsidP="002C0A7C">
      <w:pPr>
        <w:spacing w:after="0"/>
        <w:rPr>
          <w:i/>
          <w:iCs/>
          <w:color w:val="0070C0"/>
        </w:rPr>
      </w:pPr>
      <w:r w:rsidRPr="000A5C65">
        <w:rPr>
          <w:color w:val="0070C0"/>
        </w:rPr>
        <w:tab/>
      </w:r>
      <w:bookmarkStart w:id="28" w:name="_Hlk61690194"/>
      <w:r w:rsidR="00535D0B" w:rsidRPr="000A5C65">
        <w:rPr>
          <w:color w:val="0070C0"/>
        </w:rPr>
        <w:t>W</w:t>
      </w:r>
      <w:r w:rsidRPr="000A5C65">
        <w:rPr>
          <w:i/>
          <w:iCs/>
          <w:color w:val="0070C0"/>
        </w:rPr>
        <w:t>e have corrected weitz with the product name and defined HFE oil more accurately.</w:t>
      </w:r>
      <w:bookmarkEnd w:id="28"/>
      <w:r w:rsidR="00240EA8">
        <w:rPr>
          <w:i/>
          <w:iCs/>
          <w:color w:val="0070C0"/>
        </w:rPr>
        <w:t xml:space="preserve"> The HFE oil is Novec 7500 Engineering Fluid from 3M</w:t>
      </w:r>
      <w:r w:rsidR="00C66ADF">
        <w:rPr>
          <w:i/>
          <w:iCs/>
          <w:color w:val="0070C0"/>
        </w:rPr>
        <w:t>. As requested, we</w:t>
      </w:r>
      <w:r w:rsidR="00240EA8">
        <w:rPr>
          <w:i/>
          <w:iCs/>
          <w:color w:val="0070C0"/>
        </w:rPr>
        <w:t xml:space="preserve"> have used a generic name to avoid commercial language (Editorial comment 19).</w:t>
      </w:r>
    </w:p>
    <w:p w14:paraId="2D44C5AA" w14:textId="46012BF8" w:rsidR="003D15F3" w:rsidRDefault="003D15F3" w:rsidP="002C0A7C">
      <w:pPr>
        <w:spacing w:after="0"/>
      </w:pPr>
      <w:r w:rsidRPr="00536CE9">
        <w:t>“</w:t>
      </w:r>
      <w:r w:rsidR="00240EA8" w:rsidRPr="00240EA8">
        <w:t xml:space="preserve">Add 200 μL 2% </w:t>
      </w:r>
      <w:r w:rsidR="00240EA8" w:rsidRPr="00240EA8">
        <w:rPr>
          <w:color w:val="FF0000"/>
        </w:rPr>
        <w:t xml:space="preserve">008-fluoroSurfactant </w:t>
      </w:r>
      <w:r w:rsidR="00240EA8" w:rsidRPr="00240EA8">
        <w:t>in HFE oil to the tube as the insoluble continuous phase for emulsification</w:t>
      </w:r>
      <w:r w:rsidR="00536CE9" w:rsidRPr="00536CE9">
        <w:t>.</w:t>
      </w:r>
      <w:r w:rsidRPr="00536CE9">
        <w:t>”</w:t>
      </w:r>
    </w:p>
    <w:p w14:paraId="3600B152" w14:textId="62882A49" w:rsidR="00240EA8" w:rsidRPr="00536CE9" w:rsidRDefault="00240EA8" w:rsidP="002C0A7C">
      <w:pPr>
        <w:spacing w:after="0"/>
      </w:pPr>
      <w:r>
        <w:t>“</w:t>
      </w:r>
      <w:r w:rsidRPr="00240EA8">
        <w:t>2.</w:t>
      </w:r>
      <w:r w:rsidRPr="00240EA8">
        <w:tab/>
        <w:t xml:space="preserve">Prepare an insoluble continuous phase consisting of 5% (w/w) 008-fluoroSurfactant and 1% N,N,NN-Tetramethylethylenedi (TEMED) in </w:t>
      </w:r>
      <w:r w:rsidRPr="00240EA8">
        <w:rPr>
          <w:color w:val="FF0000"/>
        </w:rPr>
        <w:t xml:space="preserve">hydrofluoroether (HFE) oil </w:t>
      </w:r>
      <w:r w:rsidRPr="00240EA8">
        <w:t>for the generation and stabilization of droplets</w:t>
      </w:r>
      <w:r>
        <w:t>”</w:t>
      </w:r>
    </w:p>
    <w:p w14:paraId="78026EBD" w14:textId="77777777" w:rsidR="003D15F3" w:rsidRDefault="003D15F3" w:rsidP="002C0A7C">
      <w:pPr>
        <w:spacing w:after="0"/>
      </w:pPr>
    </w:p>
    <w:p w14:paraId="038D17DF" w14:textId="1CB94749" w:rsidR="002C0A7C" w:rsidRDefault="002C0A7C" w:rsidP="002C0A7C">
      <w:pPr>
        <w:spacing w:after="0"/>
      </w:pPr>
      <w:bookmarkStart w:id="29" w:name="_Hlk61608063"/>
      <w:r>
        <w:t>- line 209: provide the formulation to calculate the statistical error</w:t>
      </w:r>
    </w:p>
    <w:p w14:paraId="0AF073B8" w14:textId="03C39B3E" w:rsidR="00C66ADF" w:rsidRPr="00C66ADF" w:rsidRDefault="00C66ADF" w:rsidP="002C0A7C">
      <w:pPr>
        <w:spacing w:after="0"/>
        <w:rPr>
          <w:i/>
          <w:iCs/>
          <w:color w:val="FF0000"/>
        </w:rPr>
      </w:pPr>
      <w:r>
        <w:tab/>
      </w:r>
      <w:r w:rsidRPr="00C66ADF">
        <w:rPr>
          <w:i/>
          <w:iCs/>
          <w:color w:val="0070C0"/>
        </w:rPr>
        <w:t>We have expanded on the calculations used within the protocol to include statistical error and concentration.</w:t>
      </w:r>
    </w:p>
    <w:bookmarkEnd w:id="29"/>
    <w:p w14:paraId="0713F3DD" w14:textId="19C93A8D" w:rsidR="00536CE9" w:rsidRPr="00F7656F" w:rsidRDefault="00F21538" w:rsidP="002C0A7C">
      <w:pPr>
        <w:spacing w:after="0"/>
        <w:rPr>
          <w:i/>
          <w:iCs/>
          <w:color w:val="FF0000"/>
        </w:rPr>
      </w:pPr>
      <w:r w:rsidRPr="00F7656F">
        <w:rPr>
          <w:i/>
          <w:iCs/>
          <w:color w:val="FF0000"/>
        </w:rPr>
        <w:tab/>
        <w:t>We have added in corresponding calculation to determine the statistical error.</w:t>
      </w:r>
    </w:p>
    <w:p w14:paraId="2F3E10FF" w14:textId="77777777" w:rsidR="00B725A7" w:rsidRPr="00B725A7" w:rsidRDefault="00F21538" w:rsidP="00B725A7">
      <w:pPr>
        <w:pStyle w:val="ListParagraph"/>
        <w:ind w:left="0"/>
        <w:rPr>
          <w:bCs/>
          <w:color w:val="FF0000"/>
        </w:rPr>
      </w:pPr>
      <w:r>
        <w:t>“</w:t>
      </w:r>
      <w:r w:rsidR="00B725A7" w:rsidRPr="00B725A7">
        <w:rPr>
          <w:bCs/>
          <w:color w:val="FF0000"/>
        </w:rPr>
        <w:t>The 95% confidence interval (z</w:t>
      </w:r>
      <w:r w:rsidR="00B725A7" w:rsidRPr="00B725A7">
        <w:rPr>
          <w:bCs/>
          <w:color w:val="FF0000"/>
          <w:vertAlign w:val="subscript"/>
        </w:rPr>
        <w:t>c</w:t>
      </w:r>
      <w:r w:rsidR="00B725A7" w:rsidRPr="00B725A7">
        <w:rPr>
          <w:bCs/>
          <w:color w:val="FF0000"/>
        </w:rPr>
        <w:t xml:space="preserve"> = 1.96) for this calculation is given by:</w:t>
      </w:r>
    </w:p>
    <w:p w14:paraId="7B1EC87F" w14:textId="77777777" w:rsidR="00B725A7" w:rsidRPr="00B725A7" w:rsidRDefault="00B725A7" w:rsidP="00B725A7">
      <w:pPr>
        <w:pStyle w:val="ListParagraph"/>
        <w:ind w:left="0"/>
        <w:rPr>
          <w:bCs/>
          <w:color w:val="FF0000"/>
        </w:rPr>
      </w:pPr>
    </w:p>
    <w:p w14:paraId="51CE81CD" w14:textId="197C5C5F" w:rsidR="00B725A7" w:rsidRPr="00B725A7" w:rsidRDefault="00003FC3" w:rsidP="00B725A7">
      <w:pPr>
        <w:pStyle w:val="ListParagraph"/>
        <w:ind w:left="0"/>
        <w:jc w:val="center"/>
        <w:rPr>
          <w:bCs/>
          <w:color w:val="FF0000"/>
        </w:rPr>
      </w:pPr>
      <m:oMathPara>
        <m:oMath>
          <m:sSub>
            <m:sSubPr>
              <m:ctrlPr>
                <w:rPr>
                  <w:rFonts w:ascii="Cambria Math" w:hAnsi="Cambria Math"/>
                  <w:i/>
                  <w:color w:val="FF0000"/>
                </w:rPr>
              </m:ctrlPr>
            </m:sSubPr>
            <m:e>
              <m:r>
                <w:rPr>
                  <w:rFonts w:ascii="Cambria Math" w:hAnsi="Cambria Math"/>
                  <w:color w:val="FF0000"/>
                </w:rPr>
                <m:t>λ</m:t>
              </m:r>
            </m:e>
            <m:sub>
              <m:r>
                <w:rPr>
                  <w:rFonts w:ascii="Cambria Math" w:hAnsi="Cambria Math"/>
                  <w:color w:val="FF0000"/>
                </w:rPr>
                <m:t>CI</m:t>
              </m:r>
            </m:sub>
          </m:sSub>
          <m:r>
            <w:rPr>
              <w:rFonts w:ascii="Cambria Math" w:hAnsi="Cambria Math"/>
              <w:color w:val="FF0000"/>
            </w:rPr>
            <m:t>=λ±</m:t>
          </m:r>
          <m:sSub>
            <m:sSubPr>
              <m:ctrlPr>
                <w:rPr>
                  <w:rFonts w:ascii="Cambria Math" w:hAnsi="Cambria Math"/>
                  <w:i/>
                  <w:color w:val="FF0000"/>
                </w:rPr>
              </m:ctrlPr>
            </m:sSubPr>
            <m:e>
              <m:r>
                <w:rPr>
                  <w:rFonts w:ascii="Cambria Math" w:hAnsi="Cambria Math"/>
                  <w:color w:val="FF0000"/>
                </w:rPr>
                <m:t>z</m:t>
              </m:r>
            </m:e>
            <m:sub>
              <m:r>
                <w:rPr>
                  <w:rFonts w:ascii="Cambria Math" w:hAnsi="Cambria Math"/>
                  <w:color w:val="FF0000"/>
                </w:rPr>
                <m:t>c</m:t>
              </m:r>
            </m:sub>
          </m:sSub>
          <m:r>
            <w:rPr>
              <w:rFonts w:ascii="Cambria Math" w:hAnsi="Cambria Math"/>
              <w:color w:val="FF0000"/>
            </w:rPr>
            <m:t xml:space="preserve"> </m:t>
          </m:r>
          <m:rad>
            <m:radPr>
              <m:degHide m:val="1"/>
              <m:ctrlPr>
                <w:rPr>
                  <w:rFonts w:ascii="Cambria Math" w:hAnsi="Cambria Math"/>
                  <w:bCs/>
                  <w:i/>
                  <w:color w:val="FF0000"/>
                </w:rPr>
              </m:ctrlPr>
            </m:radPr>
            <m:deg/>
            <m:e>
              <m:f>
                <m:fPr>
                  <m:ctrlPr>
                    <w:rPr>
                      <w:rFonts w:ascii="Cambria Math" w:hAnsi="Cambria Math"/>
                      <w:bCs/>
                      <w:i/>
                      <w:color w:val="FF0000"/>
                    </w:rPr>
                  </m:ctrlPr>
                </m:fPr>
                <m:num>
                  <m:sSub>
                    <m:sSubPr>
                      <m:ctrlPr>
                        <w:rPr>
                          <w:rFonts w:ascii="Cambria Math" w:hAnsi="Cambria Math"/>
                          <w:bCs/>
                          <w:i/>
                          <w:color w:val="FF0000"/>
                        </w:rPr>
                      </m:ctrlPr>
                    </m:sSubPr>
                    <m:e>
                      <m:r>
                        <w:rPr>
                          <w:rFonts w:ascii="Cambria Math" w:hAnsi="Cambria Math"/>
                          <w:color w:val="FF0000"/>
                        </w:rPr>
                        <m:t>N</m:t>
                      </m:r>
                    </m:e>
                    <m:sub>
                      <m:r>
                        <w:rPr>
                          <w:rFonts w:ascii="Cambria Math" w:hAnsi="Cambria Math"/>
                          <w:color w:val="FF0000"/>
                        </w:rPr>
                        <m:t>p</m:t>
                      </m:r>
                    </m:sub>
                  </m:sSub>
                </m:num>
                <m:den>
                  <m:sSub>
                    <m:sSubPr>
                      <m:ctrlPr>
                        <w:rPr>
                          <w:rFonts w:ascii="Cambria Math" w:hAnsi="Cambria Math"/>
                          <w:bCs/>
                          <w:i/>
                          <w:color w:val="FF0000"/>
                        </w:rPr>
                      </m:ctrlPr>
                    </m:sSubPr>
                    <m:e>
                      <m:r>
                        <w:rPr>
                          <w:rFonts w:ascii="Cambria Math" w:hAnsi="Cambria Math"/>
                          <w:color w:val="FF0000"/>
                        </w:rPr>
                        <m:t>N</m:t>
                      </m:r>
                    </m:e>
                    <m:sub>
                      <m:r>
                        <w:rPr>
                          <w:rFonts w:ascii="Cambria Math" w:hAnsi="Cambria Math"/>
                          <w:color w:val="FF0000"/>
                        </w:rPr>
                        <m:t>T</m:t>
                      </m:r>
                    </m:sub>
                  </m:sSub>
                  <m:d>
                    <m:dPr>
                      <m:ctrlPr>
                        <w:rPr>
                          <w:rFonts w:ascii="Cambria Math" w:hAnsi="Cambria Math"/>
                          <w:bCs/>
                          <w:i/>
                          <w:color w:val="FF0000"/>
                        </w:rPr>
                      </m:ctrlPr>
                    </m:dPr>
                    <m:e>
                      <m:sSub>
                        <m:sSubPr>
                          <m:ctrlPr>
                            <w:rPr>
                              <w:rFonts w:ascii="Cambria Math" w:hAnsi="Cambria Math"/>
                              <w:bCs/>
                              <w:i/>
                              <w:color w:val="FF0000"/>
                            </w:rPr>
                          </m:ctrlPr>
                        </m:sSubPr>
                        <m:e>
                          <m:r>
                            <w:rPr>
                              <w:rFonts w:ascii="Cambria Math" w:hAnsi="Cambria Math"/>
                              <w:color w:val="FF0000"/>
                            </w:rPr>
                            <m:t>N</m:t>
                          </m:r>
                        </m:e>
                        <m:sub>
                          <m:r>
                            <w:rPr>
                              <w:rFonts w:ascii="Cambria Math" w:hAnsi="Cambria Math"/>
                              <w:color w:val="FF0000"/>
                            </w:rPr>
                            <m:t>T</m:t>
                          </m:r>
                        </m:sub>
                      </m:sSub>
                      <m:r>
                        <w:rPr>
                          <w:rFonts w:ascii="Cambria Math" w:hAnsi="Cambria Math"/>
                          <w:color w:val="FF0000"/>
                        </w:rPr>
                        <m:t>-</m:t>
                      </m:r>
                      <m:sSub>
                        <m:sSubPr>
                          <m:ctrlPr>
                            <w:rPr>
                              <w:rFonts w:ascii="Cambria Math" w:hAnsi="Cambria Math"/>
                              <w:bCs/>
                              <w:i/>
                              <w:color w:val="FF0000"/>
                            </w:rPr>
                          </m:ctrlPr>
                        </m:sSubPr>
                        <m:e>
                          <m:r>
                            <w:rPr>
                              <w:rFonts w:ascii="Cambria Math" w:hAnsi="Cambria Math"/>
                              <w:color w:val="FF0000"/>
                            </w:rPr>
                            <m:t>N</m:t>
                          </m:r>
                        </m:e>
                        <m:sub>
                          <m:r>
                            <w:rPr>
                              <w:rFonts w:ascii="Cambria Math" w:hAnsi="Cambria Math"/>
                              <w:color w:val="FF0000"/>
                            </w:rPr>
                            <m:t>P</m:t>
                          </m:r>
                        </m:sub>
                      </m:sSub>
                    </m:e>
                  </m:d>
                </m:den>
              </m:f>
            </m:e>
          </m:rad>
        </m:oMath>
      </m:oMathPara>
    </w:p>
    <w:p w14:paraId="46367E85" w14:textId="609A4600" w:rsidR="00F21538" w:rsidRDefault="00F7656F" w:rsidP="00B725A7">
      <w:pPr>
        <w:pStyle w:val="ListParagraph"/>
        <w:ind w:left="0"/>
      </w:pPr>
      <w:r w:rsidRPr="00F7656F">
        <w:rPr>
          <w:bCs/>
        </w:rPr>
        <w:t>”</w:t>
      </w:r>
    </w:p>
    <w:p w14:paraId="6086643F" w14:textId="77777777" w:rsidR="00536CE9" w:rsidRDefault="00536CE9" w:rsidP="002C0A7C">
      <w:pPr>
        <w:spacing w:after="0"/>
      </w:pPr>
    </w:p>
    <w:p w14:paraId="56D987B9" w14:textId="276B0788" w:rsidR="002C0A7C" w:rsidRPr="00F7656F" w:rsidRDefault="002C0A7C" w:rsidP="002C0A7C">
      <w:pPr>
        <w:spacing w:after="0"/>
        <w:rPr>
          <w:i/>
          <w:iCs/>
          <w:color w:val="FF0000"/>
        </w:rPr>
      </w:pPr>
      <w:bookmarkStart w:id="30" w:name="_Hlk61689819"/>
      <w:r>
        <w:t>- line 263: Figure 4 does not demonstrate the ability to perform digital PCR, you should cite your work in ref. 11</w:t>
      </w:r>
    </w:p>
    <w:p w14:paraId="6C42F3BD" w14:textId="6F2BD485" w:rsidR="00F7656F" w:rsidRDefault="00F7656F" w:rsidP="009D1023">
      <w:pPr>
        <w:spacing w:after="0"/>
      </w:pPr>
      <w:r w:rsidRPr="00F7656F">
        <w:rPr>
          <w:i/>
          <w:iCs/>
          <w:color w:val="FF0000"/>
        </w:rPr>
        <w:tab/>
      </w:r>
      <w:r w:rsidRPr="000A5C65">
        <w:rPr>
          <w:i/>
          <w:iCs/>
          <w:color w:val="0070C0"/>
        </w:rPr>
        <w:t xml:space="preserve">The images presented in Figure 4 are the fluorescent images following digital droplet PCR. The positive (green) droplets fluoresce due to the amplification of the yeast genome </w:t>
      </w:r>
      <w:r w:rsidR="00C66ADF">
        <w:rPr>
          <w:i/>
          <w:iCs/>
          <w:color w:val="0070C0"/>
        </w:rPr>
        <w:t xml:space="preserve">using a TaqMan probe </w:t>
      </w:r>
      <w:r w:rsidRPr="000A5C65">
        <w:rPr>
          <w:i/>
          <w:iCs/>
          <w:color w:val="0070C0"/>
        </w:rPr>
        <w:t>within these droplets. The negative (blank) droplets</w:t>
      </w:r>
      <w:r w:rsidR="00C66ADF">
        <w:rPr>
          <w:i/>
          <w:iCs/>
          <w:color w:val="0070C0"/>
        </w:rPr>
        <w:t>, also containing the TaqMan probe,</w:t>
      </w:r>
      <w:r w:rsidRPr="000A5C65">
        <w:rPr>
          <w:i/>
          <w:iCs/>
          <w:color w:val="0070C0"/>
        </w:rPr>
        <w:t xml:space="preserve"> do not fluoresce because there is no amplification occurring within those droplets.</w:t>
      </w:r>
      <w:r w:rsidR="009D1023">
        <w:rPr>
          <w:i/>
          <w:iCs/>
          <w:color w:val="0070C0"/>
        </w:rPr>
        <w:t xml:space="preserve"> </w:t>
      </w:r>
      <w:r w:rsidR="00C66ADF">
        <w:rPr>
          <w:i/>
          <w:iCs/>
          <w:color w:val="0070C0"/>
        </w:rPr>
        <w:t xml:space="preserve">Because the drops either fluoresce or </w:t>
      </w:r>
      <w:r w:rsidR="00C66ADF">
        <w:rPr>
          <w:i/>
          <w:iCs/>
          <w:color w:val="0070C0"/>
        </w:rPr>
        <w:lastRenderedPageBreak/>
        <w:t xml:space="preserve">do not fluoresce, the result is digital removing ambiguity from the result. Further analysis of the </w:t>
      </w:r>
      <w:r w:rsidR="009D1023">
        <w:rPr>
          <w:i/>
          <w:iCs/>
          <w:color w:val="0070C0"/>
        </w:rPr>
        <w:t>We have updated the manuscript to include additional references to the work</w:t>
      </w:r>
      <w:r w:rsidR="00C66ADF">
        <w:rPr>
          <w:i/>
          <w:iCs/>
          <w:color w:val="0070C0"/>
        </w:rPr>
        <w:t>,</w:t>
      </w:r>
      <w:r w:rsidR="009D1023">
        <w:rPr>
          <w:i/>
          <w:iCs/>
          <w:color w:val="0070C0"/>
        </w:rPr>
        <w:t xml:space="preserve"> ref. 11.</w:t>
      </w:r>
    </w:p>
    <w:bookmarkEnd w:id="30"/>
    <w:p w14:paraId="6A355A53" w14:textId="77777777" w:rsidR="00F7656F" w:rsidRDefault="00F7656F" w:rsidP="002C0A7C">
      <w:pPr>
        <w:spacing w:after="0"/>
      </w:pPr>
    </w:p>
    <w:p w14:paraId="7238A982" w14:textId="77777777" w:rsidR="002C0A7C" w:rsidRDefault="002C0A7C" w:rsidP="002C0A7C">
      <w:pPr>
        <w:spacing w:after="0"/>
      </w:pPr>
      <w:r>
        <w:t>- in the material list:</w:t>
      </w:r>
    </w:p>
    <w:p w14:paraId="02CBD040" w14:textId="77777777" w:rsidR="002C0A7C" w:rsidRDefault="002C0A7C" w:rsidP="002C0A7C">
      <w:pPr>
        <w:spacing w:after="0"/>
      </w:pPr>
      <w:r>
        <w:t>There is a difference between manufacturer and supplier that does not appear in the table: for instance, Sylgard 184 silicone elastomer kit is manufactured by Dow Chemicals and can be purchased at Krayden (or somewhere else).</w:t>
      </w:r>
    </w:p>
    <w:p w14:paraId="6000C9A4" w14:textId="436E9020" w:rsidR="002C0A7C" w:rsidRDefault="002C0A7C" w:rsidP="002C0A7C">
      <w:pPr>
        <w:spacing w:after="0"/>
      </w:pPr>
      <w:r>
        <w:t>There is no reference for TEMED, yeast genomic DNA, Tris-hcl should Tris-HCl, Microchem is now called Kayaku, HFE 7500 is referenced as HFE in the text or Novec 7500 in the list of material, Aquapel is not explicitly used in the protocol, the surfactant is appropriately called PEG-PFPE surfactant when it is called weitz in the protocol</w:t>
      </w:r>
    </w:p>
    <w:p w14:paraId="039BF192" w14:textId="232D70C0" w:rsidR="00C4068E" w:rsidRPr="000A5C65" w:rsidRDefault="00C4068E" w:rsidP="002C0A7C">
      <w:pPr>
        <w:spacing w:after="0"/>
        <w:rPr>
          <w:i/>
          <w:iCs/>
          <w:color w:val="0070C0"/>
        </w:rPr>
      </w:pPr>
      <w:r w:rsidRPr="000A5C65">
        <w:rPr>
          <w:i/>
          <w:iCs/>
          <w:color w:val="0070C0"/>
        </w:rPr>
        <w:tab/>
        <w:t>We have updated the material list and protocol to affect these changes.</w:t>
      </w:r>
    </w:p>
    <w:p w14:paraId="194480BC" w14:textId="77777777" w:rsidR="002C0A7C" w:rsidRDefault="002C0A7C" w:rsidP="002C0A7C">
      <w:pPr>
        <w:spacing w:after="0"/>
      </w:pPr>
    </w:p>
    <w:p w14:paraId="740B62D8" w14:textId="77777777" w:rsidR="002C0A7C" w:rsidRDefault="002C0A7C" w:rsidP="002C0A7C">
      <w:pPr>
        <w:spacing w:after="0"/>
      </w:pPr>
    </w:p>
    <w:p w14:paraId="73DBDB4C" w14:textId="77777777" w:rsidR="002C0A7C" w:rsidRDefault="002C0A7C" w:rsidP="002C0A7C">
      <w:pPr>
        <w:spacing w:after="0"/>
      </w:pPr>
      <w:r>
        <w:t>Reviewer #2:</w:t>
      </w:r>
    </w:p>
    <w:p w14:paraId="5478E2ED" w14:textId="77777777" w:rsidR="002C0A7C" w:rsidRDefault="002C0A7C" w:rsidP="002C0A7C">
      <w:pPr>
        <w:spacing w:after="0"/>
      </w:pPr>
      <w:r>
        <w:t>Manuscript Summary:</w:t>
      </w:r>
    </w:p>
    <w:p w14:paraId="3CA682BA" w14:textId="77777777" w:rsidR="002C0A7C" w:rsidRDefault="002C0A7C" w:rsidP="002C0A7C">
      <w:pPr>
        <w:spacing w:after="0"/>
      </w:pPr>
      <w:r>
        <w:t>This paper describes a facile method to produce monodisperse monodisperse droplets by bulk vortexing. Digital PCR, although it was only qualitatively, was performed to demonstrate its application. It was interesting to know digitalized PCR can be performed in such a way.</w:t>
      </w:r>
    </w:p>
    <w:p w14:paraId="5AF1F13C" w14:textId="775B0BF2" w:rsidR="002C0A7C" w:rsidRDefault="002C0A7C" w:rsidP="002C0A7C">
      <w:pPr>
        <w:spacing w:after="0"/>
      </w:pPr>
      <w:r>
        <w:t>Although this protocol promises to improve the availability of digital droplet assays, I see that there are many limitations users must take care. I think it is very important to clarify the extent of applicability of this method. In addition, the structure of the paper is not carefully examined. I recommend authors to restructure the whole story and re-submit the paper.</w:t>
      </w:r>
    </w:p>
    <w:p w14:paraId="7AE62A29" w14:textId="19CE37A0" w:rsidR="005A3C66" w:rsidRPr="005A3C66" w:rsidRDefault="005A3C66" w:rsidP="002C0A7C">
      <w:pPr>
        <w:spacing w:after="0"/>
        <w:rPr>
          <w:i/>
          <w:iCs/>
          <w:color w:val="FF0000"/>
        </w:rPr>
      </w:pPr>
      <w:r w:rsidRPr="005A3C66">
        <w:rPr>
          <w:i/>
          <w:iCs/>
          <w:color w:val="FF0000"/>
        </w:rPr>
        <w:tab/>
      </w:r>
      <w:r w:rsidRPr="000A5C65">
        <w:rPr>
          <w:i/>
          <w:iCs/>
          <w:color w:val="0070C0"/>
        </w:rPr>
        <w:t>This paper was purposely structured to fulfill the unique format JOVE provides scientists and is based upon the resources made available to the authors.</w:t>
      </w:r>
    </w:p>
    <w:p w14:paraId="0EC07892" w14:textId="77777777" w:rsidR="002C0A7C" w:rsidRDefault="002C0A7C" w:rsidP="002C0A7C">
      <w:pPr>
        <w:spacing w:after="0"/>
      </w:pPr>
    </w:p>
    <w:p w14:paraId="08DE307D" w14:textId="77777777" w:rsidR="002C0A7C" w:rsidRDefault="002C0A7C" w:rsidP="002C0A7C">
      <w:pPr>
        <w:spacing w:after="0"/>
      </w:pPr>
      <w:bookmarkStart w:id="31" w:name="_Hlk61688060"/>
      <w:r>
        <w:t>Major Concerns:</w:t>
      </w:r>
    </w:p>
    <w:p w14:paraId="4EF6EEC5" w14:textId="007BB89F" w:rsidR="002C0A7C" w:rsidRDefault="002C0A7C" w:rsidP="002C0A7C">
      <w:pPr>
        <w:spacing w:after="0"/>
      </w:pPr>
      <w:r>
        <w:t>1. Authors claimed that this method is advantageous because it does not require microfluidics. However, in the results section, they only described the results with gel beads produced by microfluidics. Authors should explain the results with the commercial beads, such as Bio-Gel beads mentioned by authors, and compare the effect of uniformity.</w:t>
      </w:r>
    </w:p>
    <w:bookmarkEnd w:id="31"/>
    <w:p w14:paraId="2566544D" w14:textId="3F738193" w:rsidR="00220644" w:rsidRPr="005A3C66" w:rsidRDefault="00220644" w:rsidP="002C0A7C">
      <w:pPr>
        <w:spacing w:after="0"/>
        <w:rPr>
          <w:i/>
          <w:iCs/>
        </w:rPr>
      </w:pPr>
      <w:r>
        <w:tab/>
      </w:r>
      <w:r w:rsidR="005A3C66" w:rsidRPr="000A5C65">
        <w:rPr>
          <w:i/>
          <w:iCs/>
          <w:color w:val="0070C0"/>
        </w:rPr>
        <w:t xml:space="preserve">We have </w:t>
      </w:r>
      <w:r w:rsidR="00535D0B" w:rsidRPr="000A5C65">
        <w:rPr>
          <w:i/>
          <w:iCs/>
          <w:color w:val="0070C0"/>
        </w:rPr>
        <w:t>prepared an additional Figure 5</w:t>
      </w:r>
      <w:r w:rsidR="005A3C66" w:rsidRPr="000A5C65">
        <w:rPr>
          <w:i/>
          <w:iCs/>
          <w:color w:val="0070C0"/>
        </w:rPr>
        <w:t xml:space="preserve"> with additional ddPCR data using the commercial beads and addressed the effect of uniformity within the manuscript pertaining to this discussion. More information regarding this topic can also be found within reference 11.</w:t>
      </w:r>
    </w:p>
    <w:p w14:paraId="2DFE6275" w14:textId="04DBA8D8" w:rsidR="005A3C66" w:rsidRPr="00DD4B9C" w:rsidRDefault="00DD4B9C" w:rsidP="00DD4B9C">
      <w:pPr>
        <w:pBdr>
          <w:top w:val="nil"/>
          <w:left w:val="nil"/>
          <w:bottom w:val="nil"/>
          <w:right w:val="nil"/>
          <w:between w:val="nil"/>
        </w:pBdr>
        <w:rPr>
          <w:bCs/>
          <w:color w:val="FF0000"/>
        </w:rPr>
      </w:pPr>
      <w:r>
        <w:t>“</w:t>
      </w:r>
      <w:r w:rsidRPr="0023607E">
        <w:rPr>
          <w:bCs/>
          <w:color w:val="FF0000"/>
        </w:rPr>
        <w:t>These results are repeatable using commercially available polyacrylamide particles (</w:t>
      </w:r>
      <w:r w:rsidRPr="0023607E">
        <w:rPr>
          <w:b/>
          <w:color w:val="FF0000"/>
        </w:rPr>
        <w:t>Figure 5</w:t>
      </w:r>
      <w:r w:rsidRPr="0023607E">
        <w:rPr>
          <w:bCs/>
          <w:color w:val="FF0000"/>
        </w:rPr>
        <w:t>). This demonstrates the capability of PTE to perform standard digital PCR with commercially available polyacrylamide particles, achieving accurate measurements over the same range.</w:t>
      </w:r>
      <w:r w:rsidR="005A3C66">
        <w:t>”</w:t>
      </w:r>
    </w:p>
    <w:p w14:paraId="561A1EF5" w14:textId="77777777" w:rsidR="005A3C66" w:rsidRDefault="005A3C66" w:rsidP="002C0A7C">
      <w:pPr>
        <w:spacing w:after="0"/>
      </w:pPr>
    </w:p>
    <w:p w14:paraId="7232E0B8" w14:textId="432287ED" w:rsidR="002C0A7C" w:rsidRDefault="002C0A7C" w:rsidP="002C0A7C">
      <w:pPr>
        <w:spacing w:after="0"/>
      </w:pPr>
      <w:bookmarkStart w:id="32" w:name="_Hlk61689792"/>
      <w:r>
        <w:t>2. In my understanding authors assumed that components of reaction (enzymes, primers, etc.; Fig. 1A) is uniformly distributed inside and outside of gel beads. However, I am not sure if it is really the case. Since most of the mixture are removed at steps B to C in the same figure, I believe knowing the concentration of reaction inside the gel beads is important. Authors also should clarify if there is a possible inhibition of the reaction due to the presence of gel.</w:t>
      </w:r>
    </w:p>
    <w:p w14:paraId="71D64041" w14:textId="742A9FC9" w:rsidR="00B10D3B" w:rsidRDefault="005A3C66" w:rsidP="00F213E9">
      <w:pPr>
        <w:spacing w:after="0"/>
      </w:pPr>
      <w:r>
        <w:lastRenderedPageBreak/>
        <w:tab/>
      </w:r>
      <w:r w:rsidRPr="000A5C65">
        <w:rPr>
          <w:i/>
          <w:iCs/>
          <w:color w:val="0070C0"/>
        </w:rPr>
        <w:t xml:space="preserve">The polyacrylamide hydrogels can be prepared with adjustable pore sizes allowing for </w:t>
      </w:r>
      <w:r w:rsidR="00683430" w:rsidRPr="000A5C65">
        <w:rPr>
          <w:i/>
          <w:iCs/>
          <w:color w:val="0070C0"/>
        </w:rPr>
        <w:t>varying degrees of reagent and/or sample penetration depending on the given application. Following the removal of excess aqueous content/phase in step B, a significant amount of aqueous content/phase remains within the interstitial spaces of the templating particle pellet.</w:t>
      </w:r>
      <w:r w:rsidR="00B10D3B" w:rsidRPr="000A5C65">
        <w:rPr>
          <w:i/>
          <w:iCs/>
          <w:color w:val="0070C0"/>
        </w:rPr>
        <w:t xml:space="preserve"> After emulsification, this volume results in the aqueous shells of each droplet. The template DNA, also within this volume, can then interact with any reagents within the droplet for digital droplet PCR. </w:t>
      </w:r>
      <w:r w:rsidR="00F213E9">
        <w:rPr>
          <w:i/>
          <w:iCs/>
          <w:color w:val="0070C0"/>
        </w:rPr>
        <w:t>Previous work has investigated the possible inhibition of the PCR reaction using polyacrylamide. We feel that addressing this within the text, with supporting data, is outside the scope of the protocol</w:t>
      </w:r>
      <w:r w:rsidR="003D23D0">
        <w:rPr>
          <w:i/>
          <w:iCs/>
          <w:color w:val="0070C0"/>
        </w:rPr>
        <w:t xml:space="preserve"> and instead reference the work establishing particle templated emulsification</w:t>
      </w:r>
      <w:r w:rsidR="00F213E9">
        <w:rPr>
          <w:i/>
          <w:iCs/>
          <w:color w:val="0070C0"/>
        </w:rPr>
        <w:t>.</w:t>
      </w:r>
    </w:p>
    <w:p w14:paraId="16B1BC0D" w14:textId="77777777" w:rsidR="005A3C66" w:rsidRDefault="005A3C66" w:rsidP="002C0A7C">
      <w:pPr>
        <w:spacing w:after="0"/>
      </w:pPr>
    </w:p>
    <w:p w14:paraId="24E3D4ED" w14:textId="5DF4B1AD" w:rsidR="002C0A7C" w:rsidRDefault="002C0A7C" w:rsidP="002C0A7C">
      <w:pPr>
        <w:spacing w:after="0"/>
      </w:pPr>
      <w:bookmarkStart w:id="33" w:name="_Hlk61689263"/>
      <w:r>
        <w:t>3. Authors assume that (and I agree that) the template DNA is present only in the thin aqueous layer at the surface of the beads. I wonder how authors can estimate the volume of this layer, which should be required to estimate the absolute concentration of the template. Authors described only a single equation in page 6, but there is no quantitative comparison between the theory and experiment.</w:t>
      </w:r>
    </w:p>
    <w:bookmarkEnd w:id="33"/>
    <w:p w14:paraId="0F512F0A" w14:textId="1622B753" w:rsidR="00B10D3B" w:rsidRPr="00925D62" w:rsidRDefault="00B10D3B" w:rsidP="002C0A7C">
      <w:pPr>
        <w:spacing w:after="0"/>
        <w:rPr>
          <w:i/>
          <w:iCs/>
          <w:color w:val="FF0000"/>
        </w:rPr>
      </w:pPr>
      <w:r w:rsidRPr="00925D62">
        <w:rPr>
          <w:i/>
          <w:iCs/>
          <w:color w:val="FF0000"/>
        </w:rPr>
        <w:tab/>
      </w:r>
      <w:r w:rsidRPr="000A5C65">
        <w:rPr>
          <w:i/>
          <w:iCs/>
          <w:color w:val="0070C0"/>
        </w:rPr>
        <w:t>The volume of this layer has can be optically evaluated to determine the volume of the aqueous shell. The determination of template concentration using this information is overly complicated and prone to inaccuracies. Another, more accurate determination of the template concentration can be calculated using the Poisson statistics mentioned from page 6. Using the fraction of positive droplets (number of positive droplets / negative droplets) the number of template DNA can be determined. Knowing the volume of sample added (1 uL in this example) then allows for a determination of the concentration (molecules / volume) of template DNA to be determined. We have updated the protocol to better reflect this analysis.</w:t>
      </w:r>
      <w:r w:rsidR="00EE3C9E">
        <w:rPr>
          <w:i/>
          <w:iCs/>
          <w:color w:val="0070C0"/>
        </w:rPr>
        <w:t xml:space="preserve"> A more quantitative analysis of this methodology, including a comparison to standard microfluidic digital PCR and dilution curves is covered in previous work. We have included additional references to reflect this.</w:t>
      </w:r>
    </w:p>
    <w:bookmarkEnd w:id="32"/>
    <w:p w14:paraId="17959E24" w14:textId="77777777" w:rsidR="00B725A7" w:rsidRPr="00B725A7" w:rsidRDefault="00B10D3B" w:rsidP="00B725A7">
      <w:pPr>
        <w:pStyle w:val="ListParagraph"/>
        <w:ind w:left="0"/>
        <w:rPr>
          <w:bCs/>
          <w:color w:val="FF0000"/>
        </w:rPr>
      </w:pPr>
      <w:r>
        <w:t>“</w:t>
      </w:r>
      <w:bookmarkStart w:id="34" w:name="_Hlk61689243"/>
      <w:r w:rsidR="00B725A7" w:rsidRPr="00B725A7">
        <w:rPr>
          <w:bCs/>
          <w:color w:val="FF0000"/>
        </w:rPr>
        <w:t>Quantify the positive fluorescent droplets (N</w:t>
      </w:r>
      <w:r w:rsidR="00B725A7" w:rsidRPr="00B725A7">
        <w:rPr>
          <w:bCs/>
          <w:color w:val="FF0000"/>
          <w:vertAlign w:val="subscript"/>
        </w:rPr>
        <w:t>p</w:t>
      </w:r>
      <w:r w:rsidR="00B725A7" w:rsidRPr="00B725A7">
        <w:rPr>
          <w:bCs/>
          <w:color w:val="FF0000"/>
        </w:rPr>
        <w:t>) and total drops (N</w:t>
      </w:r>
      <w:r w:rsidR="00B725A7" w:rsidRPr="00B725A7">
        <w:rPr>
          <w:bCs/>
          <w:color w:val="FF0000"/>
          <w:vertAlign w:val="subscript"/>
        </w:rPr>
        <w:t>T</w:t>
      </w:r>
      <w:r w:rsidR="00B725A7" w:rsidRPr="00B725A7">
        <w:rPr>
          <w:bCs/>
          <w:color w:val="FF0000"/>
        </w:rPr>
        <w:t>) to verify the presence and calculate the number of template molecules (λ) using the fraction of positive droplets (N</w:t>
      </w:r>
      <w:r w:rsidR="00B725A7" w:rsidRPr="00B725A7">
        <w:rPr>
          <w:bCs/>
          <w:color w:val="FF0000"/>
          <w:vertAlign w:val="subscript"/>
        </w:rPr>
        <w:t>p</w:t>
      </w:r>
      <w:r w:rsidR="00B725A7" w:rsidRPr="00B725A7">
        <w:rPr>
          <w:bCs/>
          <w:color w:val="FF0000"/>
        </w:rPr>
        <w:t>/N</w:t>
      </w:r>
      <w:r w:rsidR="00B725A7" w:rsidRPr="00B725A7">
        <w:rPr>
          <w:bCs/>
          <w:color w:val="FF0000"/>
          <w:vertAlign w:val="subscript"/>
        </w:rPr>
        <w:t>T</w:t>
      </w:r>
      <w:r w:rsidR="00B725A7" w:rsidRPr="00B725A7">
        <w:rPr>
          <w:bCs/>
          <w:color w:val="FF0000"/>
        </w:rPr>
        <w:t xml:space="preserve">) and Poisson statistics: </w:t>
      </w:r>
    </w:p>
    <w:p w14:paraId="61E08D76" w14:textId="77777777" w:rsidR="00B725A7" w:rsidRPr="00B725A7" w:rsidRDefault="00B725A7" w:rsidP="00B725A7">
      <w:pPr>
        <w:pStyle w:val="ListParagraph"/>
        <w:ind w:left="0"/>
        <w:rPr>
          <w:bCs/>
          <w:color w:val="FF0000"/>
        </w:rPr>
      </w:pPr>
    </w:p>
    <w:p w14:paraId="7E9FE585" w14:textId="77777777" w:rsidR="00B725A7" w:rsidRPr="00B725A7" w:rsidRDefault="00B725A7" w:rsidP="00B725A7">
      <w:pPr>
        <w:pStyle w:val="ListParagraph"/>
        <w:ind w:left="0"/>
        <w:rPr>
          <w:color w:val="FF0000"/>
        </w:rPr>
      </w:pPr>
      <m:oMathPara>
        <m:oMath>
          <m:r>
            <w:rPr>
              <w:rFonts w:ascii="Cambria Math" w:hAnsi="Cambria Math"/>
              <w:color w:val="FF0000"/>
            </w:rPr>
            <m:t>λ= -</m:t>
          </m:r>
          <m:r>
            <m:rPr>
              <m:sty m:val="p"/>
            </m:rPr>
            <w:rPr>
              <w:rFonts w:ascii="Cambria Math" w:hAnsi="Cambria Math"/>
              <w:color w:val="FF0000"/>
            </w:rPr>
            <m:t>ln⁡</m:t>
          </m:r>
          <m:r>
            <w:rPr>
              <w:rFonts w:ascii="Cambria Math" w:hAnsi="Cambria Math"/>
              <w:color w:val="FF0000"/>
            </w:rPr>
            <m:t>(1-</m:t>
          </m:r>
          <m:f>
            <m:fPr>
              <m:ctrlPr>
                <w:rPr>
                  <w:rFonts w:ascii="Cambria Math" w:hAnsi="Cambria Math"/>
                  <w:i/>
                  <w:color w:val="FF0000"/>
                </w:rPr>
              </m:ctrlPr>
            </m:fPr>
            <m:num>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p</m:t>
                  </m:r>
                </m:sub>
              </m:sSub>
            </m:num>
            <m:den>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T</m:t>
                  </m:r>
                </m:sub>
              </m:sSub>
            </m:den>
          </m:f>
          <m:r>
            <w:rPr>
              <w:rFonts w:ascii="Cambria Math" w:hAnsi="Cambria Math"/>
              <w:color w:val="FF0000"/>
            </w:rPr>
            <m:t>)</m:t>
          </m:r>
        </m:oMath>
      </m:oMathPara>
    </w:p>
    <w:p w14:paraId="5735109B" w14:textId="77777777" w:rsidR="00B725A7" w:rsidRPr="00B725A7" w:rsidRDefault="00B725A7" w:rsidP="00B725A7">
      <w:pPr>
        <w:pStyle w:val="ListParagraph"/>
        <w:ind w:left="0"/>
        <w:rPr>
          <w:bCs/>
          <w:color w:val="FF0000"/>
        </w:rPr>
      </w:pPr>
    </w:p>
    <w:p w14:paraId="29CAFCBA" w14:textId="77777777" w:rsidR="00B725A7" w:rsidRPr="00B725A7" w:rsidRDefault="00B725A7" w:rsidP="00B725A7">
      <w:pPr>
        <w:pStyle w:val="ListParagraph"/>
        <w:ind w:left="0"/>
        <w:rPr>
          <w:bCs/>
          <w:color w:val="FF0000"/>
        </w:rPr>
      </w:pPr>
      <w:r w:rsidRPr="00B725A7">
        <w:rPr>
          <w:bCs/>
          <w:color w:val="FF0000"/>
        </w:rPr>
        <w:t>The 95% confidence interval (z</w:t>
      </w:r>
      <w:r w:rsidRPr="00B725A7">
        <w:rPr>
          <w:bCs/>
          <w:color w:val="FF0000"/>
          <w:vertAlign w:val="subscript"/>
        </w:rPr>
        <w:t>c</w:t>
      </w:r>
      <w:r w:rsidRPr="00B725A7">
        <w:rPr>
          <w:bCs/>
          <w:color w:val="FF0000"/>
        </w:rPr>
        <w:t xml:space="preserve"> = 1.96) for this calculation is given by:</w:t>
      </w:r>
    </w:p>
    <w:p w14:paraId="6B4E2D0E" w14:textId="77777777" w:rsidR="00B725A7" w:rsidRPr="00B725A7" w:rsidRDefault="00B725A7" w:rsidP="00B725A7">
      <w:pPr>
        <w:pStyle w:val="ListParagraph"/>
        <w:ind w:left="0"/>
        <w:rPr>
          <w:bCs/>
          <w:color w:val="FF0000"/>
        </w:rPr>
      </w:pPr>
    </w:p>
    <w:p w14:paraId="312368D9" w14:textId="77777777" w:rsidR="00B725A7" w:rsidRPr="00B725A7" w:rsidRDefault="00003FC3" w:rsidP="00B725A7">
      <w:pPr>
        <w:pStyle w:val="ListParagraph"/>
        <w:ind w:left="0"/>
        <w:jc w:val="center"/>
        <w:rPr>
          <w:bCs/>
          <w:color w:val="FF0000"/>
        </w:rPr>
      </w:pPr>
      <m:oMathPara>
        <m:oMath>
          <m:sSub>
            <m:sSubPr>
              <m:ctrlPr>
                <w:rPr>
                  <w:rFonts w:ascii="Cambria Math" w:hAnsi="Cambria Math"/>
                  <w:i/>
                  <w:color w:val="FF0000"/>
                </w:rPr>
              </m:ctrlPr>
            </m:sSubPr>
            <m:e>
              <m:r>
                <w:rPr>
                  <w:rFonts w:ascii="Cambria Math" w:hAnsi="Cambria Math"/>
                  <w:color w:val="FF0000"/>
                </w:rPr>
                <m:t>λ</m:t>
              </m:r>
            </m:e>
            <m:sub>
              <m:r>
                <w:rPr>
                  <w:rFonts w:ascii="Cambria Math" w:hAnsi="Cambria Math"/>
                  <w:color w:val="FF0000"/>
                </w:rPr>
                <m:t>CI</m:t>
              </m:r>
            </m:sub>
          </m:sSub>
          <m:r>
            <w:rPr>
              <w:rFonts w:ascii="Cambria Math" w:hAnsi="Cambria Math"/>
              <w:color w:val="FF0000"/>
            </w:rPr>
            <m:t>=λ±</m:t>
          </m:r>
          <m:sSub>
            <m:sSubPr>
              <m:ctrlPr>
                <w:rPr>
                  <w:rFonts w:ascii="Cambria Math" w:hAnsi="Cambria Math"/>
                  <w:i/>
                  <w:color w:val="FF0000"/>
                </w:rPr>
              </m:ctrlPr>
            </m:sSubPr>
            <m:e>
              <m:r>
                <w:rPr>
                  <w:rFonts w:ascii="Cambria Math" w:hAnsi="Cambria Math"/>
                  <w:color w:val="FF0000"/>
                </w:rPr>
                <m:t>z</m:t>
              </m:r>
            </m:e>
            <m:sub>
              <m:r>
                <w:rPr>
                  <w:rFonts w:ascii="Cambria Math" w:hAnsi="Cambria Math"/>
                  <w:color w:val="FF0000"/>
                </w:rPr>
                <m:t>c</m:t>
              </m:r>
            </m:sub>
          </m:sSub>
          <m:r>
            <w:rPr>
              <w:rFonts w:ascii="Cambria Math" w:hAnsi="Cambria Math"/>
              <w:color w:val="FF0000"/>
            </w:rPr>
            <m:t xml:space="preserve"> </m:t>
          </m:r>
          <m:rad>
            <m:radPr>
              <m:degHide m:val="1"/>
              <m:ctrlPr>
                <w:rPr>
                  <w:rFonts w:ascii="Cambria Math" w:hAnsi="Cambria Math"/>
                  <w:bCs/>
                  <w:i/>
                  <w:color w:val="FF0000"/>
                </w:rPr>
              </m:ctrlPr>
            </m:radPr>
            <m:deg/>
            <m:e>
              <m:f>
                <m:fPr>
                  <m:ctrlPr>
                    <w:rPr>
                      <w:rFonts w:ascii="Cambria Math" w:hAnsi="Cambria Math"/>
                      <w:bCs/>
                      <w:i/>
                      <w:color w:val="FF0000"/>
                    </w:rPr>
                  </m:ctrlPr>
                </m:fPr>
                <m:num>
                  <m:sSub>
                    <m:sSubPr>
                      <m:ctrlPr>
                        <w:rPr>
                          <w:rFonts w:ascii="Cambria Math" w:hAnsi="Cambria Math"/>
                          <w:bCs/>
                          <w:i/>
                          <w:color w:val="FF0000"/>
                        </w:rPr>
                      </m:ctrlPr>
                    </m:sSubPr>
                    <m:e>
                      <m:r>
                        <w:rPr>
                          <w:rFonts w:ascii="Cambria Math" w:hAnsi="Cambria Math"/>
                          <w:color w:val="FF0000"/>
                        </w:rPr>
                        <m:t>N</m:t>
                      </m:r>
                    </m:e>
                    <m:sub>
                      <m:r>
                        <w:rPr>
                          <w:rFonts w:ascii="Cambria Math" w:hAnsi="Cambria Math"/>
                          <w:color w:val="FF0000"/>
                        </w:rPr>
                        <m:t>p</m:t>
                      </m:r>
                    </m:sub>
                  </m:sSub>
                </m:num>
                <m:den>
                  <m:sSub>
                    <m:sSubPr>
                      <m:ctrlPr>
                        <w:rPr>
                          <w:rFonts w:ascii="Cambria Math" w:hAnsi="Cambria Math"/>
                          <w:bCs/>
                          <w:i/>
                          <w:color w:val="FF0000"/>
                        </w:rPr>
                      </m:ctrlPr>
                    </m:sSubPr>
                    <m:e>
                      <m:r>
                        <w:rPr>
                          <w:rFonts w:ascii="Cambria Math" w:hAnsi="Cambria Math"/>
                          <w:color w:val="FF0000"/>
                        </w:rPr>
                        <m:t>N</m:t>
                      </m:r>
                    </m:e>
                    <m:sub>
                      <m:r>
                        <w:rPr>
                          <w:rFonts w:ascii="Cambria Math" w:hAnsi="Cambria Math"/>
                          <w:color w:val="FF0000"/>
                        </w:rPr>
                        <m:t>T</m:t>
                      </m:r>
                    </m:sub>
                  </m:sSub>
                  <m:d>
                    <m:dPr>
                      <m:ctrlPr>
                        <w:rPr>
                          <w:rFonts w:ascii="Cambria Math" w:hAnsi="Cambria Math"/>
                          <w:bCs/>
                          <w:i/>
                          <w:color w:val="FF0000"/>
                        </w:rPr>
                      </m:ctrlPr>
                    </m:dPr>
                    <m:e>
                      <m:sSub>
                        <m:sSubPr>
                          <m:ctrlPr>
                            <w:rPr>
                              <w:rFonts w:ascii="Cambria Math" w:hAnsi="Cambria Math"/>
                              <w:bCs/>
                              <w:i/>
                              <w:color w:val="FF0000"/>
                            </w:rPr>
                          </m:ctrlPr>
                        </m:sSubPr>
                        <m:e>
                          <m:r>
                            <w:rPr>
                              <w:rFonts w:ascii="Cambria Math" w:hAnsi="Cambria Math"/>
                              <w:color w:val="FF0000"/>
                            </w:rPr>
                            <m:t>N</m:t>
                          </m:r>
                        </m:e>
                        <m:sub>
                          <m:r>
                            <w:rPr>
                              <w:rFonts w:ascii="Cambria Math" w:hAnsi="Cambria Math"/>
                              <w:color w:val="FF0000"/>
                            </w:rPr>
                            <m:t>T</m:t>
                          </m:r>
                        </m:sub>
                      </m:sSub>
                      <m:r>
                        <w:rPr>
                          <w:rFonts w:ascii="Cambria Math" w:hAnsi="Cambria Math"/>
                          <w:color w:val="FF0000"/>
                        </w:rPr>
                        <m:t>-</m:t>
                      </m:r>
                      <m:sSub>
                        <m:sSubPr>
                          <m:ctrlPr>
                            <w:rPr>
                              <w:rFonts w:ascii="Cambria Math" w:hAnsi="Cambria Math"/>
                              <w:bCs/>
                              <w:i/>
                              <w:color w:val="FF0000"/>
                            </w:rPr>
                          </m:ctrlPr>
                        </m:sSubPr>
                        <m:e>
                          <m:r>
                            <w:rPr>
                              <w:rFonts w:ascii="Cambria Math" w:hAnsi="Cambria Math"/>
                              <w:color w:val="FF0000"/>
                            </w:rPr>
                            <m:t>N</m:t>
                          </m:r>
                        </m:e>
                        <m:sub>
                          <m:r>
                            <w:rPr>
                              <w:rFonts w:ascii="Cambria Math" w:hAnsi="Cambria Math"/>
                              <w:color w:val="FF0000"/>
                            </w:rPr>
                            <m:t>P</m:t>
                          </m:r>
                        </m:sub>
                      </m:sSub>
                    </m:e>
                  </m:d>
                </m:den>
              </m:f>
            </m:e>
          </m:rad>
        </m:oMath>
      </m:oMathPara>
    </w:p>
    <w:p w14:paraId="367A22ED" w14:textId="77777777" w:rsidR="00B725A7" w:rsidRPr="00B725A7" w:rsidRDefault="00B725A7" w:rsidP="00B725A7">
      <w:pPr>
        <w:pStyle w:val="ListParagraph"/>
        <w:ind w:left="0"/>
        <w:jc w:val="center"/>
        <w:rPr>
          <w:bCs/>
          <w:color w:val="FF0000"/>
        </w:rPr>
      </w:pPr>
    </w:p>
    <w:p w14:paraId="069AACA0" w14:textId="77777777" w:rsidR="00B725A7" w:rsidRPr="00B725A7" w:rsidRDefault="00B725A7" w:rsidP="00B725A7">
      <w:pPr>
        <w:rPr>
          <w:bCs/>
          <w:color w:val="FF0000"/>
        </w:rPr>
      </w:pPr>
      <w:r w:rsidRPr="00B725A7">
        <w:rPr>
          <w:bCs/>
          <w:color w:val="FF0000"/>
        </w:rPr>
        <w:t>Calculate the sample concentration (molecules/</w:t>
      </w:r>
      <w:r w:rsidRPr="00B725A7">
        <w:rPr>
          <w:color w:val="FF0000"/>
        </w:rPr>
        <w:t>µL)</w:t>
      </w:r>
      <w:r w:rsidRPr="00B725A7">
        <w:rPr>
          <w:bCs/>
          <w:color w:val="FF0000"/>
        </w:rPr>
        <w:t xml:space="preserve"> using the volume (</w:t>
      </w:r>
      <m:oMath>
        <m:r>
          <w:rPr>
            <w:rFonts w:ascii="Cambria Math" w:hAnsi="Cambria Math"/>
            <w:color w:val="FF0000"/>
          </w:rPr>
          <m:t>ν</m:t>
        </m:r>
      </m:oMath>
      <w:r w:rsidRPr="00B725A7">
        <w:rPr>
          <w:color w:val="FF0000"/>
        </w:rPr>
        <w:t xml:space="preserve"> in µL</w:t>
      </w:r>
      <w:r w:rsidRPr="00B725A7">
        <w:rPr>
          <w:bCs/>
          <w:color w:val="FF0000"/>
        </w:rPr>
        <w:t xml:space="preserve">) of sample added in step </w:t>
      </w:r>
      <w:r w:rsidRPr="00B725A7">
        <w:rPr>
          <w:b/>
          <w:color w:val="FF0000"/>
        </w:rPr>
        <w:t>2.6</w:t>
      </w:r>
      <w:r w:rsidRPr="00B725A7">
        <w:rPr>
          <w:bCs/>
          <w:color w:val="FF0000"/>
        </w:rPr>
        <w:t>, the concentration of the sample can be calculated by:</w:t>
      </w:r>
    </w:p>
    <w:p w14:paraId="76DD3762" w14:textId="77777777" w:rsidR="00B725A7" w:rsidRPr="00B725A7" w:rsidRDefault="00B725A7" w:rsidP="00B725A7">
      <w:pPr>
        <w:rPr>
          <w:bCs/>
          <w:color w:val="FF0000"/>
        </w:rPr>
      </w:pPr>
    </w:p>
    <w:p w14:paraId="1FA2B2D3" w14:textId="77777777" w:rsidR="00B725A7" w:rsidRPr="00B725A7" w:rsidRDefault="00B725A7" w:rsidP="00B725A7">
      <w:pPr>
        <w:jc w:val="center"/>
        <w:rPr>
          <w:bCs/>
          <w:color w:val="FF0000"/>
        </w:rPr>
      </w:pPr>
      <m:oMathPara>
        <m:oMath>
          <m:r>
            <w:rPr>
              <w:rFonts w:ascii="Cambria Math" w:hAnsi="Cambria Math"/>
              <w:color w:val="FF0000"/>
            </w:rPr>
            <m:t xml:space="preserve">concentration= </m:t>
          </m:r>
          <m:f>
            <m:fPr>
              <m:ctrlPr>
                <w:rPr>
                  <w:rFonts w:ascii="Cambria Math" w:hAnsi="Cambria Math"/>
                  <w:bCs/>
                  <w:i/>
                  <w:color w:val="FF0000"/>
                </w:rPr>
              </m:ctrlPr>
            </m:fPr>
            <m:num>
              <m:r>
                <w:rPr>
                  <w:rFonts w:ascii="Cambria Math" w:hAnsi="Cambria Math"/>
                  <w:color w:val="FF0000"/>
                </w:rPr>
                <m:t>λ</m:t>
              </m:r>
            </m:num>
            <m:den>
              <m:r>
                <w:rPr>
                  <w:rFonts w:ascii="Cambria Math" w:hAnsi="Cambria Math"/>
                  <w:color w:val="FF0000"/>
                </w:rPr>
                <m:t>ν</m:t>
              </m:r>
            </m:den>
          </m:f>
        </m:oMath>
      </m:oMathPara>
    </w:p>
    <w:p w14:paraId="3FB304D2" w14:textId="77777777" w:rsidR="00B725A7" w:rsidRPr="00B725A7" w:rsidRDefault="00B725A7" w:rsidP="00B725A7">
      <w:pPr>
        <w:jc w:val="center"/>
        <w:rPr>
          <w:bCs/>
          <w:color w:val="FF0000"/>
        </w:rPr>
      </w:pPr>
    </w:p>
    <w:p w14:paraId="2575D13A" w14:textId="761423D8" w:rsidR="001419C5" w:rsidRDefault="00B725A7" w:rsidP="00B725A7">
      <w:pPr>
        <w:rPr>
          <w:bCs/>
        </w:rPr>
      </w:pPr>
      <w:r w:rsidRPr="00B725A7">
        <w:rPr>
          <w:bCs/>
          <w:color w:val="FF0000"/>
        </w:rPr>
        <w:lastRenderedPageBreak/>
        <w:t>The mean and standard deviation of the sample concentration is determined using technical replicates.</w:t>
      </w:r>
      <w:bookmarkEnd w:id="34"/>
      <w:r w:rsidR="001419C5">
        <w:rPr>
          <w:bCs/>
        </w:rPr>
        <w:t>”</w:t>
      </w:r>
    </w:p>
    <w:p w14:paraId="3702286B" w14:textId="77777777" w:rsidR="001419C5" w:rsidRDefault="001419C5" w:rsidP="001419C5">
      <w:pPr>
        <w:rPr>
          <w:bCs/>
        </w:rPr>
      </w:pPr>
    </w:p>
    <w:p w14:paraId="7EA2D51E" w14:textId="77777777" w:rsidR="002C0A7C" w:rsidRDefault="002C0A7C" w:rsidP="002C0A7C">
      <w:pPr>
        <w:spacing w:after="0"/>
      </w:pPr>
      <w:r>
        <w:t>Minor Concerns:</w:t>
      </w:r>
    </w:p>
    <w:p w14:paraId="47D6D337" w14:textId="54558A07" w:rsidR="002C0A7C" w:rsidRDefault="002C0A7C" w:rsidP="002C0A7C">
      <w:pPr>
        <w:spacing w:after="0"/>
      </w:pPr>
      <w:bookmarkStart w:id="35" w:name="_Hlk61621666"/>
      <w:r>
        <w:t>4. It is better to explain what are HFE-7500 and perfluoro-1-octanol, their physical properties, and how they work in the protocol. Not all authors are familiar with these materials.</w:t>
      </w:r>
    </w:p>
    <w:bookmarkEnd w:id="35"/>
    <w:p w14:paraId="709D1318" w14:textId="130CF87C" w:rsidR="00A06697" w:rsidRPr="000A5C65" w:rsidRDefault="00A06697" w:rsidP="002C0A7C">
      <w:pPr>
        <w:spacing w:after="0"/>
        <w:rPr>
          <w:i/>
          <w:iCs/>
          <w:color w:val="0070C0"/>
        </w:rPr>
      </w:pPr>
      <w:r w:rsidRPr="000A5C65">
        <w:rPr>
          <w:i/>
          <w:iCs/>
          <w:color w:val="0070C0"/>
        </w:rPr>
        <w:tab/>
      </w:r>
      <w:bookmarkStart w:id="36" w:name="_Hlk61689729"/>
      <w:r w:rsidR="00535D0B" w:rsidRPr="000A5C65">
        <w:rPr>
          <w:i/>
          <w:iCs/>
          <w:color w:val="0070C0"/>
        </w:rPr>
        <w:t>W</w:t>
      </w:r>
      <w:r w:rsidRPr="000A5C65">
        <w:rPr>
          <w:i/>
          <w:iCs/>
          <w:color w:val="0070C0"/>
        </w:rPr>
        <w:t>e have briefly elaborated on the purpose of these chemicals within the protocol to benefit users.</w:t>
      </w:r>
      <w:bookmarkEnd w:id="36"/>
    </w:p>
    <w:p w14:paraId="1034A262" w14:textId="5AED2048" w:rsidR="00A06697" w:rsidRDefault="00190E39" w:rsidP="003D23D0">
      <w:pPr>
        <w:spacing w:after="0"/>
      </w:pPr>
      <w:r w:rsidRPr="00190E39">
        <w:rPr>
          <w:i/>
          <w:iCs/>
        </w:rPr>
        <w:t>“</w:t>
      </w:r>
      <w:r w:rsidR="003D23D0" w:rsidRPr="003D23D0">
        <w:rPr>
          <w:i/>
          <w:iCs/>
        </w:rPr>
        <w:t xml:space="preserve">Prepare an insoluble continuous phase consisting of 5% (w/w) 008-fluoroSurfactant and 1% N,N,NN-Tetramethylethylenedi (TEMED) in hydrofluoroether (HFE) oil </w:t>
      </w:r>
      <w:r w:rsidR="003D23D0" w:rsidRPr="003D23D0">
        <w:rPr>
          <w:i/>
          <w:iCs/>
          <w:color w:val="FF0000"/>
        </w:rPr>
        <w:t>for the generation and stabilization of droplets</w:t>
      </w:r>
      <w:r w:rsidR="00A06697" w:rsidRPr="00A06697">
        <w:rPr>
          <w:bCs/>
        </w:rPr>
        <w:t>.</w:t>
      </w:r>
      <w:r w:rsidR="00A06697">
        <w:t>”</w:t>
      </w:r>
    </w:p>
    <w:p w14:paraId="3F468A43" w14:textId="3832333B" w:rsidR="00190E39" w:rsidRPr="00A06697" w:rsidRDefault="00190E39" w:rsidP="00A06697">
      <w:r>
        <w:t>“</w:t>
      </w:r>
      <w:r w:rsidR="003D23D0" w:rsidRPr="003D23D0">
        <w:t xml:space="preserve">Add 1 mL of 20% (v/v) perfluoro-1-octanol (PFO) in HFE oil to the 15 mL collection tube </w:t>
      </w:r>
      <w:r w:rsidR="003D23D0" w:rsidRPr="003D23D0">
        <w:rPr>
          <w:color w:val="FF0000"/>
        </w:rPr>
        <w:t>as a chemical demulsifier</w:t>
      </w:r>
      <w:r w:rsidRPr="00190E39">
        <w:t>.</w:t>
      </w:r>
      <w:r>
        <w:t>”</w:t>
      </w:r>
    </w:p>
    <w:p w14:paraId="1771AD70" w14:textId="6CF09FC1" w:rsidR="002C0A7C" w:rsidRDefault="002C0A7C" w:rsidP="002C0A7C">
      <w:pPr>
        <w:spacing w:after="0"/>
      </w:pPr>
      <w:r>
        <w:t>5. In line 161, authors recommended the particle concentration should be 450 particles/uL. I wonder how this concentration is important, and how it may be affected by the size of beads.</w:t>
      </w:r>
    </w:p>
    <w:p w14:paraId="4174912C" w14:textId="1ABE113E" w:rsidR="00654FBF" w:rsidRPr="000A5C65" w:rsidRDefault="00190E39" w:rsidP="002C0A7C">
      <w:pPr>
        <w:spacing w:after="0"/>
        <w:rPr>
          <w:i/>
          <w:iCs/>
          <w:color w:val="0070C0"/>
        </w:rPr>
      </w:pPr>
      <w:r>
        <w:tab/>
      </w:r>
      <w:r w:rsidRPr="000A5C65">
        <w:rPr>
          <w:i/>
          <w:iCs/>
          <w:color w:val="0070C0"/>
        </w:rPr>
        <w:t xml:space="preserve">The protocol is flexible </w:t>
      </w:r>
      <w:r w:rsidR="00654FBF" w:rsidRPr="000A5C65">
        <w:rPr>
          <w:i/>
          <w:iCs/>
          <w:color w:val="0070C0"/>
        </w:rPr>
        <w:t>in regard to</w:t>
      </w:r>
      <w:r w:rsidRPr="000A5C65">
        <w:rPr>
          <w:i/>
          <w:iCs/>
          <w:color w:val="0070C0"/>
        </w:rPr>
        <w:t xml:space="preserve"> the particle concentration. The target is to supply sufficient </w:t>
      </w:r>
      <w:r w:rsidR="00654FBF" w:rsidRPr="000A5C65">
        <w:rPr>
          <w:i/>
          <w:iCs/>
          <w:color w:val="0070C0"/>
        </w:rPr>
        <w:t>templating particles for the Poisson loading of the sample. We have clarified this fact within the protocol.</w:t>
      </w:r>
    </w:p>
    <w:p w14:paraId="1AF96758" w14:textId="2D38B555" w:rsidR="00190E39" w:rsidRPr="007F0CA5" w:rsidRDefault="007F0CA5" w:rsidP="002C0A7C">
      <w:pPr>
        <w:spacing w:after="0"/>
      </w:pPr>
      <w:r w:rsidRPr="007F0CA5">
        <w:t>“</w:t>
      </w:r>
      <w:r w:rsidR="00060E7A" w:rsidRPr="00060E7A">
        <w:rPr>
          <w:color w:val="FF0000"/>
        </w:rPr>
        <w:t>NOTE: The presence of excess aqueous content can decrease encapsulation efficiency. If the sample volume exceeds 1% of the pellet volume, concentrate the sample. If the sample cannot be concentrated, the PCR master mix and resulting pellet volume can be scaled according to the sample volume.</w:t>
      </w:r>
      <w:r w:rsidRPr="007F0CA5">
        <w:t>”</w:t>
      </w:r>
    </w:p>
    <w:p w14:paraId="03633F68" w14:textId="77777777" w:rsidR="007F0CA5" w:rsidRDefault="007F0CA5" w:rsidP="002C0A7C">
      <w:pPr>
        <w:spacing w:after="0"/>
      </w:pPr>
    </w:p>
    <w:p w14:paraId="7F176DF6" w14:textId="5D0A3E75" w:rsidR="002C0A7C" w:rsidRDefault="002C0A7C" w:rsidP="002C0A7C">
      <w:pPr>
        <w:spacing w:after="0"/>
      </w:pPr>
      <w:bookmarkStart w:id="37" w:name="_Hlk61622407"/>
      <w:r>
        <w:t>6. In line 171, authors noted that it is important to record the volume of removed supernatant. It is informative to mention the typical volume removed in this protocol.</w:t>
      </w:r>
    </w:p>
    <w:bookmarkEnd w:id="37"/>
    <w:p w14:paraId="6D0AFBD2" w14:textId="7ED50A2B" w:rsidR="00190E39" w:rsidRPr="000A5C65" w:rsidRDefault="00190E39" w:rsidP="002C0A7C">
      <w:pPr>
        <w:spacing w:after="0"/>
        <w:rPr>
          <w:i/>
          <w:iCs/>
          <w:color w:val="0070C0"/>
        </w:rPr>
      </w:pPr>
      <w:r w:rsidRPr="000A5C65">
        <w:rPr>
          <w:color w:val="0070C0"/>
        </w:rPr>
        <w:tab/>
      </w:r>
      <w:bookmarkStart w:id="38" w:name="_Hlk61690092"/>
      <w:r w:rsidRPr="000A5C65">
        <w:rPr>
          <w:i/>
          <w:iCs/>
          <w:color w:val="0070C0"/>
        </w:rPr>
        <w:t xml:space="preserve">We have updated the protocol </w:t>
      </w:r>
      <w:r w:rsidR="00654FBF" w:rsidRPr="000A5C65">
        <w:rPr>
          <w:i/>
          <w:iCs/>
          <w:color w:val="0070C0"/>
        </w:rPr>
        <w:t xml:space="preserve">to </w:t>
      </w:r>
      <w:r w:rsidR="007F0CA5" w:rsidRPr="000A5C65">
        <w:rPr>
          <w:i/>
          <w:iCs/>
          <w:color w:val="0070C0"/>
        </w:rPr>
        <w:t>better explain the expected volume of supernatant that should be removed.</w:t>
      </w:r>
      <w:bookmarkEnd w:id="38"/>
    </w:p>
    <w:p w14:paraId="7F16E4A3" w14:textId="2390618F" w:rsidR="00654FBF" w:rsidRPr="00654FBF" w:rsidRDefault="00654FBF" w:rsidP="002C0A7C">
      <w:pPr>
        <w:spacing w:after="0"/>
      </w:pPr>
      <w:r w:rsidRPr="00654FBF">
        <w:t>“</w:t>
      </w:r>
      <w:r w:rsidRPr="00654FBF">
        <w:rPr>
          <w:color w:val="FF0000"/>
        </w:rPr>
        <w:t>NOTE: The amount of supernatant extracted will vary depending on particle packing, diameter, and concentration with the minimum expected volume is 300 μL.</w:t>
      </w:r>
      <w:r w:rsidRPr="00654FBF">
        <w:t>”</w:t>
      </w:r>
    </w:p>
    <w:p w14:paraId="702D1B30" w14:textId="77777777" w:rsidR="00190E39" w:rsidRPr="00190E39" w:rsidRDefault="00190E39" w:rsidP="002C0A7C">
      <w:pPr>
        <w:spacing w:after="0"/>
        <w:rPr>
          <w:i/>
          <w:iCs/>
        </w:rPr>
      </w:pPr>
    </w:p>
    <w:p w14:paraId="40E27320" w14:textId="097E208C" w:rsidR="002C0A7C" w:rsidRDefault="002C0A7C" w:rsidP="002C0A7C">
      <w:pPr>
        <w:spacing w:after="0"/>
      </w:pPr>
      <w:r>
        <w:t>7. Line 174: The word "aqueous" is adjective, not noun.</w:t>
      </w:r>
    </w:p>
    <w:p w14:paraId="46B35AFF" w14:textId="2D0A6153" w:rsidR="00A52C31" w:rsidRPr="000A5C65" w:rsidRDefault="00A52C31" w:rsidP="002C0A7C">
      <w:pPr>
        <w:spacing w:after="0"/>
        <w:rPr>
          <w:i/>
          <w:iCs/>
          <w:color w:val="0070C0"/>
        </w:rPr>
      </w:pPr>
      <w:r w:rsidRPr="000A5C65">
        <w:rPr>
          <w:color w:val="0070C0"/>
        </w:rPr>
        <w:tab/>
      </w:r>
      <w:r w:rsidRPr="000A5C65">
        <w:rPr>
          <w:i/>
          <w:iCs/>
          <w:color w:val="0070C0"/>
        </w:rPr>
        <w:t>We have corrected the error with the addition of a noun.</w:t>
      </w:r>
    </w:p>
    <w:p w14:paraId="3E99625B" w14:textId="338AE27A" w:rsidR="00A52C31" w:rsidRDefault="00A52C31" w:rsidP="002C0A7C">
      <w:pPr>
        <w:spacing w:after="0"/>
        <w:rPr>
          <w:i/>
          <w:iCs/>
        </w:rPr>
      </w:pPr>
      <w:r>
        <w:rPr>
          <w:i/>
          <w:iCs/>
        </w:rPr>
        <w:t>“</w:t>
      </w:r>
      <w:r w:rsidR="004345FC">
        <w:rPr>
          <w:i/>
          <w:iCs/>
        </w:rPr>
        <w:t xml:space="preserve">… </w:t>
      </w:r>
      <w:r w:rsidRPr="00A52C31">
        <w:t xml:space="preserve">excess aqueous </w:t>
      </w:r>
      <w:r w:rsidRPr="00A52C31">
        <w:rPr>
          <w:color w:val="FF0000"/>
        </w:rPr>
        <w:t>content</w:t>
      </w:r>
      <w:r w:rsidR="004345FC" w:rsidRPr="002714F5">
        <w:t xml:space="preserve"> …</w:t>
      </w:r>
      <w:r>
        <w:rPr>
          <w:i/>
          <w:iCs/>
        </w:rPr>
        <w:t>”</w:t>
      </w:r>
    </w:p>
    <w:p w14:paraId="3AB01D12" w14:textId="77777777" w:rsidR="00A52C31" w:rsidRPr="00A52C31" w:rsidRDefault="00A52C31" w:rsidP="002C0A7C">
      <w:pPr>
        <w:spacing w:after="0"/>
        <w:rPr>
          <w:i/>
          <w:iCs/>
        </w:rPr>
      </w:pPr>
    </w:p>
    <w:p w14:paraId="4A6756BC" w14:textId="77777777" w:rsidR="002C0A7C" w:rsidRDefault="002C0A7C" w:rsidP="002C0A7C">
      <w:pPr>
        <w:spacing w:after="0"/>
      </w:pPr>
      <w:bookmarkStart w:id="39" w:name="_Hlk61623288"/>
      <w:r>
        <w:t>8. Line 175 to 177: The sentence is weird. I recommend to rewrite something like this,</w:t>
      </w:r>
    </w:p>
    <w:p w14:paraId="79774867" w14:textId="115819BA" w:rsidR="002C0A7C" w:rsidRDefault="002C0A7C" w:rsidP="002C0A7C">
      <w:pPr>
        <w:spacing w:after="0"/>
      </w:pPr>
      <w:r>
        <w:t>Note: Presence of excess aqueous phase often deteriorate the singe-bead encapsulation. If the sample volume exceeds 1% of the pellet volume, the excess aqueous phase should be removed by a second centrifugation at 6000 x g for 1 min, after mixing the sample and the pellet.</w:t>
      </w:r>
    </w:p>
    <w:bookmarkEnd w:id="39"/>
    <w:p w14:paraId="7BDFB468" w14:textId="2DF13353" w:rsidR="00A52C31" w:rsidRPr="000A5C65" w:rsidRDefault="00A52C31" w:rsidP="002C0A7C">
      <w:pPr>
        <w:spacing w:after="0"/>
        <w:rPr>
          <w:i/>
          <w:iCs/>
          <w:color w:val="0070C0"/>
        </w:rPr>
      </w:pPr>
      <w:r w:rsidRPr="000A5C65">
        <w:rPr>
          <w:color w:val="0070C0"/>
        </w:rPr>
        <w:tab/>
      </w:r>
      <w:bookmarkStart w:id="40" w:name="_Hlk61690162"/>
      <w:r w:rsidRPr="000A5C65">
        <w:rPr>
          <w:i/>
          <w:iCs/>
          <w:color w:val="0070C0"/>
        </w:rPr>
        <w:t>We have rewritten the sentence to improve its clarity.</w:t>
      </w:r>
      <w:bookmarkEnd w:id="40"/>
    </w:p>
    <w:p w14:paraId="0EA082BB" w14:textId="68C43CF8" w:rsidR="00A52C31" w:rsidRDefault="00A52C31" w:rsidP="002C0A7C">
      <w:pPr>
        <w:spacing w:after="0"/>
      </w:pPr>
      <w:r>
        <w:t>“</w:t>
      </w:r>
      <w:r w:rsidR="00F8687E" w:rsidRPr="00F8687E">
        <w:rPr>
          <w:color w:val="FF0000"/>
        </w:rPr>
        <w:t>NOTE: The presence of excess aqueous content can decrease encapsulation efficiency. If the sample volume exceeds 1% of the pellet volume, concentrate the sample. If the sample cannot be concentrated, the PCR master mix and resulting pellet volume can be scaled according to the sample volume.</w:t>
      </w:r>
      <w:r>
        <w:t>”</w:t>
      </w:r>
    </w:p>
    <w:p w14:paraId="586C1CE0" w14:textId="77777777" w:rsidR="004F31FE" w:rsidRPr="00A52C31" w:rsidRDefault="004F31FE" w:rsidP="002C0A7C">
      <w:pPr>
        <w:spacing w:after="0"/>
      </w:pPr>
    </w:p>
    <w:p w14:paraId="70219D03" w14:textId="7B256257" w:rsidR="002C0A7C" w:rsidRDefault="002C0A7C" w:rsidP="002C0A7C">
      <w:pPr>
        <w:spacing w:after="0"/>
      </w:pPr>
      <w:r>
        <w:t>9. Line 179 to 184: What is 2% "weitz"?</w:t>
      </w:r>
    </w:p>
    <w:p w14:paraId="643AADC5" w14:textId="62562A1E" w:rsidR="00A52C31" w:rsidRPr="000A5C65" w:rsidRDefault="00A52C31" w:rsidP="002C0A7C">
      <w:pPr>
        <w:spacing w:after="0"/>
        <w:rPr>
          <w:i/>
          <w:iCs/>
          <w:color w:val="0070C0"/>
        </w:rPr>
      </w:pPr>
      <w:r w:rsidRPr="000A5C65">
        <w:rPr>
          <w:i/>
          <w:iCs/>
          <w:color w:val="0070C0"/>
        </w:rPr>
        <w:tab/>
        <w:t xml:space="preserve">We </w:t>
      </w:r>
      <w:r w:rsidR="00180FE3" w:rsidRPr="000A5C65">
        <w:rPr>
          <w:i/>
          <w:iCs/>
          <w:color w:val="0070C0"/>
        </w:rPr>
        <w:t>have better defined the continuous phase within the protocol.</w:t>
      </w:r>
    </w:p>
    <w:p w14:paraId="7E2152B2" w14:textId="5084385B" w:rsidR="00180FE3" w:rsidRDefault="00180FE3" w:rsidP="002C0A7C">
      <w:pPr>
        <w:spacing w:after="0"/>
      </w:pPr>
      <w:r>
        <w:lastRenderedPageBreak/>
        <w:t>“</w:t>
      </w:r>
      <w:r w:rsidR="00787323" w:rsidRPr="00787323">
        <w:t xml:space="preserve">Add 200 μL 2% </w:t>
      </w:r>
      <w:r w:rsidR="00787323" w:rsidRPr="00787323">
        <w:rPr>
          <w:color w:val="FF0000"/>
        </w:rPr>
        <w:t>008-fluoroSurfactant</w:t>
      </w:r>
      <w:r w:rsidR="00787323" w:rsidRPr="00787323">
        <w:t xml:space="preserve"> in HFE oil to the tube as the insoluble continuous phase for emulsification</w:t>
      </w:r>
      <w:r>
        <w:t>.”</w:t>
      </w:r>
    </w:p>
    <w:p w14:paraId="702A297B" w14:textId="77777777" w:rsidR="00180FE3" w:rsidRDefault="00180FE3" w:rsidP="002C0A7C">
      <w:pPr>
        <w:spacing w:after="0"/>
      </w:pPr>
    </w:p>
    <w:p w14:paraId="54917732" w14:textId="1C8642CE" w:rsidR="002C0A7C" w:rsidRDefault="002C0A7C" w:rsidP="002C0A7C">
      <w:pPr>
        <w:spacing w:after="0"/>
      </w:pPr>
      <w:r>
        <w:t>10. Line 183: Remove this or the.</w:t>
      </w:r>
    </w:p>
    <w:p w14:paraId="65BD9AB2" w14:textId="25525DC7" w:rsidR="00180FE3" w:rsidRPr="000A5C65" w:rsidRDefault="00180FE3" w:rsidP="002C0A7C">
      <w:pPr>
        <w:spacing w:after="0"/>
        <w:rPr>
          <w:i/>
          <w:iCs/>
          <w:color w:val="0070C0"/>
        </w:rPr>
      </w:pPr>
      <w:r w:rsidRPr="000A5C65">
        <w:rPr>
          <w:color w:val="0070C0"/>
        </w:rPr>
        <w:tab/>
      </w:r>
      <w:r w:rsidRPr="000A5C65">
        <w:rPr>
          <w:i/>
          <w:iCs/>
          <w:color w:val="0070C0"/>
        </w:rPr>
        <w:t>We have updated the protocol accordingly.</w:t>
      </w:r>
    </w:p>
    <w:p w14:paraId="1CBE32B2" w14:textId="5FEB4445" w:rsidR="00180FE3" w:rsidRDefault="00180FE3" w:rsidP="002C0A7C">
      <w:pPr>
        <w:spacing w:after="0"/>
      </w:pPr>
      <w:r>
        <w:t>“</w:t>
      </w:r>
      <w:r w:rsidRPr="00180FE3">
        <w:t>Gently invert the tube several times to mix.</w:t>
      </w:r>
      <w:r>
        <w:t>”</w:t>
      </w:r>
    </w:p>
    <w:p w14:paraId="31B6623E" w14:textId="77777777" w:rsidR="00180FE3" w:rsidRDefault="00180FE3" w:rsidP="002C0A7C">
      <w:pPr>
        <w:spacing w:after="0"/>
      </w:pPr>
    </w:p>
    <w:p w14:paraId="78CDAB2B" w14:textId="01666906" w:rsidR="002C0A7C" w:rsidRDefault="002C0A7C" w:rsidP="002C0A7C">
      <w:pPr>
        <w:spacing w:after="0"/>
      </w:pPr>
      <w:r>
        <w:t>11. Line 183 to 184: It is unclear which step should be repeated for 3 to 5 times.</w:t>
      </w:r>
    </w:p>
    <w:p w14:paraId="50D7B5BD" w14:textId="00FB878D" w:rsidR="00180FE3" w:rsidRPr="000A5C65" w:rsidRDefault="00180FE3" w:rsidP="002C0A7C">
      <w:pPr>
        <w:spacing w:after="0"/>
        <w:rPr>
          <w:i/>
          <w:iCs/>
          <w:color w:val="0070C0"/>
        </w:rPr>
      </w:pPr>
      <w:r w:rsidRPr="000A5C65">
        <w:rPr>
          <w:color w:val="0070C0"/>
        </w:rPr>
        <w:tab/>
      </w:r>
      <w:r w:rsidRPr="000A5C65">
        <w:rPr>
          <w:i/>
          <w:iCs/>
          <w:color w:val="0070C0"/>
        </w:rPr>
        <w:t>We have separated this instruction into its own step referencing the previous step to better clarify what is to be repeated.</w:t>
      </w:r>
    </w:p>
    <w:p w14:paraId="1E2992DC" w14:textId="3609116B" w:rsidR="00180FE3" w:rsidRPr="00575E46" w:rsidRDefault="00180FE3" w:rsidP="00575E46">
      <w:pPr>
        <w:rPr>
          <w:bCs/>
        </w:rPr>
      </w:pPr>
      <w:r w:rsidRPr="00575E46">
        <w:t>“</w:t>
      </w:r>
      <w:bookmarkStart w:id="41" w:name="_Hlk61623628"/>
      <w:r w:rsidR="00575E46" w:rsidRPr="00D5646E">
        <w:rPr>
          <w:bCs/>
          <w:color w:val="FF0000"/>
        </w:rPr>
        <w:t xml:space="preserve">Repeat step </w:t>
      </w:r>
      <w:r w:rsidR="00575E46" w:rsidRPr="00D5646E">
        <w:rPr>
          <w:b/>
          <w:color w:val="FF0000"/>
        </w:rPr>
        <w:t>2.8</w:t>
      </w:r>
      <w:r w:rsidR="00575E46" w:rsidRPr="00D5646E">
        <w:rPr>
          <w:bCs/>
          <w:color w:val="FF0000"/>
        </w:rPr>
        <w:t xml:space="preserve"> up to 3-5 times or until small satellite droplets have been removed.</w:t>
      </w:r>
      <w:bookmarkEnd w:id="41"/>
      <w:r w:rsidRPr="00575E46">
        <w:t>”</w:t>
      </w:r>
    </w:p>
    <w:p w14:paraId="1276D9B8" w14:textId="77777777" w:rsidR="00180FE3" w:rsidRDefault="00180FE3" w:rsidP="002C0A7C">
      <w:pPr>
        <w:spacing w:after="0"/>
      </w:pPr>
    </w:p>
    <w:sectPr w:rsidR="00180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07EC8"/>
    <w:multiLevelType w:val="hybridMultilevel"/>
    <w:tmpl w:val="2DD0D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3DAF"/>
    <w:multiLevelType w:val="hybridMultilevel"/>
    <w:tmpl w:val="232C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12FD1"/>
    <w:multiLevelType w:val="hybridMultilevel"/>
    <w:tmpl w:val="FFAAAA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yMDI1MDc2Mjc2MTRX0lEKTi0uzszPAymwqAUAGdnPvSwAAAA="/>
  </w:docVars>
  <w:rsids>
    <w:rsidRoot w:val="002C0A7C"/>
    <w:rsid w:val="00003FC3"/>
    <w:rsid w:val="000524A5"/>
    <w:rsid w:val="00060E7A"/>
    <w:rsid w:val="00063EA3"/>
    <w:rsid w:val="000A5C65"/>
    <w:rsid w:val="00134741"/>
    <w:rsid w:val="001419C5"/>
    <w:rsid w:val="00180FE3"/>
    <w:rsid w:val="00190E39"/>
    <w:rsid w:val="001F1EB2"/>
    <w:rsid w:val="00220644"/>
    <w:rsid w:val="00240EA8"/>
    <w:rsid w:val="002714F5"/>
    <w:rsid w:val="00296A56"/>
    <w:rsid w:val="002A65CA"/>
    <w:rsid w:val="002A7224"/>
    <w:rsid w:val="002C0A7C"/>
    <w:rsid w:val="002D3B5C"/>
    <w:rsid w:val="002D4974"/>
    <w:rsid w:val="00306112"/>
    <w:rsid w:val="00330D16"/>
    <w:rsid w:val="0033337E"/>
    <w:rsid w:val="00371130"/>
    <w:rsid w:val="0039736B"/>
    <w:rsid w:val="003D15F3"/>
    <w:rsid w:val="003D23D0"/>
    <w:rsid w:val="004345FC"/>
    <w:rsid w:val="004623A5"/>
    <w:rsid w:val="004E1FEF"/>
    <w:rsid w:val="004F31FE"/>
    <w:rsid w:val="00506180"/>
    <w:rsid w:val="00535D0B"/>
    <w:rsid w:val="00536CE9"/>
    <w:rsid w:val="00575E46"/>
    <w:rsid w:val="005A3C66"/>
    <w:rsid w:val="00654375"/>
    <w:rsid w:val="00654FBF"/>
    <w:rsid w:val="00683430"/>
    <w:rsid w:val="006B5EF6"/>
    <w:rsid w:val="006C48AD"/>
    <w:rsid w:val="006E7ED4"/>
    <w:rsid w:val="00787323"/>
    <w:rsid w:val="007F0CA5"/>
    <w:rsid w:val="008A588C"/>
    <w:rsid w:val="008B76F1"/>
    <w:rsid w:val="00925D62"/>
    <w:rsid w:val="009312F5"/>
    <w:rsid w:val="0093469C"/>
    <w:rsid w:val="009D1023"/>
    <w:rsid w:val="00A06697"/>
    <w:rsid w:val="00A23AA6"/>
    <w:rsid w:val="00A335DD"/>
    <w:rsid w:val="00A52C31"/>
    <w:rsid w:val="00AB6015"/>
    <w:rsid w:val="00AD0F9F"/>
    <w:rsid w:val="00B10D3B"/>
    <w:rsid w:val="00B725A7"/>
    <w:rsid w:val="00B921A2"/>
    <w:rsid w:val="00C26CF8"/>
    <w:rsid w:val="00C4068E"/>
    <w:rsid w:val="00C66ADF"/>
    <w:rsid w:val="00CB1C4A"/>
    <w:rsid w:val="00CE3F78"/>
    <w:rsid w:val="00D5646E"/>
    <w:rsid w:val="00D70A2C"/>
    <w:rsid w:val="00DD4B9C"/>
    <w:rsid w:val="00DE7325"/>
    <w:rsid w:val="00E12920"/>
    <w:rsid w:val="00E31A92"/>
    <w:rsid w:val="00E81769"/>
    <w:rsid w:val="00E95A7B"/>
    <w:rsid w:val="00EE3C9E"/>
    <w:rsid w:val="00EF4E5A"/>
    <w:rsid w:val="00F213E9"/>
    <w:rsid w:val="00F21538"/>
    <w:rsid w:val="00F41660"/>
    <w:rsid w:val="00F7656F"/>
    <w:rsid w:val="00F836FD"/>
    <w:rsid w:val="00F8687E"/>
    <w:rsid w:val="00FC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A879"/>
  <w15:chartTrackingRefBased/>
  <w15:docId w15:val="{6153409E-B052-4006-B6EF-69DE151E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A7C"/>
    <w:rPr>
      <w:rFonts w:ascii="Segoe UI" w:hAnsi="Segoe UI" w:cs="Segoe UI"/>
      <w:sz w:val="18"/>
      <w:szCs w:val="18"/>
    </w:rPr>
  </w:style>
  <w:style w:type="paragraph" w:styleId="ListParagraph">
    <w:name w:val="List Paragraph"/>
    <w:basedOn w:val="Normal"/>
    <w:uiPriority w:val="34"/>
    <w:qFormat/>
    <w:rsid w:val="00F7656F"/>
    <w:pPr>
      <w:widowControl w:val="0"/>
      <w:spacing w:after="0" w:line="240" w:lineRule="auto"/>
      <w:ind w:left="720"/>
      <w:contextualSpacing/>
      <w:jc w:val="both"/>
    </w:pPr>
    <w:rPr>
      <w:rFonts w:ascii="Calibri" w:eastAsia="Calibri" w:hAnsi="Calibri" w:cs="Calibri"/>
      <w:sz w:val="24"/>
      <w:szCs w:val="24"/>
    </w:rPr>
  </w:style>
  <w:style w:type="character" w:styleId="CommentReference">
    <w:name w:val="annotation reference"/>
    <w:basedOn w:val="DefaultParagraphFont"/>
    <w:uiPriority w:val="99"/>
    <w:semiHidden/>
    <w:unhideWhenUsed/>
    <w:rsid w:val="00F7656F"/>
    <w:rPr>
      <w:sz w:val="16"/>
      <w:szCs w:val="16"/>
    </w:rPr>
  </w:style>
  <w:style w:type="paragraph" w:styleId="CommentText">
    <w:name w:val="annotation text"/>
    <w:basedOn w:val="Normal"/>
    <w:link w:val="CommentTextChar"/>
    <w:uiPriority w:val="99"/>
    <w:unhideWhenUsed/>
    <w:rsid w:val="00F7656F"/>
    <w:pPr>
      <w:widowControl w:val="0"/>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F7656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06697"/>
    <w:pPr>
      <w:widowControl/>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06697"/>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034063">
      <w:bodyDiv w:val="1"/>
      <w:marLeft w:val="0"/>
      <w:marRight w:val="0"/>
      <w:marTop w:val="0"/>
      <w:marBottom w:val="0"/>
      <w:divBdr>
        <w:top w:val="none" w:sz="0" w:space="0" w:color="auto"/>
        <w:left w:val="none" w:sz="0" w:space="0" w:color="auto"/>
        <w:bottom w:val="none" w:sz="0" w:space="0" w:color="auto"/>
        <w:right w:val="none" w:sz="0" w:space="0" w:color="auto"/>
      </w:divBdr>
    </w:div>
    <w:div w:id="1059132929">
      <w:bodyDiv w:val="1"/>
      <w:marLeft w:val="0"/>
      <w:marRight w:val="0"/>
      <w:marTop w:val="0"/>
      <w:marBottom w:val="0"/>
      <w:divBdr>
        <w:top w:val="none" w:sz="0" w:space="0" w:color="auto"/>
        <w:left w:val="none" w:sz="0" w:space="0" w:color="auto"/>
        <w:bottom w:val="none" w:sz="0" w:space="0" w:color="auto"/>
        <w:right w:val="none" w:sz="0" w:space="0" w:color="auto"/>
      </w:divBdr>
    </w:div>
    <w:div w:id="1197810275">
      <w:bodyDiv w:val="1"/>
      <w:marLeft w:val="0"/>
      <w:marRight w:val="0"/>
      <w:marTop w:val="0"/>
      <w:marBottom w:val="0"/>
      <w:divBdr>
        <w:top w:val="none" w:sz="0" w:space="0" w:color="auto"/>
        <w:left w:val="none" w:sz="0" w:space="0" w:color="auto"/>
        <w:bottom w:val="none" w:sz="0" w:space="0" w:color="auto"/>
        <w:right w:val="none" w:sz="0" w:space="0" w:color="auto"/>
      </w:divBdr>
    </w:div>
    <w:div w:id="210765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10</Pages>
  <Words>3680</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Weisgerber, Daniel W</dc:creator>
  <cp:keywords/>
  <dc:description/>
  <cp:lastModifiedBy>Weisgerber, Daniel W</cp:lastModifiedBy>
  <cp:revision>62</cp:revision>
  <dcterms:created xsi:type="dcterms:W3CDTF">2021-01-15T16:41:00Z</dcterms:created>
  <dcterms:modified xsi:type="dcterms:W3CDTF">2021-01-20T18:56:00Z</dcterms:modified>
</cp:coreProperties>
</file>