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Efficient dissection and culture of primary mouse retinal pigment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Blanca Chinchilla-Rodriguez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Heran Getachew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Rosario Fernandez-Godino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Ocular Genomics Institute of Massachusetts Eye and Ear, Harvard Medical School, Boston, MA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Rosario Fernandez-Godino</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(rosario_godino@meei.harvard.edu)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Blanca Chinchilla-Rodriguez (Blanca_chinchillarodriguez@meei.harvard.edu)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Heran Getachew</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(Heran_getachew@meei.harvard.edu)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RPE, primary RPE, RPE cultures, RPE isolation, ocular disorders, polarized RPE, RPE on Transwells, mouse eye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which was originally reported by Fernandez-Godino et al. in 2016</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describes a method to efficiently isolate and culture mouse RPE cells, which form a functional and polarized RPE monolayer within one week on Transwell plates. The procedure takes approximately 3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Eye disorders affect millions of people worldwide, but the limited availability of human tissues hinders their study. Mouse models are powerful tools to understand the pathophysiology of ocular diseases because of their similarities with human anatomy and physiology. Alterations in the retinal pigment epithelium (RPE), including changes in morphology and function, are common features shared by many ocular disorders. However, successful isolation and culture of primary mouse RPE cells is very challenging. This paper is an updated audiovisual version of the protocol previously published by Fernandez-Godino et al. to efficiently isolate and culture primary mouse RPE cells. This method is highly reproducible and results in robust cultures of highly polarized and pigmented RPE monolayers that can be maintained for several weeks on Transwells. This model opens new avenues for the study of the molecular and cellular mechanisms underlying eye diseases. Moreover, it provides a platform to test therapeutic approaches that can be used to treat important eye diseases with unmet medical needs, including inherited retinal disorders and macular degenerations.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which was originally reported by Fernandez-Godino et al. in 2016</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describes a method to efficiently isolate and culture mouse retinal pigment epithelium (RPE) cells, which form a functional and polarized RPE monolayer within one week on Transwell plates. The retinal pigment epithelium (RPE) is a monolayer located in the eye between the neural retina and the Bruch’s membrane. This single layer consists of highly polarized and pigmented epithelial cells joined by tight junctions, exhibiting a hexagonal shape that resembles a honeycomb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Despite this apparent histological simplicity, the RPE performs a wide variety of functions critical to the retina and the normal visual cycle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main functions of the RPE monolayer include light absorption, nourishment and renewal of photoreceptors, removal of metabolic end products, control of the ion homeostasis in the subretinal space and maintenance of the blood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retinal barrier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RPE also has an important role in local modulation of the immune system in the eye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Degeneration and/or dysfunction of the RPE are common features shared by many ocular disorders such as retinitis pigmentosa, Leber congenital amaurosis, albinism, diabetic retinopathy, and macular degeneration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Unfortunately, the availability of human tissues is limited. Given their highly conserved genetic homology with humans, mouse models represent a suitable and useful tool for studying ocular disorders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Furthermore, the use of cultured primary RPE cells provides advantages such as genetic manipulation and drug testing that can accelerate the development of new therapies for these vision-threatening disorders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methods available for mouse RPE isolation and culture lack reproducibly and do not recapitulate the RPE features in vivo with enough reliability. Cells tend to lose pigmentation, hexagonal shape and transepithelial electrical resistance (TER) within a few days in culture</w:t>
      </w:r>
      <w:r>
        <w:rPr>
          <w:rFonts w:ascii="Calibri" w:hAnsi="Calibri" w:cs="Calibri" w:eastAsia="Calibri"/>
          <w:color w:val="auto"/>
          <w:spacing w:val="0"/>
          <w:position w:val="0"/>
          <w:sz w:val="24"/>
          <w:shd w:fill="auto" w:val="clear"/>
          <w:vertAlign w:val="superscript"/>
        </w:rPr>
        <w:t xml:space="preserve">13, 20</w:t>
      </w:r>
      <w:r>
        <w:rPr>
          <w:rFonts w:ascii="Calibri" w:hAnsi="Calibri" w:cs="Calibri" w:eastAsia="Calibri"/>
          <w:color w:val="auto"/>
          <w:spacing w:val="0"/>
          <w:position w:val="0"/>
          <w:sz w:val="24"/>
          <w:shd w:fill="auto" w:val="clear"/>
        </w:rPr>
        <w:t xml:space="preserve">. Since establishing these primary RPE cell cultures from mice is a challenging process, this optimized protocol has been created based on other protocols to isolate RPE cells from rat and human eyes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dissect the mouse eyes, collect the RPE and culture the mouse RPE cells in vitro</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guidelines of the ARVO Statement for the Use of Animals in Ophthalmic and Vision Research were followed.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has been proven successful with mice of different genetic backgrounds, including </w:t>
      </w:r>
      <w:r>
        <w:rPr>
          <w:rFonts w:ascii="Calibri" w:hAnsi="Calibri" w:cs="Calibri" w:eastAsia="Calibri"/>
          <w:color w:val="292526"/>
          <w:spacing w:val="0"/>
          <w:position w:val="0"/>
          <w:sz w:val="24"/>
          <w:shd w:fill="auto" w:val="clear"/>
        </w:rPr>
        <w:t xml:space="preserve">C57BL/6J</w:t>
      </w:r>
      <w:r>
        <w:rPr>
          <w:rFonts w:ascii="Calibri" w:hAnsi="Calibri" w:cs="Calibri" w:eastAsia="Calibri"/>
          <w:color w:val="auto"/>
          <w:spacing w:val="0"/>
          <w:position w:val="0"/>
          <w:sz w:val="24"/>
          <w:shd w:fill="auto" w:val="clear"/>
        </w:rPr>
        <w:t xml:space="preserve">, B10.D2-Hc</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H2</w:t>
      </w:r>
      <w:r>
        <w:rPr>
          <w:rFonts w:ascii="Calibri" w:hAnsi="Calibri" w:cs="Calibri" w:eastAsia="Calibri"/>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 H2-T18</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/oSnJ, and albino mice, at various ages. Preferably use 8 to 12-week-old mice to obtain RPE cells. RPE cells from older mice proliferate less in culture and younger mice have fewer and smaller cells, which requires pooling eyes from different animals to have viable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reagents and the membrane inserts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following reagents.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HBSS-H</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(HBSS without calcium, without magnesium buffer + 10 mM HEPES):</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1 mL of 1 M HEPES to 99 mL of HBSS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(without Ca/Mg) buffer. Store at 4 &amp;#176;C up to 1 month.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HBSS-H+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(HBSS with calcium, with magnesium buffer + 10 mM HEPES):</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1 mL of 1 M HEPES to 99 mL of HBSS+ (with Ca/Mg) buffer. Store at 4 &amp;#176;C up to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hyaluronidase solution (1 mg/mL):</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10 mg of hyaluronidase to 10 mL of HBSS-H</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filter it with a 0.4 &amp;#181;m sterile syringe filter using a 10 mL syringe. Prepare fresh before use and leave it at room temperature (RT;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FBS solution: Mix 20% FBS with HBSS-H+. Add 2 mL of FBS to 8 mL of HBSS-H+. Prepare fresh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Prepare RPE medium: N1 Medium Supplement 1/100 (v/v), glutamine 1/100 (v/v), penicillin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streptomycin 1/100 (v/v) and nonessential amino acid solution 1/100 (v/v), hydrocortisone (20 &amp;#181;g/L), taurine (250 mg/L) and triiodo-thyronin (0.013 &amp;#181;g/L) in alpha MEM + 5% FBS or without FBS</w:t>
      </w:r>
      <w:r>
        <w:rPr>
          <w:rFonts w:ascii="Calibri" w:hAnsi="Calibri" w:cs="Calibri" w:eastAsia="Calibri"/>
          <w:color w:val="auto"/>
          <w:spacing w:val="0"/>
          <w:position w:val="0"/>
          <w:sz w:val="24"/>
          <w:shd w:fill="auto" w:val="clear"/>
          <w:vertAlign w:val="superscript"/>
        </w:rPr>
        <w:t xml:space="preserve">1,23,24</w:t>
      </w:r>
      <w:r>
        <w:rPr>
          <w:rFonts w:ascii="Calibri" w:hAnsi="Calibri" w:cs="Calibri" w:eastAsia="Calibri"/>
          <w:color w:val="auto"/>
          <w:spacing w:val="0"/>
          <w:position w:val="0"/>
          <w:sz w:val="24"/>
          <w:shd w:fill="auto" w:val="clear"/>
        </w:rPr>
        <w:t xml:space="preserve">. If desired, FBS may be heat-inactivated; no differences have been observed. Prepare fresh for RPE isolation. For cell culture maintenance, store at 4 &amp;#176;C up to 1 month.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Prepare trypsin-EDTA: Prepare small single-use aliquots (~8 mL) of fresh trypsin-EDTA (0.25%) and freeze them at -20 ᵒC. Thaw them at RT before each use. Avoid freeze-thaw cycles.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membrane inserts (e.g., Transwell inserts).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Equilibrate the 6.5-mm membrane inserts with RPE medium at least 30 min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-aerated incubator. Use one membrane insert to seed RPE cells from two mouse eyes.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After incubation, replace the medium of the lower compartment with 700 &amp;#181;L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Remove the medium from the top compartment and coat the membrane insert with 100 &amp;#181;L of 10 &amp;#181;g/mL mouse laminin (in PBS) for at least 2 h at RT (shorter incubations may lead to poor attachment of the cells to the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Coat an extra  membrane insert to use as a blank for TER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Dissection and enucleation of the mouse eyes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2"/>
          <w:sz w:val="24"/>
          <w:shd w:fill="auto" w:val="clear"/>
        </w:rPr>
      </w:pPr>
      <w:r>
        <w:rPr>
          <w:rFonts w:ascii="Calibri" w:hAnsi="Calibri" w:cs="Calibri" w:eastAsia="Calibri"/>
          <w:color w:val="auto"/>
          <w:spacing w:val="0"/>
          <w:position w:val="0"/>
          <w:sz w:val="24"/>
          <w:shd w:fill="auto" w:val="clear"/>
        </w:rPr>
        <w:t xml:space="preserve">2.1.</w:t>
        <w:tab/>
        <w:t xml:space="preserve">Euthanize the mice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by placing them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and slowly releasing CO</w:t>
      </w:r>
      <w:r>
        <w:rPr>
          <w:rFonts w:ascii="Calibri" w:hAnsi="Calibri" w:cs="Calibri" w:eastAsia="Calibri"/>
          <w:color w:val="auto"/>
          <w:spacing w:val="0"/>
          <w:position w:val="-2"/>
          <w:sz w:val="24"/>
          <w:shd w:fill="auto" w:val="clear"/>
          <w:vertAlign w:val="subscript"/>
        </w:rPr>
        <w:t xml:space="preserve">2 </w:t>
      </w:r>
      <w:r>
        <w:rPr>
          <w:rFonts w:ascii="Calibri" w:hAnsi="Calibri" w:cs="Calibri" w:eastAsia="Calibri"/>
          <w:color w:val="auto"/>
          <w:spacing w:val="0"/>
          <w:position w:val="-2"/>
          <w:sz w:val="24"/>
          <w:shd w:fill="auto" w:val="clear"/>
        </w:rPr>
        <w:t xml:space="preserve">at a fill rate of 30-70% of the chamber volume per minute.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the angled, serrated tips of micro-forceps on each side of the mouse eye and gently press to proptose the eyeball (enucleation).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Close the forceps placed around the eyeball. Then, pull gently while moving forward and backward to detach the whole eye with the optic nerve from the ocular muscles, ensuring that no connective tissue remains attached to the sclera.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Rinse the enucleated eyeball in 70% ethanol before placing them into one well of a six-well plate with 3 mL of HBSS-H</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Repeat steps 2.2 to 2.4 to remove the second eye of the mouse. Proceed with the next steps within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enucleating/dissecting only two eyes at a time until some experience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 acquired.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Collection of the RPE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under sterile conditions in a laminar flow hood. To avoid extended incubations on ice, which can result in RPE cell death, do not collect more than two eyes at a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Use a dissecting stereomicroscope, Dumont #5 forceps, and angled scissors to carefully clean away all the connective tissue, blood and muscles remaining attached to the eyeball without making any cuts in the sclera. Change the 3 mL of HBSS-H</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buffer regularly, as needed, to keep the eye fresh and clean, and avoid the contamination of the RPE cultures.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Use the optic nerve as a handle to hold the eyeball and make a hole in the center of the cornea with a sharp carbon-steel #11 blade.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Use Dumont #5 scissors to make three incisions in the cornea through the aforementioned hole, ensuring that there is sufficient space to remove the lens.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Hold the optic nerve and apply slight pressure to the ora serrata with the base of the angled scissors until the lens comes completely out. Leave the iris epithelium in place to prevent the detachment of the neural retina and RPE during incubation. Place the eye in HBSS-H.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Repeat Steps 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3.4 to dissect the second eye.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Incubate the eyes without lenses in hyaluronidase solution in a 12-well plate at 37 &amp;#176;C for 45 min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-aerated incubator (1.5 mL/well) to detach the neural retina from the RPE.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Place each eye in a new well and incubate it on ice for 30 min with 1.5 mL of cold HBSS-H+ buffer per well to stop the hyaluronidase activity. Do not extend the incubation for longer than 45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Wash, and place each eye into a 35-mm culture dish with fresh HBSS-H+ buffer and cut the cornea through the original incisions until reaching the the ora serrata</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by using 8-cm Vannas scissors. Then, cut below the ora serrata to remove the iris epithelium and cornea.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Hold the eyecup edge/ora serrata with curved tweezers and, using angled microforceps, pull away the neural retina making sure that the RPE layer is not cut. Then, cut the internal attachment to the optic nerve. If some RPE cells remain attached to the neural retina, extend the incubation time but do not exceed 45 min total.</w:t>
      </w:r>
      <w:r>
        <w:rPr>
          <w:rFonts w:ascii="Calibri" w:hAnsi="Calibri" w:cs="Calibri" w:eastAsia="Calibri"/>
          <w:color w:val="0000FF"/>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Cut the optic nerve and transfer each eyecup to a different 12-well plate containing 1.5 mL of fresh trypsin-EDTA per well. Ensure that the eyecups remain opened and completely submerged in the trypsin. Incubate the eyecups at 37 &amp;#176;C for 45 min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Collect each eyecup together with any RPE sheets detached during the trypsin incubation and transfer them into a 12-well plate containing 1.5 mL of FBS solution per well. If RPE sheets remain in the trypsin solution, use a micropipette to transfer them to the well with FBS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Isolation of primary mouse RPE cells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Hold each eyecup by the optic nerve and shake it face down into the 12-well plate containing 1.5 mL of 20% FBS in HBSS-H+ until the complete detachment of the RPE sheets is achieved.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Collect any RPE sheets and RPE clusters with a micropipette and place them in a 15-mL tube. Avoid any white pieces of sclera or choroid, which could contaminate the cultures. Pool two eyes from the same mouse in one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Centrifuge the mixture at 340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RT and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Gently resuspend the RPE pellet in 1 mL of trypsin-EDTA (0.25%) and incubate the mixture for 1 min in a water bath at 37 &amp;#176;C to disaggregate the RPE sheets into single cells. After incubation, gently pipet up and down 10x with a micropipette, avoiding bubble formation while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Add 9 mL of freshly prepared RPE medium to dilute and inactivate the trypsin and centrifuge the mixture at 340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Aspirate the supernatant and carefully resuspend the cell pellet in 150 &amp;#181;L of RPE medium with 5% FBS by using a micropipette, ensuring that cells are homogeneously resuspended and avoiding bubble formation while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Take laminin-coated membrane insert from step 1.2, remove PBS from the bottom chamber and add 700 &amp;#181;L of RPE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Remove the laminin from the upper chamber of the membrane insert and distribute</w:t>
      </w:r>
      <w:r>
        <w:rPr>
          <w:rFonts w:ascii="Calibri" w:hAnsi="Calibri" w:cs="Calibri" w:eastAsia="Calibri"/>
          <w:color w:val="000000"/>
          <w:spacing w:val="0"/>
          <w:position w:val="0"/>
          <w:sz w:val="24"/>
          <w:shd w:fill="FFFBB8" w:val="clear"/>
        </w:rPr>
        <w:t xml:space="preserve"> </w:t>
      </w:r>
      <w:r>
        <w:rPr>
          <w:rFonts w:ascii="Calibri" w:hAnsi="Calibri" w:cs="Calibri" w:eastAsia="Calibri"/>
          <w:color w:val="auto"/>
          <w:spacing w:val="0"/>
          <w:position w:val="0"/>
          <w:sz w:val="24"/>
          <w:shd w:fill="FFFF00" w:val="clear"/>
        </w:rPr>
        <w:t xml:space="preserve">the RPE cell suspension dropwise and uniformly to the center of the chamber, avoiding bubble formation while pipetting.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Place the membrane insert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leave undisturbed for at least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After 24 h, check the membrane insert under the microscope to make sure that most RPE cells are attached to the insert and the confluence is at least 50%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It is critical not to change media during the first 72 h.</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Culture of polarized RPE monolayers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Maintain the isolated RPE cells in culture for at least 72 h before refreshing the RPE medium to allow cell attachment. A cell confluence of 50% or more at seeding is fundamental for the formation of a suitable polarized RPE monolayer.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Change the culture medium twice a week using fresh and pre-warmed RPE medium (step 1.1.5) after the cells are attached. Serum can be removed from the culture medium after the first 72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one week in culture, cells should be confluent, hexagonal, bi-nucleated, pigmented and polarized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with expected cell numbers being around 50,000 cells per 6.5 mm Transwell insert. After two weeks in culture, RPE monolayers comprising of healthy cells are observed. RPE cultures display apical microvilli, basal infoldings, and tight junctions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TER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TER measurements of the RPE cells after a minimum of 4 days in culture to ensure a good integrity and polarization of the RPE monolayer.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Clean the electrodes of the voltohmmeter with 70% ethanol and dry them carefully.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Remove the membrane inserts from the incubator and perform TER measurement within 3 min to avoid alterations due to temperature fluctuations. To measure TER, immerse the short electrode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voltohmmeter in the upper chamber and the long electrode in the bottom chamber of the  membrane insert. Avoid contact with the RPE monolayer to prevent cell detachment.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To calculate TER, deduct the value of the blank (membrane insert coated with laminin without cells) from the sample. Then multiply the obtained value (in ohms) by the surface area of the membrane insert (0.33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case of 6.5-mm membrane insert). The product should be at least 200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after 72 h in culture. TER values should measure above 400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after two weeks. Discard RPE cultures with low TER values.</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used to isolate and culture RPE cells from genetically modified mice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 differences have been observed between mouse strains or gender. The results have helped to understand some important aspects of the mechanism underlying ocular diseases such as age-related macular degeneration, which is the most common cause of vision loss among the elderly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RPE cells isolated following this protocol were completely attached to the membrane insert 24 hours after seeding and showed the typical RPE size, morphology and pigmentation after 72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one week, a highly polarized RPE monolayer was formed by hexagonal pigmented RPE cells with two nuclei joined by tight junctions expressing ZO-1 (</w:t>
      </w:r>
      <w:r>
        <w:rPr>
          <w:rFonts w:ascii="Calibri" w:hAnsi="Calibri" w:cs="Calibri" w:eastAsia="Calibri"/>
          <w:b/>
          <w:color w:val="auto"/>
          <w:spacing w:val="0"/>
          <w:position w:val="0"/>
          <w:sz w:val="24"/>
          <w:shd w:fill="auto" w:val="clear"/>
        </w:rPr>
        <w:t xml:space="preserve">Figures 1C, 2</w:t>
      </w:r>
      <w:r>
        <w:rPr>
          <w:rFonts w:ascii="Calibri" w:hAnsi="Calibri" w:cs="Calibri" w:eastAsia="Calibri"/>
          <w:color w:val="auto"/>
          <w:spacing w:val="0"/>
          <w:position w:val="0"/>
          <w:sz w:val="24"/>
          <w:shd w:fill="auto" w:val="clear"/>
        </w:rPr>
        <w:t xml:space="preserve">). Transmission electron micrographs reveal the presence of apical microvilli and basal infoldings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Polarization of the RPE monolayer was confirmed by TER values with average higher than 200 </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remained stable over time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validation of this method was performed though phagocytosis assays. Mouse RPE cells were cultured on membrane inserts and fed with FITC-labeled bovine POS. POS engulfment and digestion were demonstrated by fluorescent microscopy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RPE cells at different time-points.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10x brightfield micrographs of RPE cells 24 h post seeding on  the membrane inserts,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one week.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Transmission electron micrographs display apical microvilli, basal infoldings, and melanin pigments (black spots) of the RPE cultured on  the membrane inserts for two weeks. Scale bars: A, B: 100 &amp;#181;m, C: 2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TER over time. </w:t>
      </w:r>
      <w:r>
        <w:rPr>
          <w:rFonts w:ascii="Calibri" w:hAnsi="Calibri" w:cs="Calibri" w:eastAsia="Calibri"/>
          <w:color w:val="auto"/>
          <w:spacing w:val="0"/>
          <w:position w:val="0"/>
          <w:sz w:val="24"/>
          <w:shd w:fill="auto" w:val="clear"/>
        </w:rPr>
        <w:t xml:space="preserve">The transepithelial electrical resistance (TER) of ~60 primary mouse RPE cell cultures on  membrane inserts was measured after 0.5 (n=33), 1 (n=58), 1.5 (n=54), and 2 (n=60) weeks. TER </w:t>
      </w:r>
      <w:r>
        <w:rPr>
          <w:rFonts w:ascii="Calibri" w:hAnsi="Calibri" w:cs="Calibri" w:eastAsia="Calibri"/>
          <w:color w:val="000000"/>
          <w:spacing w:val="0"/>
          <w:position w:val="0"/>
          <w:sz w:val="24"/>
          <w:shd w:fill="auto" w:val="clear"/>
        </w:rPr>
        <w:t xml:space="preserve">reaches over 200 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by 72 hours and remains stable for at least two weeks</w:t>
      </w:r>
      <w:r>
        <w:rPr>
          <w:rFonts w:ascii="Calibri" w:hAnsi="Calibri" w:cs="Calibri" w:eastAsia="Calibri"/>
          <w:color w:val="auto"/>
          <w:spacing w:val="0"/>
          <w:position w:val="0"/>
          <w:sz w:val="24"/>
          <w:shd w:fill="auto" w:val="clear"/>
        </w:rPr>
        <w:t xml:space="preserve">. Data represented as single values with average &amp;plusmn;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Phagocytosis assays.</w:t>
      </w:r>
      <w:r>
        <w:rPr>
          <w:rFonts w:ascii="Calibri" w:hAnsi="Calibri" w:cs="Calibri" w:eastAsia="Calibri"/>
          <w:color w:val="auto"/>
          <w:spacing w:val="0"/>
          <w:position w:val="0"/>
          <w:sz w:val="24"/>
          <w:shd w:fill="auto" w:val="clear"/>
        </w:rPr>
        <w:t xml:space="preserve"> 40x fluorescent micrographs of primary mouse RPE cultures fed with FITC-labeled bovine POS (green) for two hours and fixed with methanol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Smaller fragments correspond to digested POS inside the cytoplasm of the cell. Visualization of tight junctions (red) was facilitated by immunostaining with antibodies anti-ZO1 as previously described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DAPI (blue) was used to stain nuclei. Typical mouse RPE cells with two nuclei can be observed in the center of the image. Scale bar: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several methods for mouse RPE cell isolation and culture had been developed before</w:t>
      </w:r>
      <w:r>
        <w:rPr>
          <w:rFonts w:ascii="Calibri" w:hAnsi="Calibri" w:cs="Calibri" w:eastAsia="Calibri"/>
          <w:color w:val="auto"/>
          <w:spacing w:val="0"/>
          <w:position w:val="0"/>
          <w:sz w:val="24"/>
          <w:shd w:fill="auto" w:val="clear"/>
          <w:vertAlign w:val="superscript"/>
        </w:rPr>
        <w:t xml:space="preserve">1,13,20,22,26,27</w:t>
      </w:r>
      <w:r>
        <w:rPr>
          <w:rFonts w:ascii="Calibri" w:hAnsi="Calibri" w:cs="Calibri" w:eastAsia="Calibri"/>
          <w:color w:val="auto"/>
          <w:spacing w:val="0"/>
          <w:position w:val="0"/>
          <w:sz w:val="24"/>
          <w:shd w:fill="auto" w:val="clear"/>
        </w:rPr>
        <w:t xml:space="preserve">, Fernandez-Godino’s method first used membrane inserts allowing the efficient growth of the RPE cells in culture for weeks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Another major change in their protocol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was the use of enzymatic solutions instead of mechanical peeling to dissociate the RPE cells</w:t>
      </w:r>
      <w:r>
        <w:rPr>
          <w:rFonts w:ascii="Calibri" w:hAnsi="Calibri" w:cs="Calibri" w:eastAsia="Calibri"/>
          <w:color w:val="auto"/>
          <w:spacing w:val="0"/>
          <w:position w:val="0"/>
          <w:sz w:val="24"/>
          <w:shd w:fill="auto" w:val="clear"/>
          <w:vertAlign w:val="superscript"/>
        </w:rPr>
        <w:t xml:space="preserve">1,13,20,26</w:t>
      </w:r>
      <w:r>
        <w:rPr>
          <w:rFonts w:ascii="Calibri" w:hAnsi="Calibri" w:cs="Calibri" w:eastAsia="Calibri"/>
          <w:color w:val="auto"/>
          <w:spacing w:val="0"/>
          <w:position w:val="0"/>
          <w:sz w:val="24"/>
          <w:shd w:fill="auto" w:val="clear"/>
        </w:rPr>
        <w:t xml:space="preserve">. The lenses were removed through an incision in the cornea, leaving the iris epithelium intact and preserving the integrity of the retina during the first incubation. The gentle isolation of the RPE cells combined with the use of membrane inserts and specific RPE medium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results in an improved cell survival, enhancing the formation of a functional confluent monolayer which mimics the physiological conditions of the RPE within days in culture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Typically, primary mouse RPE cells cultured with this method display hexagonal morphology, polarization, pigmentation, barrier properties, and proliferation. Moreover, the RPE can be cultured in the absence of serum from day three up to several weeks, which is important to study complement-associated RPE pathologies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protocol is that primary mouse RPE cells cultured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membrane inserts cannot be expanded. Passaging primary mouse RPE cells with enzymatic solutions or culturing them for a long time results in loss of pigmentation, de-differentiation, and decreased TER, thereby losing the properties that resemble in vivo features. The limited amount of RPE cells obtained from one animal obligates to pool samples from different animals for transcriptomic and proteomic analyses, where relatively large amounts of starting material are required. It is not recommended to scale up the RPE cultures by pooling more eyes into a larger membrane insert, as it can result in a higher percentage of cell death and multilayered RPE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critical steps to the protocol as well. </w:t>
      </w:r>
      <w:r>
        <w:rPr>
          <w:rFonts w:ascii="Calibri" w:hAnsi="Calibri" w:cs="Calibri" w:eastAsia="Calibri"/>
          <w:color w:val="000000"/>
          <w:spacing w:val="0"/>
          <w:position w:val="0"/>
          <w:sz w:val="24"/>
          <w:shd w:fill="auto" w:val="clear"/>
        </w:rPr>
        <w:t xml:space="preserve">No more than two eyes should be harvested at the same time, since a prolonged dissection time results in a higher percentage of cell death. The optic nerve must be cut away only before the incubation with trypsin. It is critical to handle the eyecup without disturbing the RPE cells, but the optic nerve gets digested by trypsin, which leads to impurities in the RPE cultures. Peeling off the ocular muscles must be performed with caution. If the sclera is perforated and the neural retina pops out, the eye must be discarded because the RPE cells will be damaged and will not survive. </w:t>
      </w:r>
      <w:r>
        <w:rPr>
          <w:rFonts w:ascii="Calibri" w:hAnsi="Calibri" w:cs="Calibri" w:eastAsia="Calibri"/>
          <w:color w:val="auto"/>
          <w:spacing w:val="0"/>
          <w:position w:val="0"/>
          <w:sz w:val="24"/>
          <w:shd w:fill="auto" w:val="clear"/>
        </w:rPr>
        <w:t xml:space="preserve">Minimal pressure should be applied to remove the lenses. It is preferable to perform a larger corneal incision. It is critical that the eyecup is open and completely submerged in trypsin so that all the RPE cells are exposed to the solution. The RPE cells must be collected through gentle shaking of the eyecup, and never by spraying media or peeling them mechanically.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Ocular Genomics Institute at Massachusetts Eye and 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Fernandez-Godino, R., Garland, D.L., Pierce, E.A. Isolation, culture and characterization of primary mouse RPE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1206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1218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Strauss, O. The retinal pigment epithelium in visual function.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 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Konari, K. et al. Development of the blood-retinal barrier in vitro: Formation of tight junctions as revealed by occludin and ZO-1 correlates with the barrier function of chick retinal pigment epithelial cells.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(1995).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Kay, P., Yang, Y.C., Paraoan, L. Directional protein secretion by the retinal pigment epithelium: Roles in retinal health and the development of age-related macular degeneration.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843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Johnson, L. V., Leitner, W.P., Staples, M.K., Anderson, D.H. Complement activation and inflammatory processes in drusen formation and age related macular degeneration.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 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896 (2001).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Hageman, G.S. et al. An integrated hypothesis that considers drusen as biomarkers of immune-mediated processes at the RPE-Bruch’s membrane interface in aging and age-related macular degeneration.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 (2001).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Lommatzsch, A. et al. Are low inflammatory reactions involved in exudative age-related macular degeneration? </w:t>
      </w:r>
      <w:r>
        <w:rPr>
          <w:rFonts w:ascii="Calibri" w:hAnsi="Calibri" w:cs="Calibri" w:eastAsia="Calibri"/>
          <w:i/>
          <w:color w:val="auto"/>
          <w:spacing w:val="0"/>
          <w:position w:val="0"/>
          <w:sz w:val="24"/>
          <w:shd w:fill="auto" w:val="clear"/>
        </w:rPr>
        <w:t xml:space="preserve">Graefe’s Archive for 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(6),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Bandyopadhyay, M., Rohrer, B. Matrix metalloproteinase activity creates pro-angiogenic environment in primary human retinal pigment epithelial cells exposed to complement.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1953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1961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Fernandez-Godino, R., Garland, D.L., Pierce, E.A. A local complement response by RPE causes early-stage macular degeneration.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(19), 5555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5569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Fernandez-Godino, R., Bujakowska, K.M., Pierce, E.A. Changes in extracellular matrix cause RPE cells to make basal deposits and activate the alternative complement pathway.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Fernandez-Godino, R., Pierce, E.A. C3a triggers formation of sub-retinal pigment epithelium deposits via the ubiquitin proteasome pathway.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Farkas, M.H. et al. Mutations in Pre-mRNA processing factors 3, 8, and 31 cause dysfunction of the retinal pigment epithelium.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(10), 2641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2652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Geisen, P., Mccolm, J.R., King, B.M., Hartnett, E. Characterization of Barrier Properties and Inducible VEGF Expression of Several Types of Retinal Pigment Epithelium in Medium-Term Culture. </w:t>
      </w:r>
      <w:r>
        <w:rPr>
          <w:rFonts w:ascii="Calibri" w:hAnsi="Calibri" w:cs="Calibri" w:eastAsia="Calibri"/>
          <w:i/>
          <w:color w:val="auto"/>
          <w:spacing w:val="0"/>
          <w:position w:val="0"/>
          <w:sz w:val="24"/>
          <w:shd w:fill="auto" w:val="clear"/>
        </w:rPr>
        <w:t xml:space="preserve">Current Eye Research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74805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Sch&amp;#252;tze, C. et al. Retinal pigment epithelium findings in patients with albinism using wide-field polarization-sensitive optical coherence tomography. </w:t>
      </w:r>
      <w:r>
        <w:rPr>
          <w:rFonts w:ascii="Calibri" w:hAnsi="Calibri" w:cs="Calibri" w:eastAsia="Calibri"/>
          <w:i/>
          <w:color w:val="auto"/>
          <w:spacing w:val="0"/>
          <w:position w:val="0"/>
          <w:sz w:val="24"/>
          <w:shd w:fill="auto" w:val="clear"/>
        </w:rPr>
        <w:t xml:space="preserve">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2208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2217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Samuels, I.S., Bell, B.A., Pereira, A., Saxon, J., Peachey, N.S. Early retinal pigment epithelium dysfunction is concomitant with hyperglycemia in mouse models of type 1 and type 2 diabetes.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 1085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1099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Garland, D.L. et al. Mouse genetics and proteomic analyses demonstrate a critical role for complement in a model of DHRD/ML, an inherited macular degeneration.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Fu, L. et al. The R345W mutation in EFEMP1 is pathogenic and causes AMD-like deposits in mice.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(20), 2411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2422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Greenwald, S.H.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Mouse Models of NMNAT1-Leber Congenital Amaurosis (LCA9) Recapitulate Key Features of the Human Disease.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(7), 1925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1938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Gupta, P.R.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Ift172 conditional knock-out mice exhibit rapid retinal degeneration and protein trafficking defects.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(11), 2012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2024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Gibbs, D., Williams, D.S. Isolation and culture of primary mouse retinal pigmented epithelial cells.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533</w:t>
      </w:r>
      <w:r>
        <w:rPr>
          <w:rFonts w:ascii="Calibri" w:hAnsi="Calibri" w:cs="Calibri" w:eastAsia="Calibri"/>
          <w:color w:val="auto"/>
          <w:spacing w:val="0"/>
          <w:position w:val="0"/>
          <w:sz w:val="24"/>
          <w:shd w:fill="auto" w:val="clear"/>
        </w:rPr>
        <w:t xml:space="preserve">,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Bonilha, V.L., Finnemann, S.C., Rodriguez-Boulan, E. Ezrin promotes morphogenesis of apical microvilli and basal infoldings in retinal pigment epithelium.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(7), 1533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1547 (1999).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Nandrot, E.F. et al. Loss of synchronized retinal phagocytosis and age-related blindness in mice lacking &amp;#945;v&amp;#946;5 integrin.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(12), 1539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1545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Maminishkis, A. et al. Confluent monolayers of cultured human fetal retinal pigment epithelium exhibit morphology and physiology of native tissue.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(8), 3612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3624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Maminishkis, A., Miller, S.S. Experimental models for study of retinal pigment epithelial physiology and pathophysiology.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(45)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Brydon, E.M. et al. AAV-Mediated Gene Augmentation Therapy Restores Critical Functions in Mutant PRPF31+/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iPSC-Derived RPE Cells. </w:t>
      </w:r>
      <w:r>
        <w:rPr>
          <w:rFonts w:ascii="Calibri" w:hAnsi="Calibri" w:cs="Calibri" w:eastAsia="Calibri"/>
          <w:i/>
          <w:color w:val="auto"/>
          <w:spacing w:val="0"/>
          <w:position w:val="0"/>
          <w:sz w:val="24"/>
          <w:shd w:fill="auto" w:val="clear"/>
        </w:rPr>
        <w:t xml:space="preserve">Molecular Therapy - Methods and Clinical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(December), 392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Shang, P., Stepicheva, N.A., Hose, S., Zigler, J.S., Sinha, D. Primary cell cultures from the mouse retinal pigment epithelium.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(133)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Bonilha, V. Age and disease-related structural changes in the retinal pigment epithelium. </w:t>
      </w:r>
      <w:r>
        <w:rPr>
          <w:rFonts w:ascii="Calibri" w:hAnsi="Calibri" w:cs="Calibri" w:eastAsia="Calibri"/>
          <w:i/>
          <w:color w:val="auto"/>
          <w:spacing w:val="0"/>
          <w:position w:val="0"/>
          <w:sz w:val="24"/>
          <w:shd w:fill="auto" w:val="clear"/>
        </w:rPr>
        <w:t xml:space="preserve">Clinical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413 (2008).</w:t>
      </w:r>
    </w:p>
    <w:p>
      <w:pPr>
        <w:spacing w:before="0" w:after="0" w:line="240"/>
        <w:ind w:right="0" w:left="640" w:hanging="64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