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Large-scale Preparation of Synovial Fluid Mesenchymal Stem Cell-Derived Exosomes by 3D Bioreactor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Duan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Xingfu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Xiao Xu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Limei Xu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Daping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Kan Ouyang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Yujie Liang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Orthopedics, The First affiliated hospital of Shenzhen University, Shenzhen Second People's Hospital, Shenzhen, China, 518035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Guangdong Provincial Research Center for Artificial Intelligence and Digital Orthopedic Technology, Shenzhen Second People's Hospital, Shenzhen, China, 518035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Child and Adolescent Psychiatry, Shenzhen Kangning Hospital, Shenzhen Mental Health Center, Shenzhen Key Laboratory for Psychological Healthcare &amp;amp; Shenzhen Institute of Mental Health, Shenzhen, China, 518003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Duan</w:t>
        <w:tab/>
        <w:tab/>
        <w:tab/>
        <w:t xml:space="preserve">(lduan@szu.edu.cn)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Xingfu Li</w:t>
        <w:tab/>
        <w:tab/>
        <w:tab/>
        <w:t xml:space="preserve">(xingfulicom@hotmail.com)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 Xu</w:t>
        <w:tab/>
        <w:tab/>
        <w:tab/>
        <w:t xml:space="preserve">(xiaoxu.med@gmail.com)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Limei Xu</w:t>
        <w:tab/>
        <w:tab/>
        <w:tab/>
        <w:t xml:space="preserve">(xulm2014@163.com)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Daping Wang</w:t>
        <w:tab/>
        <w:t xml:space="preserve">(wangdp@mail.sustech.edu.cn)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 Ouyang</w:t>
        <w:tab/>
        <w:tab/>
        <w:t xml:space="preserve">(2019310687@stu.gzhmu.edu.cn)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Yujie Liang</w:t>
        <w:tab/>
        <w:tab/>
        <w:t xml:space="preserve">(liangyj@126.com)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 Ouyang</w:t>
        <w:tab/>
        <w:tab/>
        <w:t xml:space="preserve">(2019310687@stu.gzhmu.edu.cn)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Yujie Liang</w:t>
        <w:tab/>
        <w:tab/>
        <w:t xml:space="preserve">(liangyj@126.com)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 synovial fluid, mesenchymal stem cells; 3D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produce a large number of GMP-grade exosomes from synovial fluid mesenchymal stem cells using a 3D bioreactor.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secreted by mesenchymal stem cells (MSCs) have been suggested as promising candidates for cartilage injuries and osteoarthritis treatment. Exosomes for clinical application require large-scale production. To this aim, human synovial fluid MSCs (hSF-MSCs) were grown on microcarrier beads, and then cultured in a dynamic three-dimension (3D) culture system. Through utilizing 3D dynamic culture, this protocol successfully obtained large-scale exosomes from SF-MSC culture supernatants. Exosomes were harvested by ultracentrifugation and verified by a transmission electron microscope, nanoparticle transmission assay, and western blotting. Also, the microbiological safety of exosomes was detected. Results of exosome detection suggest that this approach can produce a large number of good manufacturing practices (GMP)-grade exosomes. These exosomes could be utilized in exosome biology research and clinical osteoarthritis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Osteoarthritis (OA), resulting from joint cartilage and underlying bone breakdown, remains a severe challenge leading to disability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Without blood and nerve supply, cartilage self-healing ability is minimal once being injured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the past decades, therapies based on autologous chondrocyte implantation (ACI) have made some progress in OA treatment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chondrocyte isolation and expansion, harvesting small cartilage from the OA joint's non-weight bearing area is necessary, causing injuries to the cartilage. Also, the procedure will require a second operation to implant the expanded chondrocytes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one-step therapies for OA treatment without cartilage injuries are under extensive exploration.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(MSCs) have been suggested as promising alternatives for OA treatment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Originating from multiple tissues, MSCs can differentiate into chondrocytes with specific stimulation. Importantly, MSCs can modulate immune responses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anti-inflammation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MSCs hold significant advantages in OA treatment by repairing cartilage defects and modulating the immune response, especially in the inflammation milieu. For OA treatment, MSCs from synovial fluid (SF-MSCs) have recently attracted much attention due to their stronger chondrocyte differentiation ability than other MSC sources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Notably, at the orthopedic clinic, the extraction of inflammatory SF from the joint cavity is a routine therapy to relieve the pain symptom of OA patients. Extracted inflammatory SF usually is disposed of as medical waste. Both patients and doctors are ready to consider autologous MSCs isolated from the inflammatory SF as OA treatment with very few ethical conflicts. However, SF-MSC therapy is compromised due to tumorigenic risks, long-time storage, and distant shipment barriers.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secreted by many cell types, including MSCs, carry most of the parent cell bio-information. It has been investigated in-depth as a cell-free therapy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According to the updated resources available on the clinical trial government (ClinicalTrials.gov) website, more extensive exosome clinical studies are initiated and undertaken in the research fields of cancer, hypertension, and neuro-degenerative diseases. SF-MSC exosome treatment could be an exciting and challenging trial to cope with OA. Good manufacturing practice (GMP)-grade and large-scale exosome production are essential for clinical translation. Small-scale exosome isolation has been widely performed based on two-dimensional (2D) cell culture. However, large-scale exosome production strategies need optimization. A large-scale exosome manufacturing method was developed in this study, based on massive SF-MSC culture in xeno-free conditions. After ultracentrifugation from cell culture supernatants, exosome safety and function were validated.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Human Ethics Committee of Shenzhen Second People's Hospital. A schematic diagram of exosomes isolated from hSF-MSCs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1"/>
          <w:shd w:fill="FFFF00"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b/>
          <w:color w:val="auto"/>
          <w:spacing w:val="0"/>
          <w:position w:val="0"/>
          <w:sz w:val="21"/>
          <w:shd w:fill="FFFF00" w:val="clear"/>
        </w:rPr>
        <w:t xml:space="preserve">Human SF-MSCs culture and identification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Harvest 20 mL of SF using a syringe and needle from clinical OA patients.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4"/>
          <w:shd w:fill="F5F5F5" w:val="clear"/>
        </w:rPr>
        <w:t xml:space="preserve">1.1.1.</w:t>
        <w:tab/>
      </w:r>
      <w:r>
        <w:rPr>
          <w:rFonts w:ascii="Calibri" w:hAnsi="Calibri" w:cs="Calibri" w:eastAsia="Calibri"/>
          <w:color w:val="auto"/>
          <w:spacing w:val="0"/>
          <w:position w:val="0"/>
          <w:sz w:val="24"/>
          <w:shd w:fill="auto" w:val="clear"/>
        </w:rPr>
        <w:t xml:space="preserve">Disinfect the knee joint of the OA patient. Puncture from the quadriceps femoris tendon outside the patella into the articular cavity with a 7# needle.</w:t>
      </w:r>
    </w:p>
    <w:p>
      <w:pPr>
        <w:spacing w:before="0" w:after="0" w:line="240"/>
        <w:ind w:right="0" w:left="0" w:firstLine="0"/>
        <w:jc w:val="both"/>
        <w:rPr>
          <w:rFonts w:ascii="Calibri" w:hAnsi="Calibri" w:cs="Calibri" w:eastAsia="Calibri"/>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4"/>
          <w:shd w:fill="auto" w:val="clear"/>
        </w:rPr>
        <w:t xml:space="preserve">1.1.2.</w:t>
        <w:tab/>
        <w:t xml:space="preserve">Extract 10 mL of the joint fluid. Cover the puncture site with the transfusion stick and press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Discard the SF supernatant after centrifugation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Resuspend the cell pellet with 10 mL of 1x phosphate buffer saline (PBS), centrifuge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discard the PBS.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Resuspend the pellet with 10 mL of human MSC culture medium at a cell density of 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then plate the suspension in a 100 mm dish.</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Incubate the dish at 37 &amp;#176;C in an atmosphere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After 48 h, remove the non-adherent cells by changing the medium and wash with 1x PBS. Replace the medium every 3 days for 2 weeks.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Collect the cell culture supernatants.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Identify SF-MSCs using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w:t>
        <w:tab/>
        <w:t xml:space="preserve">Digest the third generation (P3) of SF-MSCs, 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the supernatant and collect the cell pellet.</w:t>
      </w:r>
    </w:p>
    <w:p>
      <w:pPr>
        <w:widowControl w:val="false"/>
        <w:spacing w:before="0" w:after="0" w:line="240"/>
        <w:ind w:right="0" w:left="0" w:firstLine="0"/>
        <w:jc w:val="both"/>
        <w:rPr>
          <w:rFonts w:ascii="Calibri" w:hAnsi="Calibri" w:cs="Calibri" w:eastAsia="Calibri"/>
          <w:color w:val="auto"/>
          <w:spacing w:val="0"/>
          <w:position w:val="0"/>
          <w:sz w:val="24"/>
          <w:shd w:fill="00FF00" w:val="clear"/>
        </w:rPr>
      </w:pPr>
    </w:p>
    <w:p>
      <w:pPr>
        <w:widowControl w:val="false"/>
        <w:spacing w:before="0" w:after="0" w:line="240"/>
        <w:ind w:right="0" w:left="0" w:firstLine="4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passage is recognized as the sub-culture of the cells to another culture dish. The primary cells isolated from SF and seeded on dishes are labeled as passage zero (P0). At about 75% confluence, the cells are digested and detached from the dishes, seeded on other dishes, and labeled as P1.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w:t>
        <w:tab/>
        <w:t xml:space="preserve">Add 400 &amp;#181;L of blocking buffer (1% BSA in 1x PBS) to the cell pellet (5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and allow it to stand for 15 min at room temperature (RT).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1.8.3.</w:t>
        <w:tab/>
        <w:t xml:space="preserve">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the supernatant, and resuspend the pellet in 100 &amp;#181;L of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1.8.4.</w:t>
        <w:tab/>
        <w:t xml:space="preserve">Add 1 &amp;#181;L of CD105, CD73, CD90, CD45, CD34, HLA-DR monoclonal fluorescent antibody (dilution ratio 1:100)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per tube and incubate at RT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1.8.5.</w:t>
        <w:tab/>
        <w:t xml:space="preserve">Wash twice with 1x PBS and discard the supernatant. Collect the cell pellet and resuspend in 100 &amp;#181;L of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1.8.6.</w:t>
        <w:tab/>
        <w:t xml:space="preserve">Detect on a flow cytometer up to 10,000 cells using filters of 525/50 and 585/40 to detect the fluorophores.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1"/>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color w:val="auto"/>
          <w:spacing w:val="0"/>
          <w:position w:val="0"/>
          <w:sz w:val="21"/>
          <w:shd w:fill="FFFF00" w:val="clear"/>
        </w:rPr>
        <w:t xml:space="preserve">3D bioreactor cell culture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Microcarrier preparation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Swell the dry 0.75 g of microcarriers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hydrate in 1x Dulbecco's Phosphate Buffered Saline (DPBS) (50 mL/g of microcarriers) for at least 3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Decant the supernatant and wash the microcarriers for 5 min in fresh DPBS (50 mL/g of microcarriers). Discard the PBS and replace it with fresh 1x DPBS (50 mL/g of microcarriers).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Sterilize the microcarriers by autoclaving (121 &amp;#176;C, 15 min, 15 psi). Allow the sterilized microcarriers to settle, decant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Briefly rinse the microcarriers in the culture medium (50 mL/g of microcarriers) at RT. Allow the microcarriers to settle,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Perfusion bioreactor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Sterilize the bioreactor by autoclaving (121 &amp;#176;C, 15 min, 15 psi).</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Count the number of SF-MSCs and allocate 2.5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SF-MSCs and microcarriers to the bioreactor perfused with GMP-grade MSC culture medium (250 mL).</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Put the bioreactor in an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 Rotate the bioreactor at a speed of 15 rpm. Change the culture medium every 6 days.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Collect the cell culture supernatants and microcarriers for further analysis after culture for 14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1"/>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auto"/>
          <w:spacing w:val="0"/>
          <w:position w:val="0"/>
          <w:sz w:val="21"/>
          <w:shd w:fill="FFFF00" w:val="clear"/>
        </w:rPr>
        <w:t xml:space="preserve">Exosome identification and safety detection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Ultracentrifugation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Centrifuge the cell culture supernatant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collect the supernatant; discard the cellular debris.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Centrifuge the supernatants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collect the supernatant; discard the larger vesicles (apoptotic bodies and some larger microvesicles).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Centrifuge the supernatant again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4 &amp;#176;C to remove larger vesicles; collect the pellets and resuspend in 40 mL of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Centrifuge the resuspended pellets at 120,000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70 min at 4 &amp;#176;C, discard the supernatant, and resuspend the pellets that contain exosomes in 500 &amp;#181;L of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Nanoparticle tracking analysis (NTA)</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each run, 500 &amp;#181;L of the sample were injected into the chamber at a flow rate of 30 &amp;#181;L/min. Perform the analysis at 24.4 &amp;#176;C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24.5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Dilute the freshly isolated exosome samples with sterile 1x PBS to 1 mL containing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/mL of particles and inject them into the nanoparticle tracking analysis system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Manually set the capture and analysis system according to the manufacturer's protocol. Visualize the particles by laser light scattering and capture their Brownian motion on digital video.</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Analyze the recorded videotapes utilizing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based on tracking at least 200 individual particles per run.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Fix the exosomes in 4% paraformaldehyde (in cold 1x DPBS)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Mount 5 &amp;#181;L of the exosomes on copper grids. In this experiment, the concentration of exosomes is 1 mg/mL quantified by a protein assay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Embed the exosomes in 3% phosphotungstic acid for 10 min on ice. Remove the excess acid and dry the samples at RT.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Image the exosome samples by a TEM at an acceleration voltage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of 100 kV.</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Western blotting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Add 300 &amp;#181;L of lysis buffer (1% Triton X-100, 0.1% SDS, 0.1 M Tris HCl, pH 7) and protease inhibitors cocktail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the exosomes.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Mix the exosomes in the lysis buffer by pipetting up and down and allow it to stand on ice for 20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Centrifuge the mixture at 9,391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collect the supernatant. Measure the protein concentration using a protein assay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Add 100 &amp;#181;L of 4x protein loading buffer and heat at 100 &amp;#176;C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3.4.5.</w:t>
        <w:tab/>
        <w:t xml:space="preserve">Load 15 &amp;#181;L of proteins at a concentration of 10 mg/mL and run by gel electrophoresis (120 V, 70 min) and electroblotting at 100 V, 60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3.4.6.</w:t>
        <w:tab/>
        <w:t xml:space="preserve">Detect the non-exosome-specific markers (calnexin) and exosomal biomarkers (CD9, CD63, and CD81) by fluorescent western blotting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Safety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For bacteria, fungi, and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detection follow steps 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Seed 100 &amp;#181;L of the exosome solution (1 mg/mL) on a blood agar culture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the culture plate at 37 &amp;#176;C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Seed 100 &amp;#181;L of the exosome solution (1 mg/mL) on a sabouraud agar medium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at 35 &amp;#176;C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Seed 100 &amp;#181;L of the exosome solution (1 mg/mL) on a Lowenstein-Jensen culture medium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at 37 &amp;#176;C for 3 weeks.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t xml:space="preserve">Detect the appearance of bacteria, fungi, and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colonies by macroscopic observation.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Criteria for evaluating the safety of exosomes are the absence of microorganisms on the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w:t>
        <w:tab/>
        <w:t xml:space="preserve">For Mycoplasma detection, follow steps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3.5.7.</w:t>
        <w:tab/>
        <w:t xml:space="preserve">Resuspend the exosomes in 50 &amp;#181;L of buffer solution included in the kit and heat at 95 &amp;#176;C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3.5.8.</w:t>
        <w:tab/>
        <w:t xml:space="preserve">Amplify the Mycoplasma in exosome solution using a PCR Mycoplasma detection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3.5.9.</w:t>
        <w:tab/>
        <w:t xml:space="preserve">Detect the PCR products on 1.5% agarose gel electrophoresis (30 min, 120 V).</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exosome function detection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Exosome labeling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Label 100 &amp;#181;L of exosomes (1 mg/mL) with 1 mM Dil (1000x)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incubate at RT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Recover the exosomes by ultracentrifugation at 100,000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70 min. Resuspend the pellet in 500 &amp;#181;L of 1x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Loading of Cy3-miR-140 mimics into exosomes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Mix 1 &amp;#181;g/&amp;#181;L of exosomal protein and 5 &amp;#181;mol/mL of Cy3-miR-140 in a final volume of 400 &amp;#181;L of electroporation buffer (1.15 mM potassium phosphate (pH 7.2), 25 mM potassium chloride and 21% (v/v)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Transfer the mixture into cold 0.4 cm electroporation cuvettes and electroporate at 300 V/100 &amp;#181;F capacitance using a gene transfection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Immediately after electroporation, maintain the mixture at RT for 30 min to ensure the exosome membrane is fully restored.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Treat the mixtures with one unit of RNase 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20 min to eliminate the miRNA mimics outside the exosomes.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Ultracentrifugate the exosome mixture at 120,000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90 min, discard the supernatant and resuspend the exosomes in 500 &amp;#181;L of 1x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Exosome uptake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Seed the chondrocytes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35 mm confocal dishes with 1 mL of DMEM/F12 containing 10% FBS.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After 24 h, treat the chondrocytes with DiI-labeled exosomes (100 ng/mL) or cy3-miR-140 loaded exosomes (100 ng/mL)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Wash with 1x PBS three times, and then label with DAPI (10 ng/mL) for 10 min at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Record the fluorescence signal in confocal laser scanning fluorescence microscopy (CLSM) using the appropriate filters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Statistical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Perform statistical analysis using appropriate statistical software.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Representative data in each figure were expressed as the mean &amp;plusmn; SD. The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for the comparison of two groups using statistics software. A one-way ANOVA followed by Tukey's multiple was performed in the case of comparisons among multiple groups. P values &amp;lt;0.05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&amp;lt;0.01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 &amp;lt;0.001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was used to identify the surface markers of SF-MSCs, according to the minimal criteria to define human MSCs recommended by the International Society for Cellular Therapy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Flow cytometry analysis revealed that SF-MSCs cultured in this study met the identification criteria of MSCs. They were negative for CD34, CD45, and HLA-DR (below 3%) and positive for CD73, CD90, and CD105 (above 95%)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inverted microscopy, it was noticed that the SF-MSCs proliferate on microcarriers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After cells were digested and washed from the 2D culture plate and 3D culture microcarriers, the cell number was counted. Compared to 2D culture, 3D culture induced the SF-MSC to proliferate more quickly from 6 days onwards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Results of three independent experiments were presented.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the exosomes (Exos) from SF-MSCs of 2D and 3D culture, the exosome-associated proteins (CD63, CD9, and CD81) and negative protein (calnexin) were detected using western blotting. Results revealed that the 2D-Exos and 3D-Exos express CD63, CD9, and CD81, while they are negative for calnexin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Also, the exosome diameter and morphology were assayed using NTA and TEM. Nanosight analysis demonstrated that the diameter of 2D-Exos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3D-Exos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is approximately 120 nm. Transmission electronic microscope analysis revealed the morphology of 2D-Exos and 3D-Exos, showing roughly spheroidal vesicles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3D culture, the particle concentration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nm sized particles is 4.0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per mL analyzed using NTA. However, after the 2D culture, the particle concentration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nm particles is 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per mL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When calculating the exosome protein yield in the medium, 3D culture produced more exosome protein than 2D culture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Thus, compared to 2D culture, 3D culture significantly enhanced exosome yield.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exosomes were first labeled with Dil, and then incubated at a concentration of 10 &amp;#181;g/mL with the chondrocytes for 1 h, 2 h, and 3 h to examine whether exosomes can enter primary chondrocytes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Dil-labeled exosomes entered primary chondrocytes, with the peak seen at 3 h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tabs>
          <w:tab w:val="left" w:pos="655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detect the function of exosomes as nanocarriers, exosomes were loaded with Cy3-labeled miR-140 through electroporation, and then treated with chondrocytes at a concentration of 10 &amp;#181;g/mL for 3 h. Results demonstrated that exosomes could deliver miR-140 to chondrocytes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All the results met the specifications; all samples were sterile and negative for Mycoplasma.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exosomes isolated from hSF-MSCs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Identification of SF-MSCs by flow cytometry.</w:t>
      </w:r>
      <w:r>
        <w:rPr>
          <w:rFonts w:ascii="Calibri" w:hAnsi="Calibri" w:cs="Calibri" w:eastAsia="Calibri"/>
          <w:color w:val="auto"/>
          <w:spacing w:val="0"/>
          <w:position w:val="0"/>
          <w:sz w:val="24"/>
          <w:shd w:fill="auto" w:val="clear"/>
        </w:rPr>
        <w:t xml:space="preserve"> Flow cytometry shows the positive or negative immunophenotype of hSF-MSCs.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Labeling with an IgG1 isotype control antibody.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CD73 is positive, and CD34 is negative.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CD90 is positive, and CD45 is negative.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CD105 is positive, and HLA-DR is negative, known as MSC markers.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SF-MSC growth curve.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showing SF-MSCs (red arrows) on microcarriers under inverted microscopy (scale bar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growth curve of SF-MSC under 2D and 3D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Identification of exosomes.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Western blotting results of the 2D-Exos and 3D-Exos.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Nanosight analysis of the diameter of 2D-Exos and 3D-Exos.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TEM detection of the morphology of 2D-Exos and 3D-Exos.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enhanced yield of exosome production by 3D bioreactor 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results of exosome size analyzed by NTA.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Protein yield = exosomal protein (&amp;#181;g)/conditioned medium (mL). Plots show yield for each method and the mean &amp;plusmn; SD of all measurements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Statistical comparisons were performed by one-way ANOVA with post-hoc Bonferroni's correction and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was considered to be a significant difference.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showing the internalization of Dil-labeled exosomes by primary chondrocytes.</w:t>
      </w:r>
      <w:r>
        <w:rPr>
          <w:rFonts w:ascii="Calibri" w:hAnsi="Calibri" w:cs="Calibri" w:eastAsia="Calibri"/>
          <w:color w:val="auto"/>
          <w:spacing w:val="0"/>
          <w:position w:val="0"/>
          <w:sz w:val="24"/>
          <w:shd w:fill="auto" w:val="clear"/>
        </w:rPr>
        <w:t xml:space="preserve"> Chondrocytes were incubated with Dil-labeled exosomes for 1 h, 2 h, and 3 h. Exosomes were labeled with Dil (red), and nuclei were labeled with Hoechst (blue). Samples were detected at 60x magnification.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delivery of miR-140 by MSC exosomes.</w:t>
      </w:r>
      <w:r>
        <w:rPr>
          <w:rFonts w:ascii="Calibri" w:hAnsi="Calibri" w:cs="Calibri" w:eastAsia="Calibri"/>
          <w:color w:val="auto"/>
          <w:spacing w:val="0"/>
          <w:position w:val="0"/>
          <w:sz w:val="24"/>
          <w:shd w:fill="auto" w:val="clear"/>
        </w:rPr>
        <w:t xml:space="preserve"> After up-taking Cy3-labeled miR-140 that was encapsulated in SF-MSCs-derived exosomes, chondrocytes were imaged. Scale bar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mesenchymal stem cells have been widely used in regenerative medicine due to their self-renewal, differentiated into tissue cells with specialized functions, and paracrine effects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Notably, the paracrine effects exerted by exosomes have attracted much attention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Exosomes carry the bio-information of MSCs and perform their biological function and overcome MSC shortcomings, such as troublesome storage and shipment. Thus, exosomes derived from MSCs have been used for therapeutic interventions, which have attracted the most attention in OA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two methods to propagate MSCs, 2D culture and three-dimensional (3D) culture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2D culture is a conventional way to culture MSCs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with low costs. However, it is time-consuming and limited in scale potential. Also, MSC propagation in the 2D microenvironment quickly deduces the stemness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one of the most critical characteristics of MSCs. Thus, 2D culture cannot fulfill the requirements for MSC therapy. In this study, to the aim of SF-MSCs in OA therapy, we endeavor to maintain SF-MSC characteristics using the culture of a 3D bioreactor, which can more accurately mimic the biological microenvironment. Recently, other researchers have used scaffolds or microcarrier-based 3D to culture MSCs. We found that the 3D collagen scaffolds allowed more concentrated exosomes produced by human bone marrow-derived MSCs than 2D culture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exosomes can perform a large part of MSC function while avoiding some shortcomings of MSCs, we aim to produce exosomes for OA therapy. This study further detected the exosome production and delivery function using this system based on the large quantity and high quality of MSC propagation of 3D culture. The Rotary Cell Culture System (RCCS) was used for 3D culture to produce exosomes from large-scale MSC propagation. Compared to traditional 2D flask culture, this 3D culture system may avoid contamination from repeated medium change and cell passage. More importantly, this study showed that a 3D bioreactor could enhance exosome production to meet the clinical study requirements. Of note, exosomes isolated from 3D culture supernatants can deliver miRNAs into cells, suggesting that 3D culture does not interfere with exosome function. Microbial and endotoxin detection results further support that this study has established a protocol that could produce exosomes, which are biologically safe and promising for OA therapy. At present, the exosome quantity produced in this study cannot satisfy commercial needs. Hence, strategies for an enormous amount of exosome production need to be developed.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Natural Science Foundation of China (No. 81972116, No. 81972085, No. 81772394); Key Program of Natural Science Foundation of Guangdong Province (No.2018B0303110003); Guangdong International Cooperation Project (No.2021A0505030011); Shenzhen Science and Technology Projects (No. GJHZ20200731095606019, No. JCYJ20170817172023838, No. JCYJ20170306092215436, No. JCYJ20170413161649437); China Postdoctoral Science Foundation (No.2020M682907); Guangdong Basic and Applied Basic Research Foundation (No.2021A1515010985); Sanming Project of Medicine in Shenzhen (SZSM201612079); Special Funds for the Construction of High-level Hospitals in Guangdong Province.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Cross,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global burden of hip and knee osteoarthritis: estimates from the global burden of disease 2010 study. </w:t>
      </w:r>
      <w:r>
        <w:rPr>
          <w:rFonts w:ascii="Calibri" w:hAnsi="Calibri" w:cs="Calibri" w:eastAsia="Calibri"/>
          <w:i/>
          <w:color w:val="auto"/>
          <w:spacing w:val="0"/>
          <w:position w:val="0"/>
          <w:sz w:val="24"/>
          <w:shd w:fill="auto" w:val="clear"/>
        </w:rPr>
        <w:t xml:space="preserve">Annals of the Rheumatic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(7), 1323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Loeser, R. F., Goldring, S. R., Scanzello, C. R., Goldring, M. B. Osteoarthritis: a disease of the joint as an organ. </w:t>
      </w:r>
      <w:r>
        <w:rPr>
          <w:rFonts w:ascii="Calibri" w:hAnsi="Calibri" w:cs="Calibri" w:eastAsia="Calibri"/>
          <w:i/>
          <w:color w:val="auto"/>
          <w:spacing w:val="0"/>
          <w:position w:val="0"/>
          <w:sz w:val="24"/>
          <w:shd w:fill="auto" w:val="clear"/>
        </w:rPr>
        <w:t xml:space="preserve">Arthritis &amp;amp;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1697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Huey, D. J., Hu, J. C., Athanasiou, K. A. Unlike bone, cartilage regeneration remains elusive.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(6109), 917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Increased recruitment of endogenous stem cells and chondrogenic differentiation by a composite scaffold containing bone marrow homing peptide for cartilage regeneration.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(18), 5039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Ogura, T., Bryant, T., Merkely, G., Mosier, B. A., Minas, T. Survival analysis of revision autologous chondrocyte implantation for failed ACI.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(13), 3212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Welch, T., Mandelbaum, B., Tom, M. Autologous chondrocyte implantation: past, present, and future. </w:t>
      </w:r>
      <w:r>
        <w:rPr>
          <w:rFonts w:ascii="Calibri" w:hAnsi="Calibri" w:cs="Calibri" w:eastAsia="Calibri"/>
          <w:i/>
          <w:color w:val="auto"/>
          <w:spacing w:val="0"/>
          <w:position w:val="0"/>
          <w:sz w:val="24"/>
          <w:shd w:fill="auto" w:val="clear"/>
        </w:rPr>
        <w:t xml:space="preserve">Sports Medicine and Arthroscopy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McGonagle, D., Baboolal, T. G., Jones, E. Native joint-resident mesenchymal stem cells for cartilage repair in osteoarthritis. </w:t>
      </w:r>
      <w:r>
        <w:rPr>
          <w:rFonts w:ascii="Calibri" w:hAnsi="Calibri" w:cs="Calibri" w:eastAsia="Calibri"/>
          <w:i/>
          <w:color w:val="auto"/>
          <w:spacing w:val="0"/>
          <w:position w:val="0"/>
          <w:sz w:val="24"/>
          <w:shd w:fill="auto" w:val="clear"/>
        </w:rPr>
        <w:t xml:space="preserve">Nature Reviews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Jo,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Intra-articular injection of mesenchymal stem cells for the treatment of osteoarthritis of the knee: a proof-of-concept clinical trial.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1254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Pers, Y. M., Ruiz, M., Noël, D., Jorgensen, C. Mesenchymal stem cells for the management of inflammation in osteoarthritis: state of the art and perspectives.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(11), 2027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Neybecker,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vitro and in vivo potentialities for cartilage repair from human advanced knee osteoarthritis synovial fluid-derived mesenchymal stem cells.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Jia,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Magnetic-activated cell sorting strategies to isolate and purify synovial fluid-derived mesenchymal stem cells from a rabbit model.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Phinney, D. G., Pittenger, M. F. Concise review: MSC-derived exosomes for cell-free therapy.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Phan,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Engineering mesenchymal stem cells to improve their exosome efficacy and yield for cell-free therapy.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1522236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Dominici, M. et al. Minimal criteria for defining multipotent mesenchymal stromal cells. The international society for cellular therapy position statement.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Lv, F. -J. et al. Concise review: the surface markers and identity of human mesenchymal stem cells.</w:t>
      </w:r>
      <w:r>
        <w:rPr>
          <w:rFonts w:ascii="Calibri" w:hAnsi="Calibri" w:cs="Calibri" w:eastAsia="Calibri"/>
          <w:i/>
          <w:color w:val="auto"/>
          <w:spacing w:val="0"/>
          <w:position w:val="0"/>
          <w:sz w:val="24"/>
          <w:shd w:fill="auto" w:val="clear"/>
        </w:rPr>
        <w:t xml:space="preserve">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1408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Samsonraj,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Concise review: Multifaceted characterization of human mesenchymal stem cells for use in regenerative medicine.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2173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Mesenchymal stem cells for regenerative medicine.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Zhang,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Exosomes derived from human neural stem cells stimulated by interferon gamma improve therapeutic ability in ischemic stroke model. </w:t>
      </w:r>
      <w:r>
        <w:rPr>
          <w:rFonts w:ascii="Calibri" w:hAnsi="Calibri" w:cs="Calibri" w:eastAsia="Calibri"/>
          <w:i/>
          <w:color w:val="auto"/>
          <w:spacing w:val="0"/>
          <w:position w:val="0"/>
          <w:sz w:val="24"/>
          <w:shd w:fill="auto" w:val="clear"/>
        </w:rPr>
        <w:t xml:space="preserve">Journal of Advanced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Zhou,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Migration ability and Toll-like receptor expression of human mesenchymal stem cells improves significantly after three-dimensional culture.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491</w:t>
      </w:r>
      <w:r>
        <w:rPr>
          <w:rFonts w:ascii="Calibri" w:hAnsi="Calibri" w:cs="Calibri" w:eastAsia="Calibri"/>
          <w:color w:val="auto"/>
          <w:spacing w:val="0"/>
          <w:position w:val="0"/>
          <w:sz w:val="24"/>
          <w:shd w:fill="auto" w:val="clear"/>
        </w:rPr>
        <w:t xml:space="preserve"> (2),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Cheng, N. C., Wang, S., Young, T. H. The influence of spheroid formation of human adipose-derived stem cells on chitosan films on stemness and differentiation capabilities.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1748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Guo, L., Zhou, Y., Wang, S., Wu, Y. Epigenetic changes of mesenchymal stem cells in three-dimensional (3D) spheroids.</w:t>
      </w:r>
      <w:r>
        <w:rPr>
          <w:rFonts w:ascii="Calibri" w:hAnsi="Calibri" w:cs="Calibri" w:eastAsia="Calibri"/>
          <w:i/>
          <w:color w:val="auto"/>
          <w:spacing w:val="0"/>
          <w:position w:val="0"/>
          <w:sz w:val="24"/>
          <w:shd w:fill="auto" w:val="clear"/>
        </w:rPr>
        <w:t xml:space="preserve"> 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2009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Zhang, Y. et al. Systemic administration of cell-free exosomes generated by human bone marrow derived mesenchymal stem cells cultured under 2D and 3D conditions improves functional recovery in rats after traumatic brain injury.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Cao, J. et al. Three-dimensional culture of MSCs produces exosomes with improved yield and enhanced therapeutic efficacy for cisplatin-induced acute kidney injury.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206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