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B8CD" w14:textId="77777777" w:rsidR="00044593" w:rsidRPr="00636387" w:rsidRDefault="002B7AAC">
      <w:pPr>
        <w:pBdr>
          <w:top w:val="nil"/>
          <w:left w:val="nil"/>
          <w:bottom w:val="nil"/>
          <w:right w:val="nil"/>
          <w:between w:val="nil"/>
        </w:pBdr>
        <w:rPr>
          <w:b/>
          <w:color w:val="auto"/>
        </w:rPr>
      </w:pPr>
      <w:r w:rsidRPr="00636387">
        <w:rPr>
          <w:b/>
          <w:color w:val="auto"/>
        </w:rPr>
        <w:t>TITLE:</w:t>
      </w:r>
    </w:p>
    <w:p w14:paraId="418941B3" w14:textId="699212DC" w:rsidR="00044593" w:rsidRPr="00636387" w:rsidRDefault="002B7AAC">
      <w:pPr>
        <w:pBdr>
          <w:top w:val="nil"/>
          <w:left w:val="nil"/>
          <w:bottom w:val="nil"/>
          <w:right w:val="nil"/>
          <w:between w:val="nil"/>
        </w:pBdr>
        <w:rPr>
          <w:color w:val="auto"/>
        </w:rPr>
      </w:pPr>
      <w:r w:rsidRPr="00636387">
        <w:rPr>
          <w:color w:val="auto"/>
        </w:rPr>
        <w:t xml:space="preserve">Double Labeling Immunofluorescence using Antibodies from the Same </w:t>
      </w:r>
      <w:r w:rsidR="002A7BDE" w:rsidRPr="00636387">
        <w:rPr>
          <w:color w:val="auto"/>
        </w:rPr>
        <w:t>S</w:t>
      </w:r>
      <w:r w:rsidRPr="00636387">
        <w:rPr>
          <w:color w:val="auto"/>
        </w:rPr>
        <w:t>pecies to Study Host-Pathogen Interactions</w:t>
      </w:r>
    </w:p>
    <w:p w14:paraId="49AA56D4" w14:textId="77777777" w:rsidR="00044593" w:rsidRPr="00636387" w:rsidRDefault="00044593">
      <w:pPr>
        <w:pBdr>
          <w:top w:val="nil"/>
          <w:left w:val="nil"/>
          <w:bottom w:val="nil"/>
          <w:right w:val="nil"/>
          <w:between w:val="nil"/>
        </w:pBdr>
        <w:rPr>
          <w:color w:val="auto"/>
        </w:rPr>
      </w:pPr>
    </w:p>
    <w:p w14:paraId="26D1E4F3" w14:textId="77777777" w:rsidR="00044593" w:rsidRPr="00636387" w:rsidRDefault="002B7AAC">
      <w:pPr>
        <w:rPr>
          <w:b/>
          <w:color w:val="auto"/>
        </w:rPr>
      </w:pPr>
      <w:r w:rsidRPr="00636387">
        <w:rPr>
          <w:b/>
          <w:color w:val="auto"/>
        </w:rPr>
        <w:t>AUTHORS AND AFFILIATIONS:</w:t>
      </w:r>
    </w:p>
    <w:p w14:paraId="5D490143" w14:textId="77777777" w:rsidR="00044593" w:rsidRPr="00636387" w:rsidRDefault="002B7AAC">
      <w:pPr>
        <w:rPr>
          <w:color w:val="auto"/>
        </w:rPr>
      </w:pPr>
      <w:r w:rsidRPr="00636387">
        <w:rPr>
          <w:color w:val="auto"/>
        </w:rPr>
        <w:t xml:space="preserve">Camila </w:t>
      </w:r>
      <w:proofErr w:type="spellStart"/>
      <w:r w:rsidRPr="00636387">
        <w:rPr>
          <w:color w:val="auto"/>
        </w:rPr>
        <w:t>Gachet</w:t>
      </w:r>
      <w:proofErr w:type="spellEnd"/>
      <w:r w:rsidRPr="00636387">
        <w:rPr>
          <w:color w:val="auto"/>
        </w:rPr>
        <w:t>-Castro</w:t>
      </w:r>
      <w:r w:rsidRPr="00636387">
        <w:rPr>
          <w:color w:val="auto"/>
          <w:vertAlign w:val="superscript"/>
        </w:rPr>
        <w:t>#</w:t>
      </w:r>
      <w:r w:rsidRPr="00636387">
        <w:rPr>
          <w:color w:val="auto"/>
        </w:rPr>
        <w:t xml:space="preserve">, Lays Adrianne </w:t>
      </w:r>
      <w:proofErr w:type="spellStart"/>
      <w:r w:rsidRPr="00636387">
        <w:rPr>
          <w:color w:val="auto"/>
        </w:rPr>
        <w:t>Mendonça</w:t>
      </w:r>
      <w:proofErr w:type="spellEnd"/>
      <w:r w:rsidRPr="00636387">
        <w:rPr>
          <w:color w:val="auto"/>
        </w:rPr>
        <w:t xml:space="preserve"> </w:t>
      </w:r>
      <w:proofErr w:type="spellStart"/>
      <w:r w:rsidRPr="00636387">
        <w:rPr>
          <w:color w:val="auto"/>
        </w:rPr>
        <w:t>Trajano</w:t>
      </w:r>
      <w:proofErr w:type="spellEnd"/>
      <w:r w:rsidRPr="00636387">
        <w:rPr>
          <w:color w:val="auto"/>
        </w:rPr>
        <w:t>-Silva</w:t>
      </w:r>
      <w:r w:rsidRPr="00636387">
        <w:rPr>
          <w:color w:val="auto"/>
          <w:vertAlign w:val="superscript"/>
        </w:rPr>
        <w:t>#</w:t>
      </w:r>
      <w:r w:rsidRPr="00636387">
        <w:rPr>
          <w:color w:val="auto"/>
        </w:rPr>
        <w:t xml:space="preserve">, </w:t>
      </w:r>
      <w:proofErr w:type="spellStart"/>
      <w:r w:rsidRPr="00636387">
        <w:rPr>
          <w:color w:val="auto"/>
        </w:rPr>
        <w:t>Munira</w:t>
      </w:r>
      <w:proofErr w:type="spellEnd"/>
      <w:r w:rsidRPr="00636387">
        <w:rPr>
          <w:color w:val="auto"/>
        </w:rPr>
        <w:t xml:space="preserve"> Muhammad Abdel Baqui*</w:t>
      </w:r>
    </w:p>
    <w:p w14:paraId="54C25004" w14:textId="77777777" w:rsidR="00044593" w:rsidRPr="00636387" w:rsidRDefault="00044593">
      <w:pPr>
        <w:rPr>
          <w:color w:val="auto"/>
        </w:rPr>
      </w:pPr>
    </w:p>
    <w:p w14:paraId="3D8479C7" w14:textId="5CA65BCA" w:rsidR="00044593" w:rsidRPr="00636387" w:rsidRDefault="002B7AAC">
      <w:pPr>
        <w:rPr>
          <w:color w:val="auto"/>
        </w:rPr>
      </w:pPr>
      <w:r w:rsidRPr="00636387">
        <w:rPr>
          <w:color w:val="auto"/>
        </w:rPr>
        <w:t xml:space="preserve">Laboratory of </w:t>
      </w:r>
      <w:r w:rsidR="002D3514" w:rsidRPr="00636387">
        <w:rPr>
          <w:color w:val="auto"/>
        </w:rPr>
        <w:t>Cell a</w:t>
      </w:r>
      <w:r w:rsidR="002D3514" w:rsidRPr="00636387">
        <w:rPr>
          <w:color w:val="auto"/>
        </w:rPr>
        <w:t xml:space="preserve">nd </w:t>
      </w:r>
      <w:r w:rsidR="002D3514" w:rsidRPr="00636387">
        <w:rPr>
          <w:color w:val="auto"/>
        </w:rPr>
        <w:t xml:space="preserve">Molecular Biology </w:t>
      </w:r>
      <w:r w:rsidRPr="00636387">
        <w:rPr>
          <w:color w:val="auto"/>
        </w:rPr>
        <w:t xml:space="preserve">of </w:t>
      </w:r>
      <w:proofErr w:type="spellStart"/>
      <w:r w:rsidR="002D3514" w:rsidRPr="00636387">
        <w:rPr>
          <w:color w:val="auto"/>
        </w:rPr>
        <w:t>T</w:t>
      </w:r>
      <w:r w:rsidR="002D3514" w:rsidRPr="00636387">
        <w:rPr>
          <w:color w:val="auto"/>
        </w:rPr>
        <w:t>rypanosomatids</w:t>
      </w:r>
      <w:proofErr w:type="spellEnd"/>
      <w:r w:rsidRPr="00636387">
        <w:rPr>
          <w:color w:val="auto"/>
        </w:rPr>
        <w:t xml:space="preserve">, Department of Cellular and Molecular Biology and Pathogenic Bioagents, Ribeirao Preto Medical School, University of Sao Paulo, </w:t>
      </w:r>
      <w:proofErr w:type="spellStart"/>
      <w:r w:rsidRPr="00636387">
        <w:rPr>
          <w:color w:val="auto"/>
        </w:rPr>
        <w:t>Ribeirão</w:t>
      </w:r>
      <w:proofErr w:type="spellEnd"/>
      <w:r w:rsidRPr="00636387">
        <w:rPr>
          <w:color w:val="auto"/>
        </w:rPr>
        <w:t xml:space="preserve"> Preto, Brazil</w:t>
      </w:r>
    </w:p>
    <w:p w14:paraId="1E409658" w14:textId="77777777" w:rsidR="00044593" w:rsidRPr="00636387" w:rsidRDefault="00044593">
      <w:pPr>
        <w:rPr>
          <w:color w:val="auto"/>
        </w:rPr>
      </w:pPr>
    </w:p>
    <w:p w14:paraId="2ED479A6" w14:textId="5C61BECA" w:rsidR="00044593" w:rsidRPr="00636387" w:rsidRDefault="002B7AAC">
      <w:pPr>
        <w:rPr>
          <w:color w:val="auto"/>
        </w:rPr>
      </w:pPr>
      <w:r w:rsidRPr="00636387">
        <w:rPr>
          <w:color w:val="auto"/>
          <w:vertAlign w:val="superscript"/>
        </w:rPr>
        <w:t>#</w:t>
      </w:r>
      <w:r w:rsidRPr="00636387">
        <w:rPr>
          <w:color w:val="auto"/>
        </w:rPr>
        <w:t xml:space="preserve"> </w:t>
      </w:r>
      <w:r w:rsidR="002D3514" w:rsidRPr="00636387">
        <w:rPr>
          <w:color w:val="auto"/>
        </w:rPr>
        <w:t>A</w:t>
      </w:r>
      <w:r w:rsidRPr="00636387">
        <w:rPr>
          <w:color w:val="auto"/>
        </w:rPr>
        <w:t>uthors contributed equally to this work</w:t>
      </w:r>
    </w:p>
    <w:p w14:paraId="284B9A51" w14:textId="77777777" w:rsidR="00044593" w:rsidRPr="00636387" w:rsidRDefault="00044593">
      <w:pPr>
        <w:rPr>
          <w:color w:val="auto"/>
        </w:rPr>
      </w:pPr>
    </w:p>
    <w:p w14:paraId="776BD410" w14:textId="77777777" w:rsidR="00044593" w:rsidRPr="00636387" w:rsidRDefault="002B7AAC">
      <w:pPr>
        <w:rPr>
          <w:color w:val="auto"/>
        </w:rPr>
      </w:pPr>
      <w:r w:rsidRPr="00636387">
        <w:rPr>
          <w:color w:val="auto"/>
        </w:rPr>
        <w:t>Email addresses of co-authors:</w:t>
      </w:r>
    </w:p>
    <w:p w14:paraId="7EB36451" w14:textId="2EFD6C86" w:rsidR="00044593" w:rsidRPr="00636387" w:rsidRDefault="005055BE">
      <w:pPr>
        <w:rPr>
          <w:color w:val="auto"/>
          <w:lang w:val="pt-BR"/>
        </w:rPr>
      </w:pPr>
      <w:r w:rsidRPr="00636387">
        <w:rPr>
          <w:color w:val="auto"/>
          <w:lang w:val="pt-BR"/>
        </w:rPr>
        <w:t xml:space="preserve">Camila Gachet-Castro </w:t>
      </w:r>
      <w:r w:rsidRPr="00636387">
        <w:rPr>
          <w:color w:val="auto"/>
          <w:lang w:val="pt-BR"/>
        </w:rPr>
        <w:tab/>
      </w:r>
      <w:r w:rsidR="002D3514" w:rsidRPr="00636387">
        <w:rPr>
          <w:color w:val="auto"/>
          <w:lang w:val="pt-BR"/>
        </w:rPr>
        <w:t xml:space="preserve"> </w:t>
      </w:r>
      <w:r w:rsidR="002D3514" w:rsidRPr="00636387">
        <w:rPr>
          <w:color w:val="auto"/>
          <w:lang w:val="pt-BR"/>
        </w:rPr>
        <w:tab/>
      </w:r>
      <w:r w:rsidR="002D3514" w:rsidRPr="00636387">
        <w:rPr>
          <w:color w:val="auto"/>
          <w:lang w:val="pt-BR"/>
        </w:rPr>
        <w:tab/>
      </w:r>
      <w:r w:rsidR="00636387">
        <w:rPr>
          <w:color w:val="auto"/>
          <w:lang w:val="pt-BR"/>
        </w:rPr>
        <w:t xml:space="preserve"> (</w:t>
      </w:r>
      <w:r w:rsidR="002B7AAC" w:rsidRPr="00636387">
        <w:rPr>
          <w:color w:val="auto"/>
          <w:lang w:val="pt-BR"/>
        </w:rPr>
        <w:t xml:space="preserve">camilagachet@usp.br) </w:t>
      </w:r>
    </w:p>
    <w:p w14:paraId="431C7707" w14:textId="68EABB77" w:rsidR="00044593" w:rsidRPr="00636387" w:rsidRDefault="002B7AAC">
      <w:pPr>
        <w:rPr>
          <w:color w:val="auto"/>
        </w:rPr>
      </w:pPr>
      <w:r w:rsidRPr="00636387">
        <w:rPr>
          <w:color w:val="auto"/>
        </w:rPr>
        <w:t xml:space="preserve">Lays Adrianne </w:t>
      </w:r>
      <w:proofErr w:type="spellStart"/>
      <w:r w:rsidRPr="00636387">
        <w:rPr>
          <w:color w:val="auto"/>
        </w:rPr>
        <w:t>Mendonça</w:t>
      </w:r>
      <w:proofErr w:type="spellEnd"/>
      <w:r w:rsidRPr="00636387">
        <w:rPr>
          <w:color w:val="auto"/>
        </w:rPr>
        <w:t xml:space="preserve"> </w:t>
      </w:r>
      <w:proofErr w:type="spellStart"/>
      <w:r w:rsidRPr="00636387">
        <w:rPr>
          <w:color w:val="auto"/>
        </w:rPr>
        <w:t>Trajano</w:t>
      </w:r>
      <w:proofErr w:type="spellEnd"/>
      <w:r w:rsidRPr="00636387">
        <w:rPr>
          <w:color w:val="auto"/>
        </w:rPr>
        <w:t>-Silva</w:t>
      </w:r>
      <w:r w:rsidRPr="00636387">
        <w:rPr>
          <w:color w:val="auto"/>
        </w:rPr>
        <w:tab/>
      </w:r>
      <w:r w:rsidR="00636387">
        <w:rPr>
          <w:color w:val="auto"/>
        </w:rPr>
        <w:t xml:space="preserve"> (</w:t>
      </w:r>
      <w:r w:rsidRPr="00636387">
        <w:rPr>
          <w:color w:val="auto"/>
        </w:rPr>
        <w:t>laystrajano@usp.br)</w:t>
      </w:r>
    </w:p>
    <w:p w14:paraId="360F2E45" w14:textId="35684041" w:rsidR="00044593" w:rsidRPr="00636387" w:rsidRDefault="002B7AAC">
      <w:pPr>
        <w:rPr>
          <w:color w:val="auto"/>
        </w:rPr>
      </w:pPr>
      <w:proofErr w:type="spellStart"/>
      <w:r w:rsidRPr="00636387">
        <w:rPr>
          <w:color w:val="auto"/>
        </w:rPr>
        <w:t>Munira</w:t>
      </w:r>
      <w:proofErr w:type="spellEnd"/>
      <w:r w:rsidRPr="00636387">
        <w:rPr>
          <w:color w:val="auto"/>
        </w:rPr>
        <w:t xml:space="preserve"> Muhammad Abdel </w:t>
      </w:r>
      <w:proofErr w:type="spellStart"/>
      <w:r w:rsidRPr="00636387">
        <w:rPr>
          <w:color w:val="auto"/>
        </w:rPr>
        <w:t>Baqui</w:t>
      </w:r>
      <w:proofErr w:type="spellEnd"/>
      <w:r w:rsidRPr="00636387">
        <w:rPr>
          <w:color w:val="auto"/>
        </w:rPr>
        <w:tab/>
      </w:r>
      <w:r w:rsidRPr="00636387">
        <w:rPr>
          <w:color w:val="auto"/>
        </w:rPr>
        <w:tab/>
      </w:r>
      <w:r w:rsidR="00636387">
        <w:rPr>
          <w:color w:val="auto"/>
        </w:rPr>
        <w:t xml:space="preserve"> (</w:t>
      </w:r>
      <w:r w:rsidRPr="00636387">
        <w:rPr>
          <w:color w:val="auto"/>
        </w:rPr>
        <w:t>munira@fmrp.usp.br)</w:t>
      </w:r>
    </w:p>
    <w:p w14:paraId="7F6EE807" w14:textId="77777777" w:rsidR="00044593" w:rsidRPr="00636387" w:rsidRDefault="00044593">
      <w:pPr>
        <w:rPr>
          <w:color w:val="auto"/>
          <w:vertAlign w:val="superscript"/>
        </w:rPr>
      </w:pPr>
    </w:p>
    <w:p w14:paraId="5CC84203" w14:textId="77777777" w:rsidR="00044593" w:rsidRPr="00636387" w:rsidRDefault="002B7AAC">
      <w:pPr>
        <w:pBdr>
          <w:top w:val="nil"/>
          <w:left w:val="nil"/>
          <w:bottom w:val="nil"/>
          <w:right w:val="nil"/>
          <w:between w:val="nil"/>
        </w:pBdr>
        <w:rPr>
          <w:color w:val="auto"/>
          <w:lang w:val="pt-BR"/>
        </w:rPr>
      </w:pPr>
      <w:r w:rsidRPr="00636387">
        <w:rPr>
          <w:color w:val="auto"/>
          <w:lang w:val="pt-BR"/>
        </w:rPr>
        <w:t xml:space="preserve">*Correspondence author: </w:t>
      </w:r>
    </w:p>
    <w:p w14:paraId="09995578" w14:textId="71368190" w:rsidR="00044593" w:rsidRPr="00636387" w:rsidRDefault="002B7AAC">
      <w:pPr>
        <w:pBdr>
          <w:top w:val="nil"/>
          <w:left w:val="nil"/>
          <w:bottom w:val="nil"/>
          <w:right w:val="nil"/>
          <w:between w:val="nil"/>
        </w:pBdr>
        <w:rPr>
          <w:color w:val="auto"/>
          <w:lang w:val="pt-BR"/>
        </w:rPr>
      </w:pPr>
      <w:r w:rsidRPr="00636387">
        <w:rPr>
          <w:color w:val="auto"/>
          <w:lang w:val="pt-BR"/>
        </w:rPr>
        <w:t>Munira Muhammad Abdel Baqui</w:t>
      </w:r>
      <w:r w:rsidR="002D3514" w:rsidRPr="00636387">
        <w:rPr>
          <w:color w:val="auto"/>
          <w:lang w:val="pt-BR"/>
        </w:rPr>
        <w:t xml:space="preserve"> </w:t>
      </w:r>
      <w:r w:rsidRPr="00636387">
        <w:rPr>
          <w:color w:val="auto"/>
          <w:lang w:val="pt-BR"/>
        </w:rPr>
        <w:tab/>
      </w:r>
      <w:r w:rsidRPr="00636387">
        <w:rPr>
          <w:color w:val="auto"/>
          <w:lang w:val="pt-BR"/>
        </w:rPr>
        <w:tab/>
      </w:r>
      <w:r w:rsidR="00636387">
        <w:rPr>
          <w:color w:val="auto"/>
          <w:lang w:val="pt-BR"/>
        </w:rPr>
        <w:t xml:space="preserve"> (</w:t>
      </w:r>
      <w:r w:rsidRPr="00636387">
        <w:rPr>
          <w:color w:val="auto"/>
          <w:lang w:val="pt-BR"/>
        </w:rPr>
        <w:t>munira@fmrp.usp.br)</w:t>
      </w:r>
    </w:p>
    <w:p w14:paraId="5A70910B" w14:textId="77777777" w:rsidR="00044593" w:rsidRPr="00636387" w:rsidRDefault="00044593">
      <w:pPr>
        <w:rPr>
          <w:color w:val="auto"/>
          <w:lang w:val="pt-BR"/>
        </w:rPr>
      </w:pPr>
    </w:p>
    <w:p w14:paraId="03DAF082" w14:textId="77777777" w:rsidR="00996213" w:rsidRPr="00636387" w:rsidRDefault="002B7AAC">
      <w:pPr>
        <w:pBdr>
          <w:top w:val="nil"/>
          <w:left w:val="nil"/>
          <w:bottom w:val="nil"/>
          <w:right w:val="nil"/>
          <w:between w:val="nil"/>
        </w:pBdr>
        <w:rPr>
          <w:color w:val="auto"/>
        </w:rPr>
      </w:pPr>
      <w:r w:rsidRPr="00636387">
        <w:rPr>
          <w:b/>
          <w:color w:val="auto"/>
        </w:rPr>
        <w:t>KEYWORDS:</w:t>
      </w:r>
      <w:r w:rsidR="000C5441" w:rsidRPr="00636387">
        <w:rPr>
          <w:color w:val="auto"/>
        </w:rPr>
        <w:t xml:space="preserve"> </w:t>
      </w:r>
    </w:p>
    <w:p w14:paraId="2B793288" w14:textId="01494B60" w:rsidR="00044593" w:rsidRPr="00636387" w:rsidRDefault="000C5441">
      <w:pPr>
        <w:pBdr>
          <w:top w:val="nil"/>
          <w:left w:val="nil"/>
          <w:bottom w:val="nil"/>
          <w:right w:val="nil"/>
          <w:between w:val="nil"/>
        </w:pBdr>
        <w:rPr>
          <w:color w:val="auto"/>
        </w:rPr>
      </w:pPr>
      <w:r w:rsidRPr="00636387">
        <w:rPr>
          <w:color w:val="auto"/>
        </w:rPr>
        <w:t xml:space="preserve">immunolabeling, double </w:t>
      </w:r>
      <w:r w:rsidR="002B7AAC" w:rsidRPr="00636387">
        <w:rPr>
          <w:color w:val="auto"/>
        </w:rPr>
        <w:t>labeling, same host antibodies, host-pathogen interaction</w:t>
      </w:r>
    </w:p>
    <w:p w14:paraId="63945595" w14:textId="77777777" w:rsidR="00044593" w:rsidRPr="00636387" w:rsidRDefault="00044593">
      <w:pPr>
        <w:rPr>
          <w:color w:val="auto"/>
        </w:rPr>
      </w:pPr>
    </w:p>
    <w:p w14:paraId="4CA42E96" w14:textId="77777777" w:rsidR="00044593" w:rsidRPr="00636387" w:rsidRDefault="002B7AAC">
      <w:pPr>
        <w:rPr>
          <w:b/>
          <w:color w:val="auto"/>
        </w:rPr>
      </w:pPr>
      <w:r w:rsidRPr="00636387">
        <w:rPr>
          <w:b/>
          <w:color w:val="auto"/>
        </w:rPr>
        <w:t xml:space="preserve">SUMMARY: </w:t>
      </w:r>
    </w:p>
    <w:p w14:paraId="519C1B30" w14:textId="48EADEDA" w:rsidR="00044593" w:rsidRPr="00636387" w:rsidRDefault="002B7AAC">
      <w:pPr>
        <w:rPr>
          <w:color w:val="auto"/>
        </w:rPr>
      </w:pPr>
      <w:r w:rsidRPr="00636387">
        <w:rPr>
          <w:color w:val="auto"/>
        </w:rPr>
        <w:t xml:space="preserve">Here, the protocol describes how to perform double labeling immunofluorescence using primary antibodies raised in the same species to study host-pathogen interactions. Also, </w:t>
      </w:r>
      <w:r w:rsidR="00AB45B0" w:rsidRPr="00636387">
        <w:rPr>
          <w:color w:val="auto"/>
        </w:rPr>
        <w:t xml:space="preserve">it </w:t>
      </w:r>
      <w:r w:rsidR="002A6BA8" w:rsidRPr="00636387">
        <w:rPr>
          <w:color w:val="auto"/>
        </w:rPr>
        <w:t>can include the</w:t>
      </w:r>
      <w:r w:rsidRPr="00636387">
        <w:rPr>
          <w:color w:val="auto"/>
        </w:rPr>
        <w:t xml:space="preserve"> third antibody from a different host in this protoco</w:t>
      </w:r>
      <w:r w:rsidR="00AB45B0" w:rsidRPr="00636387">
        <w:rPr>
          <w:color w:val="auto"/>
        </w:rPr>
        <w:t>l</w:t>
      </w:r>
      <w:r w:rsidRPr="00636387">
        <w:rPr>
          <w:color w:val="auto"/>
        </w:rPr>
        <w:t>. This approach can be made in any cell type and pathogens.</w:t>
      </w:r>
    </w:p>
    <w:p w14:paraId="6CCBF373" w14:textId="77777777" w:rsidR="00044593" w:rsidRPr="00636387" w:rsidRDefault="00044593">
      <w:pPr>
        <w:rPr>
          <w:color w:val="auto"/>
        </w:rPr>
      </w:pPr>
    </w:p>
    <w:p w14:paraId="67477C02" w14:textId="77777777" w:rsidR="00044593" w:rsidRPr="00636387" w:rsidRDefault="002B7AAC">
      <w:pPr>
        <w:rPr>
          <w:b/>
          <w:color w:val="auto"/>
        </w:rPr>
      </w:pPr>
      <w:r w:rsidRPr="00636387">
        <w:rPr>
          <w:b/>
          <w:color w:val="auto"/>
        </w:rPr>
        <w:t xml:space="preserve">ABSTRACT: </w:t>
      </w:r>
    </w:p>
    <w:p w14:paraId="3C6D5508" w14:textId="3B4B8980" w:rsidR="00044593" w:rsidRPr="00636387" w:rsidRDefault="002B7AAC">
      <w:pPr>
        <w:tabs>
          <w:tab w:val="left" w:pos="360"/>
          <w:tab w:val="left" w:pos="1170"/>
        </w:tabs>
        <w:rPr>
          <w:color w:val="auto"/>
        </w:rPr>
      </w:pPr>
      <w:r w:rsidRPr="00636387">
        <w:rPr>
          <w:color w:val="auto"/>
        </w:rPr>
        <w:t xml:space="preserve">Nowadays, it is possible to find a wide range of molecular tools available to study parasite-host cell interactions. However, some limitations exist to obtain commercial monoclonal or polyclonal antibodies that recognize specific cell structures and proteins in parasites. Besides, there are few commercial antibodies available to label </w:t>
      </w:r>
      <w:proofErr w:type="spellStart"/>
      <w:r w:rsidRPr="00636387">
        <w:rPr>
          <w:color w:val="auto"/>
        </w:rPr>
        <w:t>trypanosomatids</w:t>
      </w:r>
      <w:proofErr w:type="spellEnd"/>
      <w:r w:rsidRPr="00636387">
        <w:rPr>
          <w:color w:val="auto"/>
        </w:rPr>
        <w:t xml:space="preserve">. Usually, polyclonal antibodies against parasites are prepared in-house and could be more </w:t>
      </w:r>
      <w:r w:rsidR="007739FE" w:rsidRPr="00636387">
        <w:rPr>
          <w:color w:val="auto"/>
        </w:rPr>
        <w:t>challenging</w:t>
      </w:r>
      <w:r w:rsidRPr="00636387">
        <w:rPr>
          <w:color w:val="auto"/>
        </w:rPr>
        <w:t xml:space="preserve"> to use in combination with other antibodies produced in the same species. Here, the protocol demonstrates how to use polyclonal and monoclonal antibodies raised in the same species to perform double labeling immunofluorescence to study host cell and pathogen interactions. To achieve th</w:t>
      </w:r>
      <w:r w:rsidR="007739FE" w:rsidRPr="00636387">
        <w:rPr>
          <w:color w:val="auto"/>
        </w:rPr>
        <w:t>e</w:t>
      </w:r>
      <w:r w:rsidRPr="00636387">
        <w:rPr>
          <w:color w:val="auto"/>
        </w:rPr>
        <w:t xml:space="preserve"> double labeling immunofluorescence</w:t>
      </w:r>
      <w:r w:rsidR="007739FE" w:rsidRPr="00636387">
        <w:rPr>
          <w:color w:val="auto"/>
        </w:rPr>
        <w:t>, it</w:t>
      </w:r>
      <w:r w:rsidRPr="00636387">
        <w:rPr>
          <w:color w:val="auto"/>
        </w:rPr>
        <w:t xml:space="preserve"> is crucial to incubate first the mouse polyclonal antibody and then follow the incubation with the secondary mouse IgG antibody conjugated to any fluorochrome. After that, an additional blocking step is necessary to prevent any trace of the primary antibody from being recognized by the next secondary antibody. Then, a mouse monoclonal antibody and its specific IgG subclass secondary antibody conjugated to a different fluorochrome are added to the sample at the appropriate times. Additionally, it is possible to perform triple labeling </w:t>
      </w:r>
      <w:r w:rsidRPr="00636387">
        <w:rPr>
          <w:color w:val="auto"/>
        </w:rPr>
        <w:lastRenderedPageBreak/>
        <w:t>immunofluorescence using a third antibody raised in a different species. Also, structures such as nuclei and actin can be stained subsequently with their specific compounds or labels. Thus, these approaches presented here can be adjusted for any cell whose sources of primary antibodies are limited.</w:t>
      </w:r>
    </w:p>
    <w:p w14:paraId="4963FADC" w14:textId="77777777" w:rsidR="00044593" w:rsidRPr="00636387" w:rsidRDefault="00044593">
      <w:pPr>
        <w:rPr>
          <w:color w:val="auto"/>
        </w:rPr>
      </w:pPr>
    </w:p>
    <w:p w14:paraId="3A739DB5" w14:textId="68C7338F" w:rsidR="00044593" w:rsidRPr="00636387" w:rsidRDefault="002B7AAC">
      <w:pPr>
        <w:rPr>
          <w:color w:val="auto"/>
        </w:rPr>
      </w:pPr>
      <w:r w:rsidRPr="00636387">
        <w:rPr>
          <w:b/>
          <w:color w:val="auto"/>
        </w:rPr>
        <w:t>INTRODUCTION:</w:t>
      </w:r>
      <w:r w:rsidRPr="00636387">
        <w:rPr>
          <w:color w:val="auto"/>
        </w:rPr>
        <w:t xml:space="preserve"> </w:t>
      </w:r>
    </w:p>
    <w:p w14:paraId="0075EBD2" w14:textId="5E24D89C" w:rsidR="00044593" w:rsidRPr="00636387" w:rsidRDefault="002B7AAC">
      <w:pPr>
        <w:rPr>
          <w:color w:val="auto"/>
        </w:rPr>
      </w:pPr>
      <w:r w:rsidRPr="00636387">
        <w:rPr>
          <w:color w:val="auto"/>
        </w:rPr>
        <w:t>To study the interaction of the pathogen with the host cell at the cellular level provides essential information on the underlying causes of the disease since different groups— such as viruses, bacteria, and protozoa— can infect most host cell types</w:t>
      </w:r>
      <w:r w:rsidRPr="00636387">
        <w:rPr>
          <w:color w:val="auto"/>
          <w:vertAlign w:val="superscript"/>
        </w:rPr>
        <w:t>1–4</w:t>
      </w:r>
      <w:r w:rsidRPr="00636387">
        <w:rPr>
          <w:color w:val="auto"/>
        </w:rPr>
        <w:t>. It can also help develop and identify potential therapeutic targets that can slow or inhibit the growth of the pathogen. In live conditions, the produced antibodies are responsible for recognizing self-components, antigens from viruses, bacterial components or products, fungi, parasites, and others</w:t>
      </w:r>
      <w:r w:rsidR="00555383" w:rsidRPr="00636387">
        <w:rPr>
          <w:color w:val="auto"/>
          <w:vertAlign w:val="superscript"/>
        </w:rPr>
        <w:t>5</w:t>
      </w:r>
      <w:r w:rsidRPr="00636387">
        <w:rPr>
          <w:color w:val="auto"/>
        </w:rPr>
        <w:t>.</w:t>
      </w:r>
    </w:p>
    <w:p w14:paraId="4696CC83" w14:textId="77777777" w:rsidR="003F7CBF" w:rsidRPr="00636387" w:rsidRDefault="003F7CBF">
      <w:pPr>
        <w:rPr>
          <w:color w:val="auto"/>
        </w:rPr>
      </w:pPr>
    </w:p>
    <w:p w14:paraId="46E47A35" w14:textId="699B1A92" w:rsidR="00044593" w:rsidRPr="00636387" w:rsidRDefault="002B7AAC">
      <w:pPr>
        <w:rPr>
          <w:color w:val="auto"/>
        </w:rPr>
      </w:pPr>
      <w:r w:rsidRPr="00636387">
        <w:rPr>
          <w:color w:val="auto"/>
        </w:rPr>
        <w:t xml:space="preserve">For this purpose, antibodies are widely used tools, mainly for understanding the location and function of cellular structures and proteins. Several studies using multiple antibody labeling demonstrate that additional blocking steps contribute to the specificity of the immunolocalization. In addition, </w:t>
      </w:r>
      <w:r w:rsidR="002A7BDE" w:rsidRPr="00636387">
        <w:rPr>
          <w:color w:val="auto"/>
        </w:rPr>
        <w:t>most</w:t>
      </w:r>
      <w:r w:rsidR="005E62DC" w:rsidRPr="00636387">
        <w:rPr>
          <w:color w:val="auto"/>
        </w:rPr>
        <w:t xml:space="preserve"> </w:t>
      </w:r>
      <w:r w:rsidRPr="00636387">
        <w:rPr>
          <w:color w:val="auto"/>
        </w:rPr>
        <w:t xml:space="preserve">described protocols use specific </w:t>
      </w:r>
      <w:r w:rsidR="004E01CF" w:rsidRPr="00636387">
        <w:rPr>
          <w:color w:val="auto"/>
        </w:rPr>
        <w:t xml:space="preserve">commercial </w:t>
      </w:r>
      <w:r w:rsidRPr="00636387">
        <w:rPr>
          <w:color w:val="auto"/>
        </w:rPr>
        <w:t>monoclonal antibodies, including antibodies from the same host species</w:t>
      </w:r>
      <w:r w:rsidR="00AB1AD3" w:rsidRPr="00636387">
        <w:rPr>
          <w:color w:val="auto"/>
          <w:vertAlign w:val="superscript"/>
        </w:rPr>
        <w:t>6-14</w:t>
      </w:r>
      <w:r w:rsidRPr="00636387">
        <w:rPr>
          <w:color w:val="auto"/>
        </w:rPr>
        <w:t>.</w:t>
      </w:r>
      <w:r w:rsidR="002D3514" w:rsidRPr="00636387">
        <w:rPr>
          <w:color w:val="auto"/>
        </w:rPr>
        <w:t xml:space="preserve"> </w:t>
      </w:r>
    </w:p>
    <w:p w14:paraId="7E575410" w14:textId="77777777" w:rsidR="003F7CBF" w:rsidRPr="00636387" w:rsidRDefault="003F7CBF">
      <w:pPr>
        <w:rPr>
          <w:rFonts w:ascii="Arial" w:eastAsia="Arial" w:hAnsi="Arial" w:cs="Arial"/>
          <w:b/>
          <w:color w:val="auto"/>
          <w:sz w:val="22"/>
          <w:szCs w:val="22"/>
        </w:rPr>
      </w:pPr>
    </w:p>
    <w:p w14:paraId="46310F75" w14:textId="3C88D08C" w:rsidR="00044593" w:rsidRPr="00636387" w:rsidRDefault="002B7AAC">
      <w:pPr>
        <w:rPr>
          <w:color w:val="auto"/>
        </w:rPr>
      </w:pPr>
      <w:r w:rsidRPr="00636387">
        <w:rPr>
          <w:color w:val="auto"/>
        </w:rPr>
        <w:t xml:space="preserve">Usually, double labeling immunofluorescence uses two antibodies raised in different species to stain the cell structures of interest or the pathogens and the host cells to see the interaction between them. However, this can be a problem when no commercial monoclonal or polyclonal antibodies specific for some pathogens are available to perform the double labeling. Also, there are commercially available antibody conjugation kits, and it is possible to conjugate </w:t>
      </w:r>
      <w:r w:rsidR="005E62DC" w:rsidRPr="00636387">
        <w:rPr>
          <w:color w:val="auto"/>
        </w:rPr>
        <w:t xml:space="preserve">the </w:t>
      </w:r>
      <w:r w:rsidRPr="00636387">
        <w:rPr>
          <w:color w:val="auto"/>
        </w:rPr>
        <w:t xml:space="preserve">primary antibodies directly to the fluorophore by </w:t>
      </w:r>
      <w:r w:rsidR="003F7CBF" w:rsidRPr="00636387">
        <w:rPr>
          <w:color w:val="auto"/>
        </w:rPr>
        <w:t xml:space="preserve">a </w:t>
      </w:r>
      <w:proofErr w:type="spellStart"/>
      <w:r w:rsidRPr="00636387">
        <w:rPr>
          <w:color w:val="auto"/>
        </w:rPr>
        <w:t>succinimidyl</w:t>
      </w:r>
      <w:proofErr w:type="spellEnd"/>
      <w:r w:rsidRPr="00636387">
        <w:rPr>
          <w:color w:val="auto"/>
        </w:rPr>
        <w:t xml:space="preserve"> ester reaction</w:t>
      </w:r>
      <w:r w:rsidRPr="00636387">
        <w:rPr>
          <w:color w:val="auto"/>
          <w:vertAlign w:val="superscript"/>
        </w:rPr>
        <w:t>15</w:t>
      </w:r>
      <w:r w:rsidRPr="00636387">
        <w:rPr>
          <w:color w:val="auto"/>
        </w:rPr>
        <w:t xml:space="preserve">. The problem is that these kits are often expensive, and it is necessary to have enough antibodies to label them. Knowing this, we successfully developed a double immunofluorescence method using two different antibodies raised in the same species to study protein localization in </w:t>
      </w:r>
      <w:r w:rsidRPr="00636387">
        <w:rPr>
          <w:i/>
          <w:color w:val="auto"/>
        </w:rPr>
        <w:t>Trypanosoma brucei</w:t>
      </w:r>
      <w:r w:rsidRPr="00636387">
        <w:rPr>
          <w:color w:val="auto"/>
        </w:rPr>
        <w:t xml:space="preserve"> </w:t>
      </w:r>
      <w:r w:rsidRPr="00636387">
        <w:rPr>
          <w:color w:val="auto"/>
          <w:vertAlign w:val="superscript"/>
        </w:rPr>
        <w:t>1</w:t>
      </w:r>
      <w:r w:rsidR="00555383" w:rsidRPr="00636387">
        <w:rPr>
          <w:color w:val="auto"/>
          <w:vertAlign w:val="superscript"/>
        </w:rPr>
        <w:t>6</w:t>
      </w:r>
      <w:r w:rsidRPr="00636387">
        <w:rPr>
          <w:color w:val="auto"/>
        </w:rPr>
        <w:t xml:space="preserve">. However, for intracellular parasites, including </w:t>
      </w:r>
      <w:r w:rsidRPr="00636387">
        <w:rPr>
          <w:i/>
          <w:color w:val="auto"/>
        </w:rPr>
        <w:t xml:space="preserve">Trypanosoma </w:t>
      </w:r>
      <w:proofErr w:type="spellStart"/>
      <w:r w:rsidRPr="00636387">
        <w:rPr>
          <w:i/>
          <w:color w:val="auto"/>
        </w:rPr>
        <w:t>cruzi</w:t>
      </w:r>
      <w:proofErr w:type="spellEnd"/>
      <w:r w:rsidRPr="00636387">
        <w:rPr>
          <w:color w:val="auto"/>
        </w:rPr>
        <w:t>, this approach has not been demonstrated.</w:t>
      </w:r>
      <w:r w:rsidRPr="00636387">
        <w:rPr>
          <w:color w:val="auto"/>
          <w:highlight w:val="white"/>
        </w:rPr>
        <w:t xml:space="preserve"> </w:t>
      </w:r>
      <w:r w:rsidRPr="00636387">
        <w:rPr>
          <w:color w:val="auto"/>
        </w:rPr>
        <w:t xml:space="preserve">Here, we show how to perform double labeling immunofluorescence to </w:t>
      </w:r>
      <w:r w:rsidR="0063331C" w:rsidRPr="00636387">
        <w:rPr>
          <w:color w:val="auto"/>
        </w:rPr>
        <w:t xml:space="preserve">study </w:t>
      </w:r>
      <w:r w:rsidRPr="00636387">
        <w:rPr>
          <w:color w:val="auto"/>
        </w:rPr>
        <w:t xml:space="preserve">intracellular </w:t>
      </w:r>
      <w:r w:rsidRPr="00636387">
        <w:rPr>
          <w:i/>
          <w:color w:val="auto"/>
        </w:rPr>
        <w:t xml:space="preserve">T. cruzi </w:t>
      </w:r>
      <w:r w:rsidRPr="00636387">
        <w:rPr>
          <w:color w:val="auto"/>
        </w:rPr>
        <w:t xml:space="preserve">parasites and the host cell </w:t>
      </w:r>
      <w:r w:rsidR="0063331C" w:rsidRPr="00636387">
        <w:rPr>
          <w:color w:val="auto"/>
        </w:rPr>
        <w:t xml:space="preserve">using primary antibodies raised in the same species </w:t>
      </w:r>
      <w:r w:rsidRPr="00636387">
        <w:rPr>
          <w:color w:val="auto"/>
        </w:rPr>
        <w:t>without cross-reactions. Besides this method, a triple immunofluorescence labeling has been established with the addition of the third antibody from a different species. These approaches help when the source of antibodies is limited and can be used in any cell type.</w:t>
      </w:r>
    </w:p>
    <w:p w14:paraId="632AD664" w14:textId="77777777" w:rsidR="00044593" w:rsidRPr="00636387" w:rsidRDefault="00044593">
      <w:pPr>
        <w:rPr>
          <w:color w:val="auto"/>
          <w:highlight w:val="green"/>
        </w:rPr>
      </w:pPr>
    </w:p>
    <w:p w14:paraId="7D6FA0D4" w14:textId="508D5754" w:rsidR="00044593" w:rsidRPr="00636387" w:rsidRDefault="002B7AAC">
      <w:pPr>
        <w:rPr>
          <w:color w:val="auto"/>
        </w:rPr>
      </w:pPr>
      <w:r w:rsidRPr="00636387">
        <w:rPr>
          <w:b/>
          <w:color w:val="auto"/>
        </w:rPr>
        <w:t>PROTOCOL:</w:t>
      </w:r>
      <w:r w:rsidRPr="00636387">
        <w:rPr>
          <w:color w:val="auto"/>
        </w:rPr>
        <w:t xml:space="preserve"> </w:t>
      </w:r>
    </w:p>
    <w:p w14:paraId="595C2341" w14:textId="77777777" w:rsidR="003F7CBF" w:rsidRPr="00636387" w:rsidRDefault="003F7CBF">
      <w:pPr>
        <w:rPr>
          <w:color w:val="auto"/>
        </w:rPr>
      </w:pPr>
    </w:p>
    <w:p w14:paraId="3E79D170" w14:textId="77777777" w:rsidR="00044593" w:rsidRPr="00636387" w:rsidRDefault="002B7AAC">
      <w:pPr>
        <w:widowControl/>
        <w:numPr>
          <w:ilvl w:val="0"/>
          <w:numId w:val="6"/>
        </w:numPr>
        <w:pBdr>
          <w:top w:val="nil"/>
          <w:left w:val="nil"/>
          <w:bottom w:val="nil"/>
          <w:right w:val="nil"/>
          <w:between w:val="nil"/>
        </w:pBdr>
        <w:tabs>
          <w:tab w:val="left" w:pos="540"/>
        </w:tabs>
        <w:ind w:left="360"/>
        <w:rPr>
          <w:color w:val="auto"/>
        </w:rPr>
      </w:pPr>
      <w:r w:rsidRPr="00636387">
        <w:rPr>
          <w:b/>
          <w:color w:val="auto"/>
        </w:rPr>
        <w:t xml:space="preserve">Cell and parasite cultures </w:t>
      </w:r>
    </w:p>
    <w:p w14:paraId="6264893B" w14:textId="77777777" w:rsidR="00044593" w:rsidRPr="00636387" w:rsidRDefault="00044593">
      <w:pPr>
        <w:widowControl/>
        <w:pBdr>
          <w:top w:val="nil"/>
          <w:left w:val="nil"/>
          <w:bottom w:val="nil"/>
          <w:right w:val="nil"/>
          <w:between w:val="nil"/>
        </w:pBdr>
        <w:tabs>
          <w:tab w:val="left" w:pos="540"/>
        </w:tabs>
        <w:ind w:left="360"/>
        <w:rPr>
          <w:color w:val="auto"/>
        </w:rPr>
      </w:pPr>
    </w:p>
    <w:p w14:paraId="45F18A94" w14:textId="696374C2" w:rsidR="00044593" w:rsidRPr="00636387" w:rsidRDefault="003F7CBF">
      <w:pPr>
        <w:widowControl/>
        <w:numPr>
          <w:ilvl w:val="1"/>
          <w:numId w:val="4"/>
        </w:numPr>
        <w:pBdr>
          <w:top w:val="nil"/>
          <w:left w:val="nil"/>
          <w:bottom w:val="nil"/>
          <w:right w:val="nil"/>
          <w:between w:val="nil"/>
        </w:pBdr>
        <w:ind w:left="0" w:firstLine="6"/>
        <w:rPr>
          <w:color w:val="auto"/>
        </w:rPr>
      </w:pPr>
      <w:r w:rsidRPr="00636387">
        <w:rPr>
          <w:color w:val="auto"/>
        </w:rPr>
        <w:t xml:space="preserve">Grow </w:t>
      </w:r>
      <w:r w:rsidR="002B7AAC" w:rsidRPr="00636387">
        <w:rPr>
          <w:color w:val="auto"/>
        </w:rPr>
        <w:t>LLC-MK2</w:t>
      </w:r>
      <w:r w:rsidR="00636387">
        <w:rPr>
          <w:color w:val="auto"/>
        </w:rPr>
        <w:t xml:space="preserve"> (</w:t>
      </w:r>
      <w:r w:rsidR="002B7AAC" w:rsidRPr="00636387">
        <w:rPr>
          <w:color w:val="auto"/>
        </w:rPr>
        <w:t xml:space="preserve">Rhesus Monkey Kidney Epithelial) cells from </w:t>
      </w:r>
      <w:r w:rsidRPr="00636387">
        <w:rPr>
          <w:color w:val="auto"/>
        </w:rPr>
        <w:t xml:space="preserve">the </w:t>
      </w:r>
      <w:r w:rsidR="002B7AAC" w:rsidRPr="00636387">
        <w:rPr>
          <w:color w:val="auto"/>
        </w:rPr>
        <w:t>American Type Culture Collection</w:t>
      </w:r>
      <w:r w:rsidR="00636387">
        <w:rPr>
          <w:color w:val="auto"/>
        </w:rPr>
        <w:t xml:space="preserve"> (</w:t>
      </w:r>
      <w:r w:rsidR="002A7BDE" w:rsidRPr="00636387">
        <w:rPr>
          <w:color w:val="auto"/>
        </w:rPr>
        <w:t>CCL-7</w:t>
      </w:r>
      <w:r w:rsidRPr="00636387">
        <w:rPr>
          <w:color w:val="auto"/>
        </w:rPr>
        <w:t xml:space="preserve">) </w:t>
      </w:r>
      <w:r w:rsidR="002B7AAC" w:rsidRPr="00636387">
        <w:rPr>
          <w:color w:val="auto"/>
        </w:rPr>
        <w:t>in a 25 cm</w:t>
      </w:r>
      <w:r w:rsidR="002B7AAC" w:rsidRPr="00636387">
        <w:rPr>
          <w:color w:val="auto"/>
          <w:vertAlign w:val="superscript"/>
        </w:rPr>
        <w:t>2</w:t>
      </w:r>
      <w:r w:rsidR="002B7AAC" w:rsidRPr="00636387">
        <w:rPr>
          <w:color w:val="auto"/>
        </w:rPr>
        <w:t xml:space="preserve"> cell culture flask containing in RPMI medium supplemented with 10% heat-inactivated FBS</w:t>
      </w:r>
      <w:r w:rsidR="00636387">
        <w:rPr>
          <w:color w:val="auto"/>
        </w:rPr>
        <w:t xml:space="preserve"> (</w:t>
      </w:r>
      <w:r w:rsidR="002B7AAC" w:rsidRPr="00636387">
        <w:rPr>
          <w:color w:val="auto"/>
        </w:rPr>
        <w:t>Fetal Bovine Serum) and antibiotics</w:t>
      </w:r>
      <w:r w:rsidR="00636387">
        <w:rPr>
          <w:color w:val="auto"/>
        </w:rPr>
        <w:t xml:space="preserve"> (</w:t>
      </w:r>
      <w:r w:rsidR="002B7AAC" w:rsidRPr="00636387">
        <w:rPr>
          <w:color w:val="auto"/>
        </w:rPr>
        <w:t>100 U</w:t>
      </w:r>
      <w:r w:rsidRPr="00636387">
        <w:rPr>
          <w:color w:val="auto"/>
        </w:rPr>
        <w:t>/mL</w:t>
      </w:r>
      <w:r w:rsidR="002B7AAC" w:rsidRPr="00636387">
        <w:rPr>
          <w:color w:val="auto"/>
        </w:rPr>
        <w:t xml:space="preserve"> Penicillin and 100 µg</w:t>
      </w:r>
      <w:r w:rsidRPr="00636387">
        <w:rPr>
          <w:color w:val="auto"/>
        </w:rPr>
        <w:t>/mL</w:t>
      </w:r>
      <w:r w:rsidR="002B7AAC" w:rsidRPr="00636387">
        <w:rPr>
          <w:color w:val="auto"/>
        </w:rPr>
        <w:t xml:space="preserve"> Streptomycin) at 37</w:t>
      </w:r>
      <w:r w:rsidRPr="00636387">
        <w:rPr>
          <w:color w:val="auto"/>
        </w:rPr>
        <w:t xml:space="preserve"> </w:t>
      </w:r>
      <w:r w:rsidR="002B7AAC" w:rsidRPr="00636387">
        <w:rPr>
          <w:color w:val="auto"/>
        </w:rPr>
        <w:t>°C in 5% CO</w:t>
      </w:r>
      <w:r w:rsidR="002B7AAC" w:rsidRPr="00636387">
        <w:rPr>
          <w:color w:val="auto"/>
          <w:vertAlign w:val="subscript"/>
        </w:rPr>
        <w:t xml:space="preserve">2 </w:t>
      </w:r>
      <w:r w:rsidR="002B7AAC" w:rsidRPr="00636387">
        <w:rPr>
          <w:color w:val="auto"/>
          <w:vertAlign w:val="superscript"/>
        </w:rPr>
        <w:t>1</w:t>
      </w:r>
      <w:r w:rsidR="00555383" w:rsidRPr="00636387">
        <w:rPr>
          <w:color w:val="auto"/>
          <w:vertAlign w:val="superscript"/>
        </w:rPr>
        <w:t>7</w:t>
      </w:r>
      <w:r w:rsidR="002B7AAC" w:rsidRPr="00636387">
        <w:rPr>
          <w:color w:val="auto"/>
        </w:rPr>
        <w:t>.</w:t>
      </w:r>
    </w:p>
    <w:p w14:paraId="5E5E2A0D" w14:textId="77777777" w:rsidR="00044593" w:rsidRPr="00636387" w:rsidRDefault="00044593">
      <w:pPr>
        <w:widowControl/>
        <w:pBdr>
          <w:top w:val="nil"/>
          <w:left w:val="nil"/>
          <w:bottom w:val="nil"/>
          <w:right w:val="nil"/>
          <w:between w:val="nil"/>
        </w:pBdr>
        <w:ind w:firstLine="6"/>
        <w:rPr>
          <w:color w:val="auto"/>
        </w:rPr>
      </w:pPr>
    </w:p>
    <w:p w14:paraId="5D803034" w14:textId="6D5A3F76" w:rsidR="00044593" w:rsidRPr="00636387" w:rsidRDefault="003F7CBF">
      <w:pPr>
        <w:widowControl/>
        <w:numPr>
          <w:ilvl w:val="1"/>
          <w:numId w:val="4"/>
        </w:numPr>
        <w:pBdr>
          <w:top w:val="nil"/>
          <w:left w:val="nil"/>
          <w:bottom w:val="nil"/>
          <w:right w:val="nil"/>
          <w:between w:val="nil"/>
        </w:pBdr>
        <w:ind w:left="0" w:firstLine="6"/>
        <w:rPr>
          <w:color w:val="auto"/>
        </w:rPr>
      </w:pPr>
      <w:r w:rsidRPr="00636387">
        <w:rPr>
          <w:color w:val="auto"/>
        </w:rPr>
        <w:lastRenderedPageBreak/>
        <w:t xml:space="preserve">Infect </w:t>
      </w:r>
      <w:r w:rsidR="002B7AAC" w:rsidRPr="00636387">
        <w:rPr>
          <w:color w:val="auto"/>
        </w:rPr>
        <w:t xml:space="preserve">LLC-MK2 cells with </w:t>
      </w:r>
      <w:r w:rsidR="002B7AAC" w:rsidRPr="00636387">
        <w:rPr>
          <w:i/>
          <w:color w:val="auto"/>
        </w:rPr>
        <w:t xml:space="preserve">Trypanosoma </w:t>
      </w:r>
      <w:proofErr w:type="spellStart"/>
      <w:r w:rsidR="002B7AAC" w:rsidRPr="00636387">
        <w:rPr>
          <w:i/>
          <w:color w:val="auto"/>
        </w:rPr>
        <w:t>cruzi</w:t>
      </w:r>
      <w:proofErr w:type="spellEnd"/>
      <w:r w:rsidR="00636387">
        <w:rPr>
          <w:color w:val="auto"/>
        </w:rPr>
        <w:t xml:space="preserve"> (</w:t>
      </w:r>
      <w:r w:rsidR="002B7AAC" w:rsidRPr="00636387">
        <w:rPr>
          <w:color w:val="auto"/>
        </w:rPr>
        <w:t xml:space="preserve">Y strain) </w:t>
      </w:r>
      <w:r w:rsidRPr="00636387">
        <w:rPr>
          <w:color w:val="auto"/>
        </w:rPr>
        <w:t xml:space="preserve">according to a previous protocol </w:t>
      </w:r>
      <w:r w:rsidR="002B7AAC" w:rsidRPr="00636387">
        <w:rPr>
          <w:color w:val="auto"/>
          <w:vertAlign w:val="superscript"/>
        </w:rPr>
        <w:t>1</w:t>
      </w:r>
      <w:r w:rsidR="00555383" w:rsidRPr="00636387">
        <w:rPr>
          <w:color w:val="auto"/>
          <w:vertAlign w:val="superscript"/>
        </w:rPr>
        <w:t>8</w:t>
      </w:r>
      <w:r w:rsidR="002B7AAC" w:rsidRPr="00636387">
        <w:rPr>
          <w:color w:val="auto"/>
        </w:rPr>
        <w:t>.</w:t>
      </w:r>
    </w:p>
    <w:p w14:paraId="08F72362" w14:textId="77777777" w:rsidR="003F7CBF" w:rsidRPr="00636387" w:rsidRDefault="003F7CBF" w:rsidP="003F7CBF">
      <w:pPr>
        <w:widowControl/>
        <w:pBdr>
          <w:top w:val="nil"/>
          <w:left w:val="nil"/>
          <w:bottom w:val="nil"/>
          <w:right w:val="nil"/>
          <w:between w:val="nil"/>
        </w:pBdr>
        <w:rPr>
          <w:color w:val="auto"/>
        </w:rPr>
      </w:pPr>
    </w:p>
    <w:p w14:paraId="19C621EB" w14:textId="7EFE002F" w:rsidR="00044593" w:rsidRPr="00636387" w:rsidRDefault="002B7AAC">
      <w:pPr>
        <w:widowControl/>
        <w:numPr>
          <w:ilvl w:val="1"/>
          <w:numId w:val="4"/>
        </w:numPr>
        <w:pBdr>
          <w:top w:val="nil"/>
          <w:left w:val="nil"/>
          <w:bottom w:val="nil"/>
          <w:right w:val="nil"/>
          <w:between w:val="nil"/>
        </w:pBdr>
        <w:ind w:left="0" w:firstLine="6"/>
        <w:rPr>
          <w:color w:val="auto"/>
        </w:rPr>
      </w:pPr>
      <w:r w:rsidRPr="00636387">
        <w:rPr>
          <w:color w:val="auto"/>
        </w:rPr>
        <w:t>Collect the supernatant of the LLC-MK2 infected cells</w:t>
      </w:r>
      <w:r w:rsidR="00636387">
        <w:rPr>
          <w:color w:val="auto"/>
        </w:rPr>
        <w:t xml:space="preserve"> (</w:t>
      </w:r>
      <w:r w:rsidRPr="00636387">
        <w:rPr>
          <w:color w:val="auto"/>
        </w:rPr>
        <w:t>5</w:t>
      </w:r>
      <w:r w:rsidR="003F7CBF" w:rsidRPr="00636387">
        <w:rPr>
          <w:color w:val="auto"/>
        </w:rPr>
        <w:t xml:space="preserve"> mL</w:t>
      </w:r>
      <w:r w:rsidRPr="00636387">
        <w:rPr>
          <w:color w:val="auto"/>
        </w:rPr>
        <w:t>) in a 15</w:t>
      </w:r>
      <w:r w:rsidR="003F7CBF" w:rsidRPr="00636387">
        <w:rPr>
          <w:color w:val="auto"/>
        </w:rPr>
        <w:t xml:space="preserve"> mL</w:t>
      </w:r>
      <w:r w:rsidRPr="00636387">
        <w:rPr>
          <w:color w:val="auto"/>
        </w:rPr>
        <w:t xml:space="preserve"> cell culture conical centrifuge tube and centrifuge at 500 x g for 10 minutes and 22</w:t>
      </w:r>
      <w:r w:rsidR="003F7CBF" w:rsidRPr="00636387">
        <w:rPr>
          <w:color w:val="auto"/>
        </w:rPr>
        <w:t xml:space="preserve"> </w:t>
      </w:r>
      <w:r w:rsidRPr="00636387">
        <w:rPr>
          <w:color w:val="auto"/>
        </w:rPr>
        <w:t>°C to lower cell debris. Keep the tube for 10 minutes at 37</w:t>
      </w:r>
      <w:r w:rsidR="003F7CBF" w:rsidRPr="00636387">
        <w:rPr>
          <w:color w:val="auto"/>
        </w:rPr>
        <w:t xml:space="preserve"> </w:t>
      </w:r>
      <w:r w:rsidRPr="00636387">
        <w:rPr>
          <w:color w:val="auto"/>
        </w:rPr>
        <w:t xml:space="preserve">°C to allow trypomastigotes to swim to the supernatant. </w:t>
      </w:r>
    </w:p>
    <w:p w14:paraId="611004D8" w14:textId="77777777" w:rsidR="00044593" w:rsidRPr="00636387" w:rsidRDefault="00044593">
      <w:pPr>
        <w:widowControl/>
        <w:pBdr>
          <w:top w:val="nil"/>
          <w:left w:val="nil"/>
          <w:bottom w:val="nil"/>
          <w:right w:val="nil"/>
          <w:between w:val="nil"/>
        </w:pBdr>
        <w:ind w:firstLine="6"/>
        <w:rPr>
          <w:color w:val="auto"/>
        </w:rPr>
      </w:pPr>
    </w:p>
    <w:p w14:paraId="3E96AF75" w14:textId="0154B512" w:rsidR="00044593" w:rsidRPr="00636387" w:rsidRDefault="002B7AAC">
      <w:pPr>
        <w:widowControl/>
        <w:numPr>
          <w:ilvl w:val="1"/>
          <w:numId w:val="4"/>
        </w:numPr>
        <w:pBdr>
          <w:top w:val="nil"/>
          <w:left w:val="nil"/>
          <w:bottom w:val="nil"/>
          <w:right w:val="nil"/>
          <w:between w:val="nil"/>
        </w:pBdr>
        <w:ind w:left="0" w:firstLine="6"/>
        <w:rPr>
          <w:color w:val="auto"/>
        </w:rPr>
      </w:pPr>
      <w:r w:rsidRPr="00636387">
        <w:rPr>
          <w:color w:val="auto"/>
        </w:rPr>
        <w:t>Collect the supernatant in a new conical tube and centrifuge at 2500 x g for 15 minutes at 22</w:t>
      </w:r>
      <w:r w:rsidR="003F7CBF" w:rsidRPr="00636387">
        <w:rPr>
          <w:color w:val="auto"/>
        </w:rPr>
        <w:t xml:space="preserve"> </w:t>
      </w:r>
      <w:r w:rsidRPr="00636387">
        <w:rPr>
          <w:color w:val="auto"/>
        </w:rPr>
        <w:t xml:space="preserve">°C. Discard the supernatant and </w:t>
      </w:r>
      <w:r w:rsidR="00AB45B0" w:rsidRPr="00636387">
        <w:rPr>
          <w:color w:val="auto"/>
        </w:rPr>
        <w:t>resuspend</w:t>
      </w:r>
      <w:r w:rsidRPr="00636387">
        <w:rPr>
          <w:color w:val="auto"/>
        </w:rPr>
        <w:t xml:space="preserve"> the pellet containing the parasites in complete RPMI medium to determine cell density by counting cells in a Neubauer chamber. </w:t>
      </w:r>
    </w:p>
    <w:p w14:paraId="35D5DEF1" w14:textId="77777777" w:rsidR="00044593" w:rsidRPr="00636387" w:rsidRDefault="00044593">
      <w:pPr>
        <w:widowControl/>
        <w:pBdr>
          <w:top w:val="nil"/>
          <w:left w:val="nil"/>
          <w:bottom w:val="nil"/>
          <w:right w:val="nil"/>
          <w:between w:val="nil"/>
        </w:pBdr>
        <w:tabs>
          <w:tab w:val="left" w:pos="540"/>
        </w:tabs>
        <w:rPr>
          <w:color w:val="auto"/>
        </w:rPr>
      </w:pPr>
    </w:p>
    <w:p w14:paraId="68D6894F" w14:textId="77777777" w:rsidR="00044593" w:rsidRPr="00636387" w:rsidRDefault="002B7AAC">
      <w:pPr>
        <w:numPr>
          <w:ilvl w:val="0"/>
          <w:numId w:val="6"/>
        </w:numPr>
        <w:pBdr>
          <w:top w:val="nil"/>
          <w:left w:val="nil"/>
          <w:bottom w:val="nil"/>
          <w:right w:val="nil"/>
          <w:between w:val="nil"/>
        </w:pBdr>
        <w:tabs>
          <w:tab w:val="left" w:pos="360"/>
        </w:tabs>
        <w:ind w:hanging="720"/>
        <w:rPr>
          <w:b/>
          <w:color w:val="auto"/>
        </w:rPr>
      </w:pPr>
      <w:r w:rsidRPr="00636387">
        <w:rPr>
          <w:b/>
          <w:color w:val="auto"/>
        </w:rPr>
        <w:t>Control immunofluorescence protocol</w:t>
      </w:r>
    </w:p>
    <w:p w14:paraId="095E79AA" w14:textId="77777777" w:rsidR="00044593" w:rsidRPr="00636387" w:rsidRDefault="00044593">
      <w:pPr>
        <w:pBdr>
          <w:top w:val="nil"/>
          <w:left w:val="nil"/>
          <w:bottom w:val="nil"/>
          <w:right w:val="nil"/>
          <w:between w:val="nil"/>
        </w:pBdr>
        <w:tabs>
          <w:tab w:val="left" w:pos="360"/>
        </w:tabs>
        <w:ind w:left="720"/>
        <w:rPr>
          <w:b/>
          <w:color w:val="auto"/>
        </w:rPr>
      </w:pPr>
    </w:p>
    <w:p w14:paraId="086E19B2" w14:textId="25F999EB" w:rsidR="00044593" w:rsidRPr="00636387" w:rsidRDefault="002B7AAC">
      <w:pPr>
        <w:widowControl/>
        <w:tabs>
          <w:tab w:val="left" w:pos="360"/>
        </w:tabs>
        <w:rPr>
          <w:color w:val="auto"/>
        </w:rPr>
      </w:pPr>
      <w:r w:rsidRPr="00636387">
        <w:rPr>
          <w:bCs/>
          <w:color w:val="auto"/>
        </w:rPr>
        <w:t>NOTE:</w:t>
      </w:r>
      <w:r w:rsidRPr="00636387">
        <w:rPr>
          <w:color w:val="auto"/>
        </w:rPr>
        <w:t xml:space="preserve"> Once fixed, it is possible to store plates containing coverslips at 4</w:t>
      </w:r>
      <w:r w:rsidR="003F7CBF" w:rsidRPr="00636387">
        <w:rPr>
          <w:color w:val="auto"/>
        </w:rPr>
        <w:t xml:space="preserve"> </w:t>
      </w:r>
      <w:r w:rsidRPr="00636387">
        <w:rPr>
          <w:color w:val="auto"/>
        </w:rPr>
        <w:t xml:space="preserve">°C in </w:t>
      </w:r>
      <w:r w:rsidR="00683695" w:rsidRPr="00636387">
        <w:rPr>
          <w:color w:val="auto"/>
        </w:rPr>
        <w:t>1x</w:t>
      </w:r>
      <w:r w:rsidR="003F7CBF" w:rsidRPr="00636387">
        <w:rPr>
          <w:color w:val="auto"/>
        </w:rPr>
        <w:t xml:space="preserve"> </w:t>
      </w:r>
      <w:r w:rsidRPr="00636387">
        <w:rPr>
          <w:color w:val="auto"/>
        </w:rPr>
        <w:t>PBS</w:t>
      </w:r>
      <w:r w:rsidR="00636387">
        <w:rPr>
          <w:color w:val="auto"/>
        </w:rPr>
        <w:t xml:space="preserve"> (</w:t>
      </w:r>
      <w:r w:rsidRPr="00636387">
        <w:rPr>
          <w:color w:val="auto"/>
        </w:rPr>
        <w:t>pH 7.2) for one week. To be stored, it is important that the cells have not gone through the permeabilization step.</w:t>
      </w:r>
    </w:p>
    <w:p w14:paraId="02DC7837" w14:textId="77777777" w:rsidR="00044593" w:rsidRPr="00636387" w:rsidRDefault="00044593">
      <w:pPr>
        <w:tabs>
          <w:tab w:val="left" w:pos="360"/>
        </w:tabs>
        <w:rPr>
          <w:b/>
          <w:color w:val="auto"/>
        </w:rPr>
      </w:pPr>
    </w:p>
    <w:p w14:paraId="5EFC9272" w14:textId="5A9AC753" w:rsidR="00044593" w:rsidRPr="00636387" w:rsidRDefault="002B7AAC">
      <w:pPr>
        <w:widowControl/>
        <w:numPr>
          <w:ilvl w:val="1"/>
          <w:numId w:val="5"/>
        </w:numPr>
        <w:pBdr>
          <w:top w:val="nil"/>
          <w:left w:val="nil"/>
          <w:bottom w:val="nil"/>
          <w:right w:val="nil"/>
          <w:between w:val="nil"/>
        </w:pBdr>
        <w:ind w:left="0" w:firstLine="0"/>
        <w:rPr>
          <w:color w:val="auto"/>
        </w:rPr>
      </w:pPr>
      <w:r w:rsidRPr="00636387">
        <w:rPr>
          <w:color w:val="auto"/>
        </w:rPr>
        <w:t>Settle LLC-MK2 cells</w:t>
      </w:r>
      <w:r w:rsidR="00636387">
        <w:rPr>
          <w:color w:val="auto"/>
        </w:rPr>
        <w:t xml:space="preserve"> (</w:t>
      </w:r>
      <w:r w:rsidRPr="00636387">
        <w:rPr>
          <w:color w:val="auto"/>
        </w:rPr>
        <w:t>2</w:t>
      </w:r>
      <w:r w:rsidR="003F7CBF" w:rsidRPr="00636387">
        <w:rPr>
          <w:color w:val="auto"/>
        </w:rPr>
        <w:t xml:space="preserve"> </w:t>
      </w:r>
      <w:r w:rsidRPr="00636387">
        <w:rPr>
          <w:color w:val="auto"/>
        </w:rPr>
        <w:t>x</w:t>
      </w:r>
      <w:r w:rsidR="003F7CBF" w:rsidRPr="00636387">
        <w:rPr>
          <w:color w:val="auto"/>
        </w:rPr>
        <w:t xml:space="preserve"> </w:t>
      </w:r>
      <w:r w:rsidRPr="00636387">
        <w:rPr>
          <w:color w:val="auto"/>
        </w:rPr>
        <w:t>10</w:t>
      </w:r>
      <w:r w:rsidRPr="00636387">
        <w:rPr>
          <w:color w:val="auto"/>
          <w:vertAlign w:val="superscript"/>
        </w:rPr>
        <w:t>4</w:t>
      </w:r>
      <w:r w:rsidRPr="00636387">
        <w:rPr>
          <w:color w:val="auto"/>
        </w:rPr>
        <w:t xml:space="preserve">) in 24 </w:t>
      </w:r>
      <w:r w:rsidR="00AB45B0" w:rsidRPr="00636387">
        <w:rPr>
          <w:color w:val="auto"/>
        </w:rPr>
        <w:t>well plates</w:t>
      </w:r>
      <w:r w:rsidRPr="00636387">
        <w:rPr>
          <w:color w:val="auto"/>
        </w:rPr>
        <w:t xml:space="preserve"> containing UV sterilized rounded coverslips in RPMI media for 16 hours. </w:t>
      </w:r>
    </w:p>
    <w:p w14:paraId="1A8B0FA9" w14:textId="77777777" w:rsidR="00044593" w:rsidRPr="00636387" w:rsidRDefault="00044593">
      <w:pPr>
        <w:widowControl/>
        <w:pBdr>
          <w:top w:val="nil"/>
          <w:left w:val="nil"/>
          <w:bottom w:val="nil"/>
          <w:right w:val="nil"/>
          <w:between w:val="nil"/>
        </w:pBdr>
        <w:rPr>
          <w:color w:val="auto"/>
        </w:rPr>
      </w:pPr>
    </w:p>
    <w:p w14:paraId="63E4949E" w14:textId="4AB061C0" w:rsidR="00044593" w:rsidRPr="00636387" w:rsidRDefault="002B7AAC">
      <w:pPr>
        <w:widowControl/>
        <w:numPr>
          <w:ilvl w:val="1"/>
          <w:numId w:val="5"/>
        </w:numPr>
        <w:pBdr>
          <w:top w:val="nil"/>
          <w:left w:val="nil"/>
          <w:bottom w:val="nil"/>
          <w:right w:val="nil"/>
          <w:between w:val="nil"/>
        </w:pBdr>
        <w:ind w:left="0" w:firstLine="0"/>
        <w:rPr>
          <w:color w:val="auto"/>
        </w:rPr>
      </w:pPr>
      <w:r w:rsidRPr="00636387">
        <w:rPr>
          <w:color w:val="auto"/>
        </w:rPr>
        <w:t xml:space="preserve">For infected cells, add a supernatant containing </w:t>
      </w:r>
      <w:r w:rsidRPr="00636387">
        <w:rPr>
          <w:i/>
          <w:color w:val="auto"/>
        </w:rPr>
        <w:t xml:space="preserve">T. </w:t>
      </w:r>
      <w:proofErr w:type="spellStart"/>
      <w:r w:rsidRPr="00636387">
        <w:rPr>
          <w:i/>
          <w:color w:val="auto"/>
        </w:rPr>
        <w:t>cruzi</w:t>
      </w:r>
      <w:proofErr w:type="spellEnd"/>
      <w:r w:rsidR="00636387">
        <w:rPr>
          <w:color w:val="auto"/>
        </w:rPr>
        <w:t xml:space="preserve"> (</w:t>
      </w:r>
      <w:r w:rsidRPr="00636387">
        <w:rPr>
          <w:color w:val="auto"/>
        </w:rPr>
        <w:t>item 1.4) to each well in proportion</w:t>
      </w:r>
      <w:r w:rsidR="00636387">
        <w:rPr>
          <w:color w:val="auto"/>
        </w:rPr>
        <w:t xml:space="preserve"> (</w:t>
      </w:r>
      <w:r w:rsidRPr="00636387">
        <w:rPr>
          <w:color w:val="auto"/>
        </w:rPr>
        <w:t>MOI 10:1) and leave for 6</w:t>
      </w:r>
      <w:r w:rsidR="00683695" w:rsidRPr="00636387">
        <w:rPr>
          <w:color w:val="auto"/>
        </w:rPr>
        <w:t xml:space="preserve"> </w:t>
      </w:r>
      <w:r w:rsidRPr="00636387">
        <w:rPr>
          <w:color w:val="auto"/>
        </w:rPr>
        <w:t xml:space="preserve">h of infection. Wash coverslips containing infected and non-infected cells five times with PBS solution and fixed with 2% paraformaldehyde in </w:t>
      </w:r>
      <w:r w:rsidR="00683695" w:rsidRPr="00636387">
        <w:rPr>
          <w:color w:val="auto"/>
        </w:rPr>
        <w:t>1x</w:t>
      </w:r>
      <w:r w:rsidR="00683695" w:rsidRPr="00636387">
        <w:rPr>
          <w:color w:val="auto"/>
        </w:rPr>
        <w:t xml:space="preserve"> </w:t>
      </w:r>
      <w:r w:rsidRPr="00636387">
        <w:rPr>
          <w:color w:val="auto"/>
        </w:rPr>
        <w:t>PBS</w:t>
      </w:r>
      <w:r w:rsidR="00636387">
        <w:rPr>
          <w:color w:val="auto"/>
        </w:rPr>
        <w:t xml:space="preserve"> (</w:t>
      </w:r>
      <w:r w:rsidRPr="00636387">
        <w:rPr>
          <w:color w:val="auto"/>
        </w:rPr>
        <w:t>pH 7.2) for 10 min at room temperature</w:t>
      </w:r>
      <w:r w:rsidR="00636387">
        <w:rPr>
          <w:color w:val="auto"/>
        </w:rPr>
        <w:t xml:space="preserve"> (</w:t>
      </w:r>
      <w:r w:rsidRPr="00636387">
        <w:rPr>
          <w:color w:val="auto"/>
        </w:rPr>
        <w:t>RT).</w:t>
      </w:r>
    </w:p>
    <w:p w14:paraId="53266383" w14:textId="77777777" w:rsidR="00044593" w:rsidRPr="00636387" w:rsidRDefault="00044593">
      <w:pPr>
        <w:widowControl/>
        <w:rPr>
          <w:color w:val="auto"/>
        </w:rPr>
      </w:pPr>
    </w:p>
    <w:p w14:paraId="02C48AEF" w14:textId="63B00A9C" w:rsidR="00044593" w:rsidRPr="00636387" w:rsidRDefault="002B7AAC">
      <w:pPr>
        <w:widowControl/>
        <w:numPr>
          <w:ilvl w:val="1"/>
          <w:numId w:val="5"/>
        </w:numPr>
        <w:pBdr>
          <w:top w:val="nil"/>
          <w:left w:val="nil"/>
          <w:bottom w:val="nil"/>
          <w:right w:val="nil"/>
          <w:between w:val="nil"/>
        </w:pBdr>
        <w:ind w:left="0" w:firstLine="0"/>
        <w:rPr>
          <w:bCs/>
          <w:color w:val="auto"/>
        </w:rPr>
      </w:pPr>
      <w:r w:rsidRPr="00636387">
        <w:rPr>
          <w:color w:val="auto"/>
        </w:rPr>
        <w:t xml:space="preserve">Wash the coverslips three times for 5 minutes each with </w:t>
      </w:r>
      <w:r w:rsidR="00683695" w:rsidRPr="00636387">
        <w:rPr>
          <w:color w:val="auto"/>
        </w:rPr>
        <w:t>1x PBS</w:t>
      </w:r>
      <w:r w:rsidR="00636387">
        <w:rPr>
          <w:color w:val="auto"/>
        </w:rPr>
        <w:t xml:space="preserve"> (</w:t>
      </w:r>
      <w:r w:rsidRPr="00636387">
        <w:rPr>
          <w:color w:val="auto"/>
        </w:rPr>
        <w:t>pH 7.2)</w:t>
      </w:r>
      <w:r w:rsidR="00683695" w:rsidRPr="00636387">
        <w:rPr>
          <w:color w:val="auto"/>
        </w:rPr>
        <w:t>.</w:t>
      </w:r>
    </w:p>
    <w:p w14:paraId="4912AD58" w14:textId="77777777" w:rsidR="00044593" w:rsidRPr="00636387" w:rsidRDefault="00044593">
      <w:pPr>
        <w:widowControl/>
        <w:rPr>
          <w:color w:val="auto"/>
        </w:rPr>
      </w:pPr>
    </w:p>
    <w:p w14:paraId="6C90DD7D" w14:textId="0D0EC1C7" w:rsidR="00044593" w:rsidRPr="00636387" w:rsidRDefault="002B7AAC">
      <w:pPr>
        <w:widowControl/>
        <w:numPr>
          <w:ilvl w:val="1"/>
          <w:numId w:val="5"/>
        </w:numPr>
        <w:pBdr>
          <w:top w:val="nil"/>
          <w:left w:val="nil"/>
          <w:bottom w:val="nil"/>
          <w:right w:val="nil"/>
          <w:between w:val="nil"/>
        </w:pBdr>
        <w:ind w:left="0" w:firstLine="0"/>
        <w:rPr>
          <w:color w:val="auto"/>
        </w:rPr>
      </w:pPr>
      <w:r w:rsidRPr="00636387">
        <w:rPr>
          <w:color w:val="auto"/>
        </w:rPr>
        <w:t>Permeabilize the coverslips with 0</w:t>
      </w:r>
      <w:r w:rsidR="00683695" w:rsidRPr="00636387">
        <w:rPr>
          <w:color w:val="auto"/>
        </w:rPr>
        <w:t>.</w:t>
      </w:r>
      <w:r w:rsidRPr="00636387">
        <w:rPr>
          <w:color w:val="auto"/>
        </w:rPr>
        <w:t xml:space="preserve">2% IGEPAL CA-630 in </w:t>
      </w:r>
      <w:r w:rsidR="00683695" w:rsidRPr="00636387">
        <w:rPr>
          <w:color w:val="auto"/>
        </w:rPr>
        <w:t>1x PBS</w:t>
      </w:r>
      <w:r w:rsidR="00636387">
        <w:rPr>
          <w:color w:val="auto"/>
        </w:rPr>
        <w:t xml:space="preserve"> (</w:t>
      </w:r>
      <w:r w:rsidRPr="00636387">
        <w:rPr>
          <w:color w:val="auto"/>
        </w:rPr>
        <w:t xml:space="preserve">PH 7.2) for 10 min at RT. </w:t>
      </w:r>
    </w:p>
    <w:p w14:paraId="0C8DF10F" w14:textId="77777777" w:rsidR="00044593" w:rsidRPr="00636387" w:rsidRDefault="00044593">
      <w:pPr>
        <w:widowControl/>
        <w:rPr>
          <w:color w:val="auto"/>
        </w:rPr>
      </w:pPr>
    </w:p>
    <w:p w14:paraId="76EE4D54" w14:textId="77777777" w:rsidR="00683695" w:rsidRPr="00636387" w:rsidRDefault="00683695" w:rsidP="00683695">
      <w:pPr>
        <w:widowControl/>
        <w:numPr>
          <w:ilvl w:val="1"/>
          <w:numId w:val="5"/>
        </w:numPr>
        <w:pBdr>
          <w:top w:val="nil"/>
          <w:left w:val="nil"/>
          <w:bottom w:val="nil"/>
          <w:right w:val="nil"/>
          <w:between w:val="nil"/>
        </w:pBdr>
        <w:ind w:left="0" w:firstLine="0"/>
        <w:rPr>
          <w:color w:val="auto"/>
        </w:rPr>
      </w:pPr>
      <w:r w:rsidRPr="00636387">
        <w:rPr>
          <w:color w:val="auto"/>
        </w:rPr>
        <w:t>Wash the coverslips three times for 5 minutes each with 1x PBS</w:t>
      </w:r>
      <w:r w:rsidRPr="00636387">
        <w:rPr>
          <w:color w:val="auto"/>
        </w:rPr>
        <w:t>.</w:t>
      </w:r>
    </w:p>
    <w:p w14:paraId="1977B632" w14:textId="77777777" w:rsidR="00683695" w:rsidRPr="00636387" w:rsidRDefault="00683695" w:rsidP="00683695">
      <w:pPr>
        <w:pStyle w:val="ListParagraph"/>
        <w:rPr>
          <w:color w:val="auto"/>
        </w:rPr>
      </w:pPr>
    </w:p>
    <w:p w14:paraId="31B40987" w14:textId="704D1021" w:rsidR="00044593" w:rsidRPr="00636387" w:rsidRDefault="002B7AAC">
      <w:pPr>
        <w:widowControl/>
        <w:numPr>
          <w:ilvl w:val="1"/>
          <w:numId w:val="5"/>
        </w:numPr>
        <w:pBdr>
          <w:top w:val="nil"/>
          <w:left w:val="nil"/>
          <w:bottom w:val="nil"/>
          <w:right w:val="nil"/>
          <w:between w:val="nil"/>
        </w:pBdr>
        <w:ind w:left="0" w:firstLine="0"/>
        <w:rPr>
          <w:color w:val="auto"/>
        </w:rPr>
      </w:pPr>
      <w:r w:rsidRPr="00636387">
        <w:rPr>
          <w:color w:val="auto"/>
        </w:rPr>
        <w:t xml:space="preserve">Incubate coverslips for 30 min at RT with the </w:t>
      </w:r>
      <w:r w:rsidRPr="00636387">
        <w:rPr>
          <w:bCs/>
          <w:color w:val="auto"/>
        </w:rPr>
        <w:t>blocking solution</w:t>
      </w:r>
      <w:r w:rsidR="00636387">
        <w:rPr>
          <w:color w:val="auto"/>
        </w:rPr>
        <w:t xml:space="preserve"> (</w:t>
      </w:r>
      <w:r w:rsidRPr="00636387">
        <w:rPr>
          <w:color w:val="auto"/>
        </w:rPr>
        <w:t xml:space="preserve">2% BSA in </w:t>
      </w:r>
      <w:r w:rsidR="00683695" w:rsidRPr="00636387">
        <w:rPr>
          <w:color w:val="auto"/>
        </w:rPr>
        <w:t>1x PBS,</w:t>
      </w:r>
      <w:r w:rsidRPr="00636387">
        <w:rPr>
          <w:color w:val="auto"/>
        </w:rPr>
        <w:t xml:space="preserve"> pH 7.2).</w:t>
      </w:r>
    </w:p>
    <w:p w14:paraId="62DE4AF8" w14:textId="77777777" w:rsidR="00044593" w:rsidRPr="00636387" w:rsidRDefault="00044593">
      <w:pPr>
        <w:widowControl/>
        <w:rPr>
          <w:color w:val="auto"/>
        </w:rPr>
      </w:pPr>
    </w:p>
    <w:p w14:paraId="04EEFE83" w14:textId="0BA6A354" w:rsidR="00044593" w:rsidRPr="00636387" w:rsidRDefault="002B7AAC">
      <w:pPr>
        <w:widowControl/>
        <w:numPr>
          <w:ilvl w:val="1"/>
          <w:numId w:val="5"/>
        </w:numPr>
        <w:pBdr>
          <w:top w:val="nil"/>
          <w:left w:val="nil"/>
          <w:bottom w:val="nil"/>
          <w:right w:val="nil"/>
          <w:between w:val="nil"/>
        </w:pBdr>
        <w:ind w:left="0" w:firstLine="0"/>
        <w:rPr>
          <w:color w:val="auto"/>
        </w:rPr>
      </w:pPr>
      <w:r w:rsidRPr="00636387">
        <w:rPr>
          <w:color w:val="auto"/>
        </w:rPr>
        <w:t>Incubate coverslips for 30 min at RT either with mouse monoclonal anti-hnRNPA1</w:t>
      </w:r>
      <w:r w:rsidR="00636387">
        <w:rPr>
          <w:color w:val="auto"/>
        </w:rPr>
        <w:t xml:space="preserve"> (</w:t>
      </w:r>
      <w:r w:rsidRPr="00636387">
        <w:rPr>
          <w:color w:val="auto"/>
        </w:rPr>
        <w:t>dilution 1:200) or with mouse polyclonal anti-</w:t>
      </w:r>
      <w:proofErr w:type="spellStart"/>
      <w:r w:rsidRPr="00636387">
        <w:rPr>
          <w:color w:val="auto"/>
        </w:rPr>
        <w:t>TcFAZ</w:t>
      </w:r>
      <w:proofErr w:type="spellEnd"/>
      <w:r w:rsidR="00636387">
        <w:rPr>
          <w:color w:val="auto"/>
        </w:rPr>
        <w:t xml:space="preserve"> (</w:t>
      </w:r>
      <w:r w:rsidRPr="00636387">
        <w:rPr>
          <w:color w:val="auto"/>
        </w:rPr>
        <w:t>dilution 1:100) antibodies diluted in blocking solution.</w:t>
      </w:r>
    </w:p>
    <w:p w14:paraId="5FA6A913" w14:textId="77777777" w:rsidR="00044593" w:rsidRPr="00636387" w:rsidRDefault="00044593">
      <w:pPr>
        <w:widowControl/>
        <w:rPr>
          <w:color w:val="auto"/>
        </w:rPr>
      </w:pPr>
    </w:p>
    <w:p w14:paraId="1B8271A2" w14:textId="77777777" w:rsidR="008470BC" w:rsidRPr="00636387" w:rsidRDefault="008470BC" w:rsidP="008470BC">
      <w:pPr>
        <w:widowControl/>
        <w:numPr>
          <w:ilvl w:val="1"/>
          <w:numId w:val="5"/>
        </w:numPr>
        <w:pBdr>
          <w:top w:val="nil"/>
          <w:left w:val="nil"/>
          <w:bottom w:val="nil"/>
          <w:right w:val="nil"/>
          <w:between w:val="nil"/>
        </w:pBdr>
        <w:ind w:left="0" w:firstLine="0"/>
        <w:rPr>
          <w:color w:val="auto"/>
        </w:rPr>
      </w:pPr>
      <w:r w:rsidRPr="00636387">
        <w:rPr>
          <w:color w:val="auto"/>
        </w:rPr>
        <w:t>Wash the coverslips three times for 5 minutes each with 1x PBS.</w:t>
      </w:r>
    </w:p>
    <w:p w14:paraId="043E33C8" w14:textId="77777777" w:rsidR="00044593" w:rsidRPr="00636387" w:rsidRDefault="00044593">
      <w:pPr>
        <w:widowControl/>
        <w:rPr>
          <w:color w:val="auto"/>
        </w:rPr>
      </w:pPr>
    </w:p>
    <w:p w14:paraId="615520D9" w14:textId="7A1CEB18" w:rsidR="00044593" w:rsidRPr="00636387" w:rsidRDefault="002B7AAC">
      <w:pPr>
        <w:widowControl/>
        <w:numPr>
          <w:ilvl w:val="1"/>
          <w:numId w:val="5"/>
        </w:numPr>
        <w:pBdr>
          <w:top w:val="nil"/>
          <w:left w:val="nil"/>
          <w:bottom w:val="nil"/>
          <w:right w:val="nil"/>
          <w:between w:val="nil"/>
        </w:pBdr>
        <w:ind w:left="0" w:firstLine="0"/>
        <w:rPr>
          <w:color w:val="auto"/>
        </w:rPr>
      </w:pPr>
      <w:r w:rsidRPr="00636387">
        <w:rPr>
          <w:color w:val="auto"/>
        </w:rPr>
        <w:t>Incubate the coverslips for 30 min at RT with goat anti-mouse IgG F</w:t>
      </w:r>
      <w:r w:rsidR="00636387">
        <w:rPr>
          <w:color w:val="auto"/>
        </w:rPr>
        <w:t xml:space="preserve"> (</w:t>
      </w:r>
      <w:r w:rsidRPr="00636387">
        <w:rPr>
          <w:color w:val="auto"/>
        </w:rPr>
        <w:t>ab')2</w:t>
      </w:r>
      <w:r w:rsidR="00636387">
        <w:rPr>
          <w:color w:val="auto"/>
        </w:rPr>
        <w:t xml:space="preserve"> (</w:t>
      </w:r>
      <w:r w:rsidRPr="00636387">
        <w:rPr>
          <w:color w:val="auto"/>
        </w:rPr>
        <w:t>H+L) conjugated to Alexa Fluor 488</w:t>
      </w:r>
      <w:r w:rsidR="00636387">
        <w:rPr>
          <w:color w:val="auto"/>
        </w:rPr>
        <w:t xml:space="preserve"> (</w:t>
      </w:r>
      <w:r w:rsidRPr="00636387">
        <w:rPr>
          <w:color w:val="auto"/>
        </w:rPr>
        <w:t>1:600) together with phalloidin conjugated to Alexa 594</w:t>
      </w:r>
      <w:r w:rsidR="00636387">
        <w:rPr>
          <w:color w:val="auto"/>
        </w:rPr>
        <w:t xml:space="preserve"> (</w:t>
      </w:r>
      <w:r w:rsidRPr="00636387">
        <w:rPr>
          <w:color w:val="auto"/>
        </w:rPr>
        <w:t>1:300) to stain actin filaments</w:t>
      </w:r>
      <w:r w:rsidR="00636387">
        <w:rPr>
          <w:color w:val="auto"/>
        </w:rPr>
        <w:t xml:space="preserve"> (</w:t>
      </w:r>
      <w:r w:rsidRPr="00636387">
        <w:rPr>
          <w:color w:val="auto"/>
        </w:rPr>
        <w:t>F-actin) in the host cell diluted in the blocking solution.</w:t>
      </w:r>
    </w:p>
    <w:p w14:paraId="19DA1095" w14:textId="77777777" w:rsidR="00044593" w:rsidRPr="00636387" w:rsidRDefault="00044593">
      <w:pPr>
        <w:widowControl/>
        <w:rPr>
          <w:color w:val="auto"/>
        </w:rPr>
      </w:pPr>
    </w:p>
    <w:p w14:paraId="651359CA" w14:textId="735768CC" w:rsidR="00044593" w:rsidRPr="00636387" w:rsidRDefault="002B7AAC" w:rsidP="00683695">
      <w:pPr>
        <w:widowControl/>
        <w:numPr>
          <w:ilvl w:val="1"/>
          <w:numId w:val="5"/>
        </w:numPr>
        <w:pBdr>
          <w:top w:val="nil"/>
          <w:left w:val="nil"/>
          <w:bottom w:val="nil"/>
          <w:right w:val="nil"/>
          <w:between w:val="nil"/>
        </w:pBdr>
        <w:ind w:left="0" w:firstLine="0"/>
        <w:rPr>
          <w:color w:val="auto"/>
        </w:rPr>
      </w:pPr>
      <w:r w:rsidRPr="00636387">
        <w:rPr>
          <w:color w:val="auto"/>
        </w:rPr>
        <w:lastRenderedPageBreak/>
        <w:t xml:space="preserve">Wash three times with </w:t>
      </w:r>
      <w:r w:rsidR="00683695" w:rsidRPr="00636387">
        <w:rPr>
          <w:color w:val="auto"/>
        </w:rPr>
        <w:t>1x PBS</w:t>
      </w:r>
      <w:r w:rsidR="00636387">
        <w:rPr>
          <w:color w:val="auto"/>
        </w:rPr>
        <w:t xml:space="preserve"> (</w:t>
      </w:r>
      <w:r w:rsidRPr="00636387">
        <w:rPr>
          <w:color w:val="auto"/>
        </w:rPr>
        <w:t xml:space="preserve">pH 7.2) for 5 min each. </w:t>
      </w:r>
    </w:p>
    <w:p w14:paraId="3268756C" w14:textId="77777777" w:rsidR="00044593" w:rsidRPr="00636387" w:rsidRDefault="00044593">
      <w:pPr>
        <w:widowControl/>
        <w:rPr>
          <w:color w:val="auto"/>
        </w:rPr>
      </w:pPr>
    </w:p>
    <w:p w14:paraId="6C6D7E4F" w14:textId="76F3455C" w:rsidR="00044593" w:rsidRPr="00636387" w:rsidRDefault="002B7AAC">
      <w:pPr>
        <w:widowControl/>
        <w:numPr>
          <w:ilvl w:val="1"/>
          <w:numId w:val="5"/>
        </w:numPr>
        <w:pBdr>
          <w:top w:val="nil"/>
          <w:left w:val="nil"/>
          <w:bottom w:val="nil"/>
          <w:right w:val="nil"/>
          <w:between w:val="nil"/>
        </w:pBdr>
        <w:ind w:left="0" w:firstLine="0"/>
        <w:rPr>
          <w:color w:val="auto"/>
        </w:rPr>
      </w:pPr>
      <w:r w:rsidRPr="00636387">
        <w:rPr>
          <w:color w:val="auto"/>
        </w:rPr>
        <w:t xml:space="preserve">Apply a small amount of antifade mounting reagent with DAPI medium to the surface of the slide. </w:t>
      </w:r>
    </w:p>
    <w:p w14:paraId="3F9380E1" w14:textId="77777777" w:rsidR="00044593" w:rsidRPr="00636387" w:rsidRDefault="00044593">
      <w:pPr>
        <w:widowControl/>
        <w:rPr>
          <w:color w:val="auto"/>
        </w:rPr>
      </w:pPr>
    </w:p>
    <w:p w14:paraId="18C40C09" w14:textId="76B71F4B" w:rsidR="00044593" w:rsidRPr="00636387" w:rsidRDefault="002B7AAC">
      <w:pPr>
        <w:widowControl/>
        <w:numPr>
          <w:ilvl w:val="1"/>
          <w:numId w:val="5"/>
        </w:numPr>
        <w:pBdr>
          <w:top w:val="nil"/>
          <w:left w:val="nil"/>
          <w:bottom w:val="nil"/>
          <w:right w:val="nil"/>
          <w:between w:val="nil"/>
        </w:pBdr>
        <w:ind w:left="0" w:firstLine="0"/>
        <w:rPr>
          <w:color w:val="auto"/>
        </w:rPr>
      </w:pPr>
      <w:r w:rsidRPr="00636387">
        <w:rPr>
          <w:color w:val="auto"/>
        </w:rPr>
        <w:t xml:space="preserve">Using forceps, gently tilt the coverslip in the mounting medium </w:t>
      </w:r>
      <w:r w:rsidR="00683695" w:rsidRPr="00636387">
        <w:rPr>
          <w:color w:val="auto"/>
        </w:rPr>
        <w:t>to</w:t>
      </w:r>
      <w:r w:rsidRPr="00636387">
        <w:rPr>
          <w:color w:val="auto"/>
        </w:rPr>
        <w:t xml:space="preserve"> prevent bubbles from forming. Once dry, seal the coverslip if desired.</w:t>
      </w:r>
    </w:p>
    <w:p w14:paraId="340E7602" w14:textId="77777777" w:rsidR="00044593" w:rsidRPr="00636387" w:rsidRDefault="00044593">
      <w:pPr>
        <w:rPr>
          <w:color w:val="auto"/>
        </w:rPr>
      </w:pPr>
    </w:p>
    <w:p w14:paraId="29D2022B" w14:textId="35A29193" w:rsidR="00044593" w:rsidRPr="00636387" w:rsidRDefault="002B7AAC">
      <w:pPr>
        <w:widowControl/>
        <w:numPr>
          <w:ilvl w:val="0"/>
          <w:numId w:val="1"/>
        </w:numPr>
        <w:pBdr>
          <w:top w:val="nil"/>
          <w:left w:val="nil"/>
          <w:bottom w:val="nil"/>
          <w:right w:val="nil"/>
          <w:between w:val="nil"/>
        </w:pBdr>
        <w:tabs>
          <w:tab w:val="left" w:pos="360"/>
        </w:tabs>
        <w:ind w:left="0" w:firstLine="0"/>
        <w:rPr>
          <w:b/>
          <w:color w:val="auto"/>
        </w:rPr>
      </w:pPr>
      <w:r w:rsidRPr="00636387">
        <w:rPr>
          <w:b/>
          <w:color w:val="auto"/>
        </w:rPr>
        <w:t xml:space="preserve">Double labeling </w:t>
      </w:r>
      <w:r w:rsidR="00683695" w:rsidRPr="00636387">
        <w:rPr>
          <w:b/>
          <w:color w:val="auto"/>
        </w:rPr>
        <w:t>i</w:t>
      </w:r>
      <w:r w:rsidRPr="00636387">
        <w:rPr>
          <w:b/>
          <w:color w:val="auto"/>
        </w:rPr>
        <w:t xml:space="preserve">mmunofluorescence protocol using monoclonal and polyclonal antibodies raised in the same host </w:t>
      </w:r>
    </w:p>
    <w:p w14:paraId="78AA047C" w14:textId="77777777" w:rsidR="00044593" w:rsidRPr="00636387" w:rsidRDefault="00044593">
      <w:pPr>
        <w:widowControl/>
        <w:pBdr>
          <w:top w:val="nil"/>
          <w:left w:val="nil"/>
          <w:bottom w:val="nil"/>
          <w:right w:val="nil"/>
          <w:between w:val="nil"/>
        </w:pBdr>
        <w:tabs>
          <w:tab w:val="left" w:pos="360"/>
        </w:tabs>
        <w:rPr>
          <w:b/>
          <w:color w:val="auto"/>
        </w:rPr>
      </w:pPr>
    </w:p>
    <w:p w14:paraId="2D7AF339" w14:textId="77777777" w:rsidR="00044593" w:rsidRPr="00636387" w:rsidRDefault="002B7AAC">
      <w:pPr>
        <w:widowControl/>
        <w:numPr>
          <w:ilvl w:val="1"/>
          <w:numId w:val="2"/>
        </w:numPr>
        <w:pBdr>
          <w:top w:val="nil"/>
          <w:left w:val="nil"/>
          <w:bottom w:val="nil"/>
          <w:right w:val="nil"/>
          <w:between w:val="nil"/>
        </w:pBdr>
        <w:tabs>
          <w:tab w:val="left" w:pos="0"/>
          <w:tab w:val="left" w:pos="450"/>
        </w:tabs>
        <w:ind w:left="0" w:firstLine="0"/>
        <w:rPr>
          <w:color w:val="auto"/>
        </w:rPr>
      </w:pPr>
      <w:bookmarkStart w:id="0" w:name="_heading=h.gjdgxs" w:colFirst="0" w:colLast="0"/>
      <w:bookmarkEnd w:id="0"/>
      <w:r w:rsidRPr="00636387">
        <w:rPr>
          <w:color w:val="auto"/>
        </w:rPr>
        <w:t>Repeat steps 2.1 to 2.6 described above.</w:t>
      </w:r>
    </w:p>
    <w:p w14:paraId="60D19404" w14:textId="77777777" w:rsidR="00044593" w:rsidRPr="00636387" w:rsidRDefault="00044593">
      <w:pPr>
        <w:widowControl/>
        <w:pBdr>
          <w:top w:val="nil"/>
          <w:left w:val="nil"/>
          <w:bottom w:val="nil"/>
          <w:right w:val="nil"/>
          <w:between w:val="nil"/>
        </w:pBdr>
        <w:tabs>
          <w:tab w:val="left" w:pos="360"/>
          <w:tab w:val="left" w:pos="450"/>
        </w:tabs>
        <w:rPr>
          <w:color w:val="auto"/>
        </w:rPr>
      </w:pPr>
    </w:p>
    <w:p w14:paraId="63285423" w14:textId="1C97D3B6" w:rsidR="00044593" w:rsidRPr="00636387" w:rsidRDefault="002B7AAC">
      <w:pPr>
        <w:widowControl/>
        <w:numPr>
          <w:ilvl w:val="1"/>
          <w:numId w:val="2"/>
        </w:numPr>
        <w:pBdr>
          <w:top w:val="nil"/>
          <w:left w:val="nil"/>
          <w:bottom w:val="nil"/>
          <w:right w:val="nil"/>
          <w:between w:val="nil"/>
        </w:pBdr>
        <w:tabs>
          <w:tab w:val="left" w:pos="360"/>
          <w:tab w:val="left" w:pos="450"/>
        </w:tabs>
        <w:ind w:left="0" w:firstLine="0"/>
        <w:rPr>
          <w:color w:val="auto"/>
        </w:rPr>
      </w:pPr>
      <w:r w:rsidRPr="00636387">
        <w:rPr>
          <w:color w:val="auto"/>
        </w:rPr>
        <w:t>Incubate coverslips containing infected and non-infected cells with in-house mouse polyclonal anti-</w:t>
      </w:r>
      <w:proofErr w:type="spellStart"/>
      <w:r w:rsidRPr="00636387">
        <w:rPr>
          <w:color w:val="auto"/>
        </w:rPr>
        <w:t>TcFAZ</w:t>
      </w:r>
      <w:proofErr w:type="spellEnd"/>
      <w:r w:rsidRPr="00636387">
        <w:rPr>
          <w:color w:val="auto"/>
        </w:rPr>
        <w:t xml:space="preserve"> antibody</w:t>
      </w:r>
      <w:r w:rsidR="00636387">
        <w:rPr>
          <w:color w:val="auto"/>
        </w:rPr>
        <w:t xml:space="preserve"> (</w:t>
      </w:r>
      <w:r w:rsidRPr="00636387">
        <w:rPr>
          <w:color w:val="auto"/>
        </w:rPr>
        <w:t xml:space="preserve">1:100) diluted in blocking solution for 30 min at RT. </w:t>
      </w:r>
    </w:p>
    <w:p w14:paraId="1D30B821" w14:textId="77777777" w:rsidR="00044593" w:rsidRPr="00636387" w:rsidRDefault="00044593">
      <w:pPr>
        <w:widowControl/>
        <w:pBdr>
          <w:top w:val="nil"/>
          <w:left w:val="nil"/>
          <w:bottom w:val="nil"/>
          <w:right w:val="nil"/>
          <w:between w:val="nil"/>
        </w:pBdr>
        <w:tabs>
          <w:tab w:val="left" w:pos="360"/>
          <w:tab w:val="left" w:pos="450"/>
        </w:tabs>
        <w:rPr>
          <w:color w:val="auto"/>
        </w:rPr>
      </w:pPr>
    </w:p>
    <w:p w14:paraId="7D5AF747" w14:textId="77777777" w:rsidR="008470BC" w:rsidRPr="00636387" w:rsidRDefault="008470BC" w:rsidP="008470BC">
      <w:pPr>
        <w:widowControl/>
        <w:numPr>
          <w:ilvl w:val="1"/>
          <w:numId w:val="2"/>
        </w:numPr>
        <w:pBdr>
          <w:top w:val="nil"/>
          <w:left w:val="nil"/>
          <w:bottom w:val="nil"/>
          <w:right w:val="nil"/>
          <w:between w:val="nil"/>
        </w:pBdr>
        <w:tabs>
          <w:tab w:val="left" w:pos="450"/>
        </w:tabs>
        <w:ind w:left="0" w:firstLine="0"/>
        <w:rPr>
          <w:color w:val="auto"/>
        </w:rPr>
      </w:pPr>
      <w:r w:rsidRPr="00636387">
        <w:rPr>
          <w:color w:val="auto"/>
        </w:rPr>
        <w:t>Wash the coverslips three times for 5 minutes each with 1x PBS.</w:t>
      </w:r>
    </w:p>
    <w:p w14:paraId="3DBE8621" w14:textId="77777777" w:rsidR="00044593" w:rsidRPr="00636387" w:rsidRDefault="00044593">
      <w:pPr>
        <w:widowControl/>
        <w:pBdr>
          <w:top w:val="nil"/>
          <w:left w:val="nil"/>
          <w:bottom w:val="nil"/>
          <w:right w:val="nil"/>
          <w:between w:val="nil"/>
        </w:pBdr>
        <w:tabs>
          <w:tab w:val="left" w:pos="450"/>
          <w:tab w:val="left" w:pos="540"/>
        </w:tabs>
        <w:ind w:left="720"/>
        <w:rPr>
          <w:color w:val="auto"/>
        </w:rPr>
      </w:pPr>
    </w:p>
    <w:p w14:paraId="512C8511" w14:textId="73E19267" w:rsidR="00044593" w:rsidRPr="00636387" w:rsidRDefault="002B7AAC">
      <w:pPr>
        <w:widowControl/>
        <w:numPr>
          <w:ilvl w:val="1"/>
          <w:numId w:val="2"/>
        </w:numPr>
        <w:pBdr>
          <w:top w:val="nil"/>
          <w:left w:val="nil"/>
          <w:bottom w:val="nil"/>
          <w:right w:val="nil"/>
          <w:between w:val="nil"/>
        </w:pBdr>
        <w:tabs>
          <w:tab w:val="left" w:pos="450"/>
        </w:tabs>
        <w:ind w:left="0" w:firstLine="0"/>
        <w:rPr>
          <w:color w:val="auto"/>
        </w:rPr>
      </w:pPr>
      <w:r w:rsidRPr="00636387">
        <w:rPr>
          <w:color w:val="auto"/>
        </w:rPr>
        <w:t>Incubate coverslips for 30 min at RT with goat anti-mouse IgG F</w:t>
      </w:r>
      <w:r w:rsidR="00636387">
        <w:rPr>
          <w:color w:val="auto"/>
        </w:rPr>
        <w:t xml:space="preserve"> (</w:t>
      </w:r>
      <w:r w:rsidRPr="00636387">
        <w:rPr>
          <w:color w:val="auto"/>
        </w:rPr>
        <w:t>ab')2</w:t>
      </w:r>
      <w:r w:rsidR="00636387">
        <w:rPr>
          <w:color w:val="auto"/>
        </w:rPr>
        <w:t xml:space="preserve"> (</w:t>
      </w:r>
      <w:r w:rsidRPr="00636387">
        <w:rPr>
          <w:color w:val="auto"/>
        </w:rPr>
        <w:t>H+L) conjugated to Alexa Fluor 647</w:t>
      </w:r>
      <w:r w:rsidR="00636387">
        <w:rPr>
          <w:color w:val="auto"/>
        </w:rPr>
        <w:t xml:space="preserve"> (</w:t>
      </w:r>
      <w:r w:rsidRPr="00636387">
        <w:rPr>
          <w:color w:val="auto"/>
        </w:rPr>
        <w:t xml:space="preserve">1:600) diluted in the blocking solution. </w:t>
      </w:r>
    </w:p>
    <w:p w14:paraId="33F9B84A" w14:textId="77777777" w:rsidR="00044593" w:rsidRPr="00636387" w:rsidRDefault="00044593">
      <w:pPr>
        <w:widowControl/>
        <w:pBdr>
          <w:top w:val="nil"/>
          <w:left w:val="nil"/>
          <w:bottom w:val="nil"/>
          <w:right w:val="nil"/>
          <w:between w:val="nil"/>
        </w:pBdr>
        <w:tabs>
          <w:tab w:val="left" w:pos="450"/>
        </w:tabs>
        <w:rPr>
          <w:color w:val="auto"/>
        </w:rPr>
      </w:pPr>
    </w:p>
    <w:p w14:paraId="0ACEF7A8" w14:textId="77777777" w:rsidR="008470BC" w:rsidRPr="00636387" w:rsidRDefault="008470BC" w:rsidP="008470BC">
      <w:pPr>
        <w:widowControl/>
        <w:numPr>
          <w:ilvl w:val="1"/>
          <w:numId w:val="2"/>
        </w:numPr>
        <w:pBdr>
          <w:top w:val="nil"/>
          <w:left w:val="nil"/>
          <w:bottom w:val="nil"/>
          <w:right w:val="nil"/>
          <w:between w:val="nil"/>
        </w:pBdr>
        <w:tabs>
          <w:tab w:val="left" w:pos="450"/>
        </w:tabs>
        <w:ind w:left="0" w:firstLine="0"/>
        <w:rPr>
          <w:color w:val="auto"/>
        </w:rPr>
      </w:pPr>
      <w:r w:rsidRPr="00636387">
        <w:rPr>
          <w:color w:val="auto"/>
        </w:rPr>
        <w:t>Wash the coverslips three times for 5 minutes each with 1x PBS.</w:t>
      </w:r>
    </w:p>
    <w:p w14:paraId="73AC3B27" w14:textId="77777777" w:rsidR="00044593" w:rsidRPr="00636387" w:rsidRDefault="00044593">
      <w:pPr>
        <w:widowControl/>
        <w:pBdr>
          <w:top w:val="nil"/>
          <w:left w:val="nil"/>
          <w:bottom w:val="nil"/>
          <w:right w:val="nil"/>
          <w:between w:val="nil"/>
        </w:pBdr>
        <w:tabs>
          <w:tab w:val="left" w:pos="450"/>
        </w:tabs>
        <w:rPr>
          <w:color w:val="auto"/>
        </w:rPr>
      </w:pPr>
    </w:p>
    <w:p w14:paraId="31664220" w14:textId="6B2567F6" w:rsidR="00044593" w:rsidRPr="00636387" w:rsidRDefault="002B7AAC">
      <w:pPr>
        <w:widowControl/>
        <w:numPr>
          <w:ilvl w:val="1"/>
          <w:numId w:val="2"/>
        </w:numPr>
        <w:pBdr>
          <w:top w:val="nil"/>
          <w:left w:val="nil"/>
          <w:bottom w:val="nil"/>
          <w:right w:val="nil"/>
          <w:between w:val="nil"/>
        </w:pBdr>
        <w:tabs>
          <w:tab w:val="left" w:pos="450"/>
        </w:tabs>
        <w:ind w:left="0" w:firstLine="0"/>
        <w:rPr>
          <w:color w:val="auto"/>
        </w:rPr>
      </w:pPr>
      <w:r w:rsidRPr="00636387">
        <w:rPr>
          <w:color w:val="auto"/>
        </w:rPr>
        <w:t xml:space="preserve">Perform the second blocking step with </w:t>
      </w:r>
      <w:proofErr w:type="spellStart"/>
      <w:r w:rsidRPr="00636387">
        <w:rPr>
          <w:color w:val="auto"/>
        </w:rPr>
        <w:t>AffiniPure</w:t>
      </w:r>
      <w:proofErr w:type="spellEnd"/>
      <w:r w:rsidRPr="00636387">
        <w:rPr>
          <w:color w:val="auto"/>
        </w:rPr>
        <w:t xml:space="preserve"> rabbit anti-mouse IgG</w:t>
      </w:r>
      <w:r w:rsidR="00636387">
        <w:rPr>
          <w:color w:val="auto"/>
        </w:rPr>
        <w:t xml:space="preserve"> (</w:t>
      </w:r>
      <w:r w:rsidRPr="00636387">
        <w:rPr>
          <w:color w:val="auto"/>
        </w:rPr>
        <w:t>H+L) diluted</w:t>
      </w:r>
      <w:r w:rsidR="00636387">
        <w:rPr>
          <w:color w:val="auto"/>
        </w:rPr>
        <w:t xml:space="preserve"> (</w:t>
      </w:r>
      <w:r w:rsidRPr="00636387">
        <w:rPr>
          <w:color w:val="auto"/>
        </w:rPr>
        <w:t>0.12</w:t>
      </w:r>
      <w:r w:rsidR="00683695" w:rsidRPr="00636387">
        <w:rPr>
          <w:color w:val="auto"/>
        </w:rPr>
        <w:t xml:space="preserve"> </w:t>
      </w:r>
      <w:r w:rsidRPr="00636387">
        <w:rPr>
          <w:color w:val="auto"/>
        </w:rPr>
        <w:t>mg</w:t>
      </w:r>
      <w:r w:rsidR="003F7CBF" w:rsidRPr="00636387">
        <w:rPr>
          <w:color w:val="auto"/>
        </w:rPr>
        <w:t>/mL</w:t>
      </w:r>
      <w:r w:rsidRPr="00636387">
        <w:rPr>
          <w:color w:val="auto"/>
        </w:rPr>
        <w:t xml:space="preserve">) in blocking solution for 30 min at RT. </w:t>
      </w:r>
    </w:p>
    <w:p w14:paraId="3B03A250" w14:textId="77777777" w:rsidR="00044593" w:rsidRPr="00636387" w:rsidRDefault="00044593">
      <w:pPr>
        <w:widowControl/>
        <w:pBdr>
          <w:top w:val="nil"/>
          <w:left w:val="nil"/>
          <w:bottom w:val="nil"/>
          <w:right w:val="nil"/>
          <w:between w:val="nil"/>
        </w:pBdr>
        <w:tabs>
          <w:tab w:val="left" w:pos="450"/>
        </w:tabs>
        <w:rPr>
          <w:color w:val="auto"/>
        </w:rPr>
      </w:pPr>
    </w:p>
    <w:p w14:paraId="1576A4FE" w14:textId="3E8D67FC" w:rsidR="00044593" w:rsidRPr="00636387" w:rsidRDefault="002B7AAC">
      <w:pPr>
        <w:widowControl/>
        <w:numPr>
          <w:ilvl w:val="1"/>
          <w:numId w:val="2"/>
        </w:numPr>
        <w:pBdr>
          <w:top w:val="nil"/>
          <w:left w:val="nil"/>
          <w:bottom w:val="nil"/>
          <w:right w:val="nil"/>
          <w:between w:val="nil"/>
        </w:pBdr>
        <w:tabs>
          <w:tab w:val="left" w:pos="450"/>
        </w:tabs>
        <w:ind w:left="0" w:firstLine="0"/>
        <w:rPr>
          <w:color w:val="auto"/>
        </w:rPr>
      </w:pPr>
      <w:r w:rsidRPr="00636387">
        <w:rPr>
          <w:color w:val="auto"/>
        </w:rPr>
        <w:t xml:space="preserve">Wash the coverslips three times with </w:t>
      </w:r>
      <w:r w:rsidR="00683695" w:rsidRPr="00636387">
        <w:rPr>
          <w:color w:val="auto"/>
        </w:rPr>
        <w:t>1x PBS</w:t>
      </w:r>
      <w:r w:rsidR="00636387">
        <w:rPr>
          <w:color w:val="auto"/>
        </w:rPr>
        <w:t xml:space="preserve"> (</w:t>
      </w:r>
      <w:r w:rsidRPr="00636387">
        <w:rPr>
          <w:color w:val="auto"/>
        </w:rPr>
        <w:t>pH 7.2) for 5 min each</w:t>
      </w:r>
      <w:r w:rsidR="00683695" w:rsidRPr="00636387">
        <w:rPr>
          <w:color w:val="auto"/>
        </w:rPr>
        <w:t xml:space="preserve">. Then </w:t>
      </w:r>
      <w:r w:rsidRPr="00636387">
        <w:rPr>
          <w:color w:val="auto"/>
        </w:rPr>
        <w:t>incubat</w:t>
      </w:r>
      <w:r w:rsidR="00683695" w:rsidRPr="00636387">
        <w:rPr>
          <w:color w:val="auto"/>
        </w:rPr>
        <w:t>e</w:t>
      </w:r>
      <w:r w:rsidRPr="00636387">
        <w:rPr>
          <w:color w:val="auto"/>
        </w:rPr>
        <w:t xml:space="preserve"> with mouse monoclonal anti-</w:t>
      </w:r>
      <w:proofErr w:type="spellStart"/>
      <w:r w:rsidRPr="00636387">
        <w:rPr>
          <w:color w:val="auto"/>
        </w:rPr>
        <w:t>hnRNP</w:t>
      </w:r>
      <w:proofErr w:type="spellEnd"/>
      <w:r w:rsidRPr="00636387">
        <w:rPr>
          <w:color w:val="auto"/>
        </w:rPr>
        <w:t xml:space="preserve"> A1 IgG2b antibody</w:t>
      </w:r>
      <w:r w:rsidR="00636387">
        <w:rPr>
          <w:color w:val="auto"/>
        </w:rPr>
        <w:t xml:space="preserve"> (</w:t>
      </w:r>
      <w:r w:rsidRPr="00636387">
        <w:rPr>
          <w:color w:val="auto"/>
        </w:rPr>
        <w:t>1:200) for 30 min at RT.</w:t>
      </w:r>
    </w:p>
    <w:p w14:paraId="03A45428" w14:textId="77777777" w:rsidR="00044593" w:rsidRPr="00636387" w:rsidRDefault="00044593">
      <w:pPr>
        <w:widowControl/>
        <w:pBdr>
          <w:top w:val="nil"/>
          <w:left w:val="nil"/>
          <w:bottom w:val="nil"/>
          <w:right w:val="nil"/>
          <w:between w:val="nil"/>
        </w:pBdr>
        <w:tabs>
          <w:tab w:val="left" w:pos="450"/>
        </w:tabs>
        <w:rPr>
          <w:color w:val="auto"/>
        </w:rPr>
      </w:pPr>
    </w:p>
    <w:p w14:paraId="53D62041" w14:textId="77777777" w:rsidR="008470BC" w:rsidRPr="00636387" w:rsidRDefault="008470BC" w:rsidP="008470BC">
      <w:pPr>
        <w:widowControl/>
        <w:numPr>
          <w:ilvl w:val="1"/>
          <w:numId w:val="2"/>
        </w:numPr>
        <w:pBdr>
          <w:top w:val="nil"/>
          <w:left w:val="nil"/>
          <w:bottom w:val="nil"/>
          <w:right w:val="nil"/>
          <w:between w:val="nil"/>
        </w:pBdr>
        <w:tabs>
          <w:tab w:val="left" w:pos="450"/>
        </w:tabs>
        <w:ind w:left="0" w:firstLine="0"/>
        <w:rPr>
          <w:color w:val="auto"/>
        </w:rPr>
      </w:pPr>
      <w:r w:rsidRPr="00636387">
        <w:rPr>
          <w:color w:val="auto"/>
        </w:rPr>
        <w:t>Wash the coverslips three times for 5 minutes each with 1x PBS.</w:t>
      </w:r>
    </w:p>
    <w:p w14:paraId="11B257E0" w14:textId="77777777" w:rsidR="00044593" w:rsidRPr="00636387" w:rsidRDefault="00044593">
      <w:pPr>
        <w:widowControl/>
        <w:pBdr>
          <w:top w:val="nil"/>
          <w:left w:val="nil"/>
          <w:bottom w:val="nil"/>
          <w:right w:val="nil"/>
          <w:between w:val="nil"/>
        </w:pBdr>
        <w:tabs>
          <w:tab w:val="left" w:pos="450"/>
        </w:tabs>
        <w:rPr>
          <w:color w:val="auto"/>
        </w:rPr>
      </w:pPr>
    </w:p>
    <w:p w14:paraId="01E1E89F" w14:textId="2AD7DEBC" w:rsidR="00044593" w:rsidRPr="00636387" w:rsidRDefault="002B7AAC">
      <w:pPr>
        <w:widowControl/>
        <w:numPr>
          <w:ilvl w:val="1"/>
          <w:numId w:val="2"/>
        </w:numPr>
        <w:pBdr>
          <w:top w:val="nil"/>
          <w:left w:val="nil"/>
          <w:bottom w:val="nil"/>
          <w:right w:val="nil"/>
          <w:between w:val="nil"/>
        </w:pBdr>
        <w:tabs>
          <w:tab w:val="left" w:pos="450"/>
        </w:tabs>
        <w:ind w:left="0" w:firstLine="0"/>
        <w:rPr>
          <w:color w:val="auto"/>
        </w:rPr>
      </w:pPr>
      <w:r w:rsidRPr="00636387">
        <w:rPr>
          <w:color w:val="auto"/>
        </w:rPr>
        <w:t>Incubate the coverslips for 30 min with goat anti-mouse IgG2b antibody conjugated to Alexa Fluor 488</w:t>
      </w:r>
      <w:r w:rsidR="00636387">
        <w:rPr>
          <w:color w:val="auto"/>
        </w:rPr>
        <w:t xml:space="preserve"> (</w:t>
      </w:r>
      <w:r w:rsidRPr="00636387">
        <w:rPr>
          <w:color w:val="auto"/>
        </w:rPr>
        <w:t>1:600) and with phalloidin conjugated to Alexa 594</w:t>
      </w:r>
      <w:r w:rsidR="00636387">
        <w:rPr>
          <w:color w:val="auto"/>
        </w:rPr>
        <w:t xml:space="preserve"> (</w:t>
      </w:r>
      <w:r w:rsidRPr="00636387">
        <w:rPr>
          <w:color w:val="auto"/>
        </w:rPr>
        <w:t>1:300) diluted in the blocking solution.</w:t>
      </w:r>
    </w:p>
    <w:p w14:paraId="52A5D0BC" w14:textId="77777777" w:rsidR="00044593" w:rsidRPr="00636387" w:rsidRDefault="00044593">
      <w:pPr>
        <w:widowControl/>
        <w:pBdr>
          <w:top w:val="nil"/>
          <w:left w:val="nil"/>
          <w:bottom w:val="nil"/>
          <w:right w:val="nil"/>
          <w:between w:val="nil"/>
        </w:pBdr>
        <w:tabs>
          <w:tab w:val="left" w:pos="450"/>
        </w:tabs>
        <w:rPr>
          <w:color w:val="auto"/>
        </w:rPr>
      </w:pPr>
    </w:p>
    <w:p w14:paraId="4C9E3F46" w14:textId="77777777" w:rsidR="008470BC" w:rsidRPr="00636387" w:rsidRDefault="008470BC" w:rsidP="008470BC">
      <w:pPr>
        <w:widowControl/>
        <w:numPr>
          <w:ilvl w:val="1"/>
          <w:numId w:val="2"/>
        </w:numPr>
        <w:pBdr>
          <w:top w:val="nil"/>
          <w:left w:val="nil"/>
          <w:bottom w:val="nil"/>
          <w:right w:val="nil"/>
          <w:between w:val="nil"/>
        </w:pBdr>
        <w:tabs>
          <w:tab w:val="left" w:pos="450"/>
        </w:tabs>
        <w:ind w:left="0" w:firstLine="0"/>
        <w:rPr>
          <w:color w:val="auto"/>
        </w:rPr>
      </w:pPr>
      <w:r w:rsidRPr="00636387">
        <w:rPr>
          <w:color w:val="auto"/>
        </w:rPr>
        <w:t>Wash the coverslips three times for 5 minutes each with 1x PBS.</w:t>
      </w:r>
    </w:p>
    <w:p w14:paraId="1107A996" w14:textId="77777777" w:rsidR="00044593" w:rsidRPr="00636387" w:rsidRDefault="00044593">
      <w:pPr>
        <w:widowControl/>
        <w:pBdr>
          <w:top w:val="nil"/>
          <w:left w:val="nil"/>
          <w:bottom w:val="nil"/>
          <w:right w:val="nil"/>
          <w:between w:val="nil"/>
        </w:pBdr>
        <w:tabs>
          <w:tab w:val="left" w:pos="540"/>
        </w:tabs>
        <w:rPr>
          <w:color w:val="auto"/>
        </w:rPr>
      </w:pPr>
    </w:p>
    <w:p w14:paraId="6E01AC24" w14:textId="77777777" w:rsidR="00044593" w:rsidRPr="00636387" w:rsidRDefault="002B7AAC">
      <w:pPr>
        <w:widowControl/>
        <w:numPr>
          <w:ilvl w:val="1"/>
          <w:numId w:val="2"/>
        </w:numPr>
        <w:pBdr>
          <w:top w:val="nil"/>
          <w:left w:val="nil"/>
          <w:bottom w:val="nil"/>
          <w:right w:val="nil"/>
          <w:between w:val="nil"/>
        </w:pBdr>
        <w:tabs>
          <w:tab w:val="left" w:pos="540"/>
        </w:tabs>
        <w:ind w:left="0" w:firstLine="0"/>
        <w:rPr>
          <w:color w:val="auto"/>
        </w:rPr>
      </w:pPr>
      <w:r w:rsidRPr="00636387">
        <w:rPr>
          <w:color w:val="auto"/>
        </w:rPr>
        <w:t>Repeat steps 2.8 to 2.10 described above.</w:t>
      </w:r>
    </w:p>
    <w:p w14:paraId="5135DA50" w14:textId="77777777" w:rsidR="00044593" w:rsidRPr="00636387" w:rsidRDefault="00044593">
      <w:pPr>
        <w:ind w:left="270"/>
        <w:rPr>
          <w:color w:val="auto"/>
        </w:rPr>
      </w:pPr>
    </w:p>
    <w:p w14:paraId="1A050502" w14:textId="64C68B07" w:rsidR="00044593" w:rsidRPr="00636387" w:rsidRDefault="002B7AAC">
      <w:pPr>
        <w:numPr>
          <w:ilvl w:val="0"/>
          <w:numId w:val="1"/>
        </w:numPr>
        <w:pBdr>
          <w:top w:val="nil"/>
          <w:left w:val="nil"/>
          <w:bottom w:val="nil"/>
          <w:right w:val="nil"/>
          <w:between w:val="nil"/>
        </w:pBdr>
        <w:tabs>
          <w:tab w:val="left" w:pos="360"/>
        </w:tabs>
        <w:ind w:left="0" w:firstLine="0"/>
        <w:rPr>
          <w:b/>
          <w:color w:val="auto"/>
        </w:rPr>
      </w:pPr>
      <w:r w:rsidRPr="00636387">
        <w:rPr>
          <w:b/>
          <w:color w:val="auto"/>
        </w:rPr>
        <w:t>Triple labeling immunofluorescence protocol with the addition of the third polyclonal antibody from different host species</w:t>
      </w:r>
    </w:p>
    <w:p w14:paraId="2FD0824E" w14:textId="77777777" w:rsidR="00683695" w:rsidRPr="00636387" w:rsidRDefault="00683695" w:rsidP="00683695">
      <w:pPr>
        <w:pBdr>
          <w:top w:val="nil"/>
          <w:left w:val="nil"/>
          <w:bottom w:val="nil"/>
          <w:right w:val="nil"/>
          <w:between w:val="nil"/>
        </w:pBdr>
        <w:tabs>
          <w:tab w:val="left" w:pos="360"/>
        </w:tabs>
        <w:rPr>
          <w:b/>
          <w:color w:val="auto"/>
        </w:rPr>
      </w:pPr>
    </w:p>
    <w:p w14:paraId="4D9DDE50" w14:textId="77777777" w:rsidR="00044593" w:rsidRPr="00636387" w:rsidRDefault="002B7AAC">
      <w:pPr>
        <w:rPr>
          <w:color w:val="auto"/>
        </w:rPr>
      </w:pPr>
      <w:r w:rsidRPr="00636387">
        <w:rPr>
          <w:bCs/>
          <w:color w:val="auto"/>
        </w:rPr>
        <w:t>NOTE:</w:t>
      </w:r>
      <w:r w:rsidRPr="00636387">
        <w:rPr>
          <w:color w:val="auto"/>
        </w:rPr>
        <w:t xml:space="preserve"> For the additional labeling, note the IgG subclasses, antibody isotypes, and follow the order of antibodies: 1. mouse polyclonal, 2. rabbit polyclonal, 3. second block, and 4. mouse monoclonal. Consider the type of lasers available in the confocal microscope to choose the correct fluorophore-conjugated secondary antibody.</w:t>
      </w:r>
    </w:p>
    <w:p w14:paraId="3C6692EE" w14:textId="77777777" w:rsidR="00044593" w:rsidRPr="00636387" w:rsidRDefault="00044593">
      <w:pPr>
        <w:rPr>
          <w:color w:val="auto"/>
        </w:rPr>
      </w:pPr>
    </w:p>
    <w:p w14:paraId="461F9591" w14:textId="77777777" w:rsidR="00044593" w:rsidRPr="00636387" w:rsidRDefault="002B7AAC">
      <w:pPr>
        <w:widowControl/>
        <w:numPr>
          <w:ilvl w:val="1"/>
          <w:numId w:val="3"/>
        </w:numPr>
        <w:pBdr>
          <w:top w:val="nil"/>
          <w:left w:val="nil"/>
          <w:bottom w:val="nil"/>
          <w:right w:val="nil"/>
          <w:between w:val="nil"/>
        </w:pBdr>
        <w:tabs>
          <w:tab w:val="left" w:pos="630"/>
        </w:tabs>
        <w:ind w:left="450" w:hanging="450"/>
        <w:rPr>
          <w:color w:val="auto"/>
        </w:rPr>
      </w:pPr>
      <w:r w:rsidRPr="00636387">
        <w:rPr>
          <w:color w:val="auto"/>
        </w:rPr>
        <w:lastRenderedPageBreak/>
        <w:t>Repeat steps 2.1 to 2.6 described above.</w:t>
      </w:r>
    </w:p>
    <w:p w14:paraId="44B9C51A" w14:textId="77777777" w:rsidR="00044593" w:rsidRPr="00636387" w:rsidRDefault="00044593">
      <w:pPr>
        <w:widowControl/>
        <w:pBdr>
          <w:top w:val="nil"/>
          <w:left w:val="nil"/>
          <w:bottom w:val="nil"/>
          <w:right w:val="nil"/>
          <w:between w:val="nil"/>
        </w:pBdr>
        <w:tabs>
          <w:tab w:val="left" w:pos="630"/>
        </w:tabs>
        <w:ind w:left="450"/>
        <w:rPr>
          <w:color w:val="auto"/>
        </w:rPr>
      </w:pPr>
    </w:p>
    <w:p w14:paraId="25CB3FBA" w14:textId="306C587D" w:rsidR="00044593" w:rsidRPr="00636387" w:rsidRDefault="002B7AAC">
      <w:pPr>
        <w:widowControl/>
        <w:numPr>
          <w:ilvl w:val="1"/>
          <w:numId w:val="3"/>
        </w:numPr>
        <w:pBdr>
          <w:top w:val="nil"/>
          <w:left w:val="nil"/>
          <w:bottom w:val="nil"/>
          <w:right w:val="nil"/>
          <w:between w:val="nil"/>
        </w:pBdr>
        <w:tabs>
          <w:tab w:val="left" w:pos="450"/>
        </w:tabs>
        <w:ind w:left="0" w:firstLine="0"/>
        <w:rPr>
          <w:color w:val="auto"/>
        </w:rPr>
      </w:pPr>
      <w:r w:rsidRPr="00636387">
        <w:rPr>
          <w:color w:val="auto"/>
        </w:rPr>
        <w:t>After steps 3.2 to 3.5</w:t>
      </w:r>
      <w:r w:rsidR="00636387">
        <w:rPr>
          <w:color w:val="auto"/>
        </w:rPr>
        <w:t xml:space="preserve"> (</w:t>
      </w:r>
      <w:r w:rsidRPr="00636387">
        <w:rPr>
          <w:color w:val="auto"/>
        </w:rPr>
        <w:t>washing step), start a new incubation with rabbit polyclonal antibody in blocking solution for 30 minutes at RT.</w:t>
      </w:r>
    </w:p>
    <w:p w14:paraId="01588EC7" w14:textId="77777777" w:rsidR="00044593" w:rsidRPr="00636387" w:rsidRDefault="00044593">
      <w:pPr>
        <w:widowControl/>
        <w:pBdr>
          <w:top w:val="nil"/>
          <w:left w:val="nil"/>
          <w:bottom w:val="nil"/>
          <w:right w:val="nil"/>
          <w:between w:val="nil"/>
        </w:pBdr>
        <w:tabs>
          <w:tab w:val="left" w:pos="450"/>
        </w:tabs>
        <w:rPr>
          <w:color w:val="auto"/>
        </w:rPr>
      </w:pPr>
    </w:p>
    <w:p w14:paraId="3D6A115B" w14:textId="4D861B24" w:rsidR="00044593" w:rsidRPr="00636387" w:rsidRDefault="002B7AAC">
      <w:pPr>
        <w:widowControl/>
        <w:numPr>
          <w:ilvl w:val="1"/>
          <w:numId w:val="3"/>
        </w:numPr>
        <w:pBdr>
          <w:top w:val="nil"/>
          <w:left w:val="nil"/>
          <w:bottom w:val="nil"/>
          <w:right w:val="nil"/>
          <w:between w:val="nil"/>
        </w:pBdr>
        <w:tabs>
          <w:tab w:val="left" w:pos="450"/>
        </w:tabs>
        <w:ind w:left="0" w:firstLine="0"/>
        <w:rPr>
          <w:color w:val="auto"/>
        </w:rPr>
      </w:pPr>
      <w:r w:rsidRPr="00636387">
        <w:rPr>
          <w:color w:val="auto"/>
        </w:rPr>
        <w:t xml:space="preserve">Wash the coverslips three times with </w:t>
      </w:r>
      <w:r w:rsidR="00683695" w:rsidRPr="00636387">
        <w:rPr>
          <w:color w:val="auto"/>
        </w:rPr>
        <w:t>1x PBS</w:t>
      </w:r>
      <w:r w:rsidR="00636387">
        <w:rPr>
          <w:color w:val="auto"/>
        </w:rPr>
        <w:t xml:space="preserve"> (</w:t>
      </w:r>
      <w:r w:rsidRPr="00636387">
        <w:rPr>
          <w:color w:val="auto"/>
        </w:rPr>
        <w:t>pH 7.2) for 5 minutes each.</w:t>
      </w:r>
    </w:p>
    <w:p w14:paraId="29289838" w14:textId="77777777" w:rsidR="00044593" w:rsidRPr="00636387" w:rsidRDefault="00044593">
      <w:pPr>
        <w:widowControl/>
        <w:pBdr>
          <w:top w:val="nil"/>
          <w:left w:val="nil"/>
          <w:bottom w:val="nil"/>
          <w:right w:val="nil"/>
          <w:between w:val="nil"/>
        </w:pBdr>
        <w:tabs>
          <w:tab w:val="left" w:pos="450"/>
        </w:tabs>
        <w:rPr>
          <w:color w:val="auto"/>
        </w:rPr>
      </w:pPr>
    </w:p>
    <w:p w14:paraId="15645837" w14:textId="2ADFE650" w:rsidR="00044593" w:rsidRPr="00636387" w:rsidRDefault="002B7AAC">
      <w:pPr>
        <w:widowControl/>
        <w:numPr>
          <w:ilvl w:val="1"/>
          <w:numId w:val="3"/>
        </w:numPr>
        <w:pBdr>
          <w:top w:val="nil"/>
          <w:left w:val="nil"/>
          <w:bottom w:val="nil"/>
          <w:right w:val="nil"/>
          <w:between w:val="nil"/>
        </w:pBdr>
        <w:tabs>
          <w:tab w:val="left" w:pos="450"/>
        </w:tabs>
        <w:ind w:left="0" w:firstLine="0"/>
        <w:rPr>
          <w:color w:val="auto"/>
        </w:rPr>
      </w:pPr>
      <w:r w:rsidRPr="00636387">
        <w:rPr>
          <w:color w:val="auto"/>
        </w:rPr>
        <w:t>Incubate the coverslips with goat anti-rabbit antibody IgG conjugated to Alexa 647</w:t>
      </w:r>
      <w:r w:rsidR="00636387">
        <w:rPr>
          <w:color w:val="auto"/>
        </w:rPr>
        <w:t xml:space="preserve"> (</w:t>
      </w:r>
      <w:r w:rsidRPr="00636387">
        <w:rPr>
          <w:color w:val="auto"/>
        </w:rPr>
        <w:t>1:600) in blocking solution for 30 minutes.</w:t>
      </w:r>
    </w:p>
    <w:p w14:paraId="4598EE7A" w14:textId="77777777" w:rsidR="00044593" w:rsidRPr="00636387" w:rsidRDefault="00044593">
      <w:pPr>
        <w:widowControl/>
        <w:pBdr>
          <w:top w:val="nil"/>
          <w:left w:val="nil"/>
          <w:bottom w:val="nil"/>
          <w:right w:val="nil"/>
          <w:between w:val="nil"/>
        </w:pBdr>
        <w:tabs>
          <w:tab w:val="left" w:pos="450"/>
        </w:tabs>
        <w:rPr>
          <w:color w:val="auto"/>
        </w:rPr>
      </w:pPr>
    </w:p>
    <w:p w14:paraId="195EC180" w14:textId="77777777" w:rsidR="008470BC" w:rsidRPr="00636387" w:rsidRDefault="008470BC" w:rsidP="008470BC">
      <w:pPr>
        <w:widowControl/>
        <w:numPr>
          <w:ilvl w:val="1"/>
          <w:numId w:val="3"/>
        </w:numPr>
        <w:pBdr>
          <w:top w:val="nil"/>
          <w:left w:val="nil"/>
          <w:bottom w:val="nil"/>
          <w:right w:val="nil"/>
          <w:between w:val="nil"/>
        </w:pBdr>
        <w:tabs>
          <w:tab w:val="left" w:pos="450"/>
        </w:tabs>
        <w:ind w:left="0" w:firstLine="0"/>
        <w:rPr>
          <w:color w:val="auto"/>
        </w:rPr>
      </w:pPr>
      <w:r w:rsidRPr="00636387">
        <w:rPr>
          <w:color w:val="auto"/>
        </w:rPr>
        <w:t>Wash the coverslips three times for 5 minutes each with 1x PBS.</w:t>
      </w:r>
    </w:p>
    <w:p w14:paraId="32F7F16A" w14:textId="77777777" w:rsidR="00044593" w:rsidRPr="00636387" w:rsidRDefault="00044593">
      <w:pPr>
        <w:widowControl/>
        <w:pBdr>
          <w:top w:val="nil"/>
          <w:left w:val="nil"/>
          <w:bottom w:val="nil"/>
          <w:right w:val="nil"/>
          <w:between w:val="nil"/>
        </w:pBdr>
        <w:tabs>
          <w:tab w:val="left" w:pos="450"/>
        </w:tabs>
        <w:rPr>
          <w:color w:val="auto"/>
        </w:rPr>
      </w:pPr>
    </w:p>
    <w:p w14:paraId="082D2C55" w14:textId="7C08CBA6" w:rsidR="008470BC" w:rsidRPr="00636387" w:rsidRDefault="008470BC" w:rsidP="008470BC">
      <w:pPr>
        <w:widowControl/>
        <w:numPr>
          <w:ilvl w:val="1"/>
          <w:numId w:val="3"/>
        </w:numPr>
        <w:pBdr>
          <w:top w:val="nil"/>
          <w:left w:val="nil"/>
          <w:bottom w:val="nil"/>
          <w:right w:val="nil"/>
          <w:between w:val="nil"/>
        </w:pBdr>
        <w:tabs>
          <w:tab w:val="left" w:pos="450"/>
        </w:tabs>
        <w:ind w:left="0" w:firstLine="0"/>
        <w:rPr>
          <w:color w:val="auto"/>
        </w:rPr>
      </w:pPr>
      <w:r w:rsidRPr="00636387">
        <w:rPr>
          <w:color w:val="auto"/>
        </w:rPr>
        <w:t xml:space="preserve">Perform </w:t>
      </w:r>
      <w:r w:rsidRPr="00636387">
        <w:rPr>
          <w:color w:val="auto"/>
        </w:rPr>
        <w:t xml:space="preserve">a </w:t>
      </w:r>
      <w:r w:rsidRPr="00636387">
        <w:rPr>
          <w:color w:val="auto"/>
        </w:rPr>
        <w:t xml:space="preserve">blocking step with </w:t>
      </w:r>
      <w:proofErr w:type="spellStart"/>
      <w:r w:rsidRPr="00636387">
        <w:rPr>
          <w:color w:val="auto"/>
        </w:rPr>
        <w:t>AffiniPure</w:t>
      </w:r>
      <w:proofErr w:type="spellEnd"/>
      <w:r w:rsidRPr="00636387">
        <w:rPr>
          <w:color w:val="auto"/>
        </w:rPr>
        <w:t xml:space="preserve"> rabbit anti-mouse IgG</w:t>
      </w:r>
      <w:r w:rsidR="00636387">
        <w:rPr>
          <w:color w:val="auto"/>
        </w:rPr>
        <w:t xml:space="preserve"> (</w:t>
      </w:r>
      <w:r w:rsidRPr="00636387">
        <w:rPr>
          <w:color w:val="auto"/>
        </w:rPr>
        <w:t>H+L) diluted</w:t>
      </w:r>
      <w:r w:rsidR="00636387">
        <w:rPr>
          <w:color w:val="auto"/>
        </w:rPr>
        <w:t xml:space="preserve"> (</w:t>
      </w:r>
      <w:r w:rsidRPr="00636387">
        <w:rPr>
          <w:color w:val="auto"/>
        </w:rPr>
        <w:t xml:space="preserve">0.12 mg/mL) in blocking solution for 30 min at RT. </w:t>
      </w:r>
    </w:p>
    <w:p w14:paraId="155157F1" w14:textId="77777777" w:rsidR="00044593" w:rsidRPr="00636387" w:rsidRDefault="00044593">
      <w:pPr>
        <w:widowControl/>
        <w:pBdr>
          <w:top w:val="nil"/>
          <w:left w:val="nil"/>
          <w:bottom w:val="nil"/>
          <w:right w:val="nil"/>
          <w:between w:val="nil"/>
        </w:pBdr>
        <w:tabs>
          <w:tab w:val="left" w:pos="450"/>
        </w:tabs>
        <w:rPr>
          <w:color w:val="auto"/>
        </w:rPr>
      </w:pPr>
    </w:p>
    <w:p w14:paraId="6CA78533" w14:textId="6A738C38" w:rsidR="00044593" w:rsidRPr="00636387" w:rsidRDefault="002B7AAC">
      <w:pPr>
        <w:widowControl/>
        <w:numPr>
          <w:ilvl w:val="1"/>
          <w:numId w:val="3"/>
        </w:numPr>
        <w:pBdr>
          <w:top w:val="nil"/>
          <w:left w:val="nil"/>
          <w:bottom w:val="nil"/>
          <w:right w:val="nil"/>
          <w:between w:val="nil"/>
        </w:pBdr>
        <w:tabs>
          <w:tab w:val="left" w:pos="450"/>
        </w:tabs>
        <w:ind w:left="0" w:firstLine="0"/>
        <w:rPr>
          <w:color w:val="auto"/>
        </w:rPr>
      </w:pPr>
      <w:r w:rsidRPr="00636387">
        <w:rPr>
          <w:color w:val="auto"/>
        </w:rPr>
        <w:t xml:space="preserve">Wash the coverslips three times with </w:t>
      </w:r>
      <w:r w:rsidR="00683695" w:rsidRPr="00636387">
        <w:rPr>
          <w:color w:val="auto"/>
        </w:rPr>
        <w:t>1x PBS</w:t>
      </w:r>
      <w:r w:rsidR="00636387">
        <w:rPr>
          <w:color w:val="auto"/>
        </w:rPr>
        <w:t xml:space="preserve"> (</w:t>
      </w:r>
      <w:r w:rsidRPr="00636387">
        <w:rPr>
          <w:color w:val="auto"/>
        </w:rPr>
        <w:t xml:space="preserve">pH 7.2) for 5 minutes each and incubate with any mouse monoclonal IgG subclass antibody diluted in blocking solution for 30 minutes. </w:t>
      </w:r>
    </w:p>
    <w:p w14:paraId="71ADEEC2" w14:textId="77777777" w:rsidR="00044593" w:rsidRPr="00636387" w:rsidRDefault="00044593">
      <w:pPr>
        <w:widowControl/>
        <w:pBdr>
          <w:top w:val="nil"/>
          <w:left w:val="nil"/>
          <w:bottom w:val="nil"/>
          <w:right w:val="nil"/>
          <w:between w:val="nil"/>
        </w:pBdr>
        <w:tabs>
          <w:tab w:val="left" w:pos="450"/>
        </w:tabs>
        <w:rPr>
          <w:color w:val="auto"/>
        </w:rPr>
      </w:pPr>
    </w:p>
    <w:p w14:paraId="0F467174" w14:textId="77777777" w:rsidR="008470BC" w:rsidRPr="00636387" w:rsidRDefault="008470BC" w:rsidP="008470BC">
      <w:pPr>
        <w:widowControl/>
        <w:numPr>
          <w:ilvl w:val="1"/>
          <w:numId w:val="3"/>
        </w:numPr>
        <w:pBdr>
          <w:top w:val="nil"/>
          <w:left w:val="nil"/>
          <w:bottom w:val="nil"/>
          <w:right w:val="nil"/>
          <w:between w:val="nil"/>
        </w:pBdr>
        <w:tabs>
          <w:tab w:val="left" w:pos="450"/>
        </w:tabs>
        <w:ind w:left="0" w:firstLine="0"/>
        <w:rPr>
          <w:color w:val="auto"/>
        </w:rPr>
      </w:pPr>
      <w:r w:rsidRPr="00636387">
        <w:rPr>
          <w:color w:val="auto"/>
        </w:rPr>
        <w:t>Wash the coverslips three times for 5 minutes each with 1x PBS.</w:t>
      </w:r>
    </w:p>
    <w:p w14:paraId="73CBD3AE" w14:textId="77777777" w:rsidR="00044593" w:rsidRPr="00636387" w:rsidRDefault="00044593">
      <w:pPr>
        <w:widowControl/>
        <w:pBdr>
          <w:top w:val="nil"/>
          <w:left w:val="nil"/>
          <w:bottom w:val="nil"/>
          <w:right w:val="nil"/>
          <w:between w:val="nil"/>
        </w:pBdr>
        <w:tabs>
          <w:tab w:val="left" w:pos="450"/>
        </w:tabs>
        <w:rPr>
          <w:color w:val="auto"/>
        </w:rPr>
      </w:pPr>
    </w:p>
    <w:p w14:paraId="6D84B10B" w14:textId="730B2C9A" w:rsidR="00044593" w:rsidRPr="00636387" w:rsidRDefault="002B7AAC">
      <w:pPr>
        <w:widowControl/>
        <w:numPr>
          <w:ilvl w:val="1"/>
          <w:numId w:val="3"/>
        </w:numPr>
        <w:pBdr>
          <w:top w:val="nil"/>
          <w:left w:val="nil"/>
          <w:bottom w:val="nil"/>
          <w:right w:val="nil"/>
          <w:between w:val="nil"/>
        </w:pBdr>
        <w:tabs>
          <w:tab w:val="left" w:pos="450"/>
        </w:tabs>
        <w:ind w:left="0" w:firstLine="0"/>
        <w:rPr>
          <w:color w:val="auto"/>
        </w:rPr>
      </w:pPr>
      <w:r w:rsidRPr="00636387">
        <w:rPr>
          <w:color w:val="auto"/>
        </w:rPr>
        <w:t>Incubate the coverslips for 30 minutes with a specific pair of goat anti-mouse IgG subclass antibody conjugated to Alexa 594</w:t>
      </w:r>
      <w:r w:rsidR="00636387">
        <w:rPr>
          <w:color w:val="auto"/>
        </w:rPr>
        <w:t xml:space="preserve"> (</w:t>
      </w:r>
      <w:r w:rsidRPr="00636387">
        <w:rPr>
          <w:color w:val="auto"/>
        </w:rPr>
        <w:t>1:600) in blocking solution for 30 minutes.</w:t>
      </w:r>
    </w:p>
    <w:p w14:paraId="1688F680" w14:textId="77777777" w:rsidR="00044593" w:rsidRPr="00636387" w:rsidRDefault="00044593">
      <w:pPr>
        <w:widowControl/>
        <w:pBdr>
          <w:top w:val="nil"/>
          <w:left w:val="nil"/>
          <w:bottom w:val="nil"/>
          <w:right w:val="nil"/>
          <w:between w:val="nil"/>
        </w:pBdr>
        <w:tabs>
          <w:tab w:val="left" w:pos="450"/>
        </w:tabs>
        <w:rPr>
          <w:color w:val="auto"/>
        </w:rPr>
      </w:pPr>
    </w:p>
    <w:p w14:paraId="2A1A63A0" w14:textId="77777777" w:rsidR="008470BC" w:rsidRPr="00636387" w:rsidRDefault="008470BC" w:rsidP="008470BC">
      <w:pPr>
        <w:widowControl/>
        <w:numPr>
          <w:ilvl w:val="1"/>
          <w:numId w:val="3"/>
        </w:numPr>
        <w:pBdr>
          <w:top w:val="nil"/>
          <w:left w:val="nil"/>
          <w:bottom w:val="nil"/>
          <w:right w:val="nil"/>
          <w:between w:val="nil"/>
        </w:pBdr>
        <w:tabs>
          <w:tab w:val="left" w:pos="450"/>
        </w:tabs>
        <w:ind w:left="0" w:firstLine="0"/>
        <w:rPr>
          <w:color w:val="auto"/>
        </w:rPr>
      </w:pPr>
      <w:r w:rsidRPr="00636387">
        <w:rPr>
          <w:color w:val="auto"/>
        </w:rPr>
        <w:t>Wash the coverslips three times for 5 minutes each with 1x PBS.</w:t>
      </w:r>
    </w:p>
    <w:p w14:paraId="0ECDB4C7" w14:textId="77777777" w:rsidR="00044593" w:rsidRPr="00636387" w:rsidRDefault="00044593">
      <w:pPr>
        <w:widowControl/>
        <w:pBdr>
          <w:top w:val="nil"/>
          <w:left w:val="nil"/>
          <w:bottom w:val="nil"/>
          <w:right w:val="nil"/>
          <w:between w:val="nil"/>
        </w:pBdr>
        <w:ind w:left="270"/>
        <w:rPr>
          <w:color w:val="auto"/>
        </w:rPr>
      </w:pPr>
    </w:p>
    <w:p w14:paraId="049CE67A" w14:textId="77777777" w:rsidR="00044593" w:rsidRPr="00636387" w:rsidRDefault="002B7AAC">
      <w:pPr>
        <w:widowControl/>
        <w:numPr>
          <w:ilvl w:val="0"/>
          <w:numId w:val="1"/>
        </w:numPr>
        <w:pBdr>
          <w:top w:val="nil"/>
          <w:left w:val="nil"/>
          <w:bottom w:val="nil"/>
          <w:right w:val="nil"/>
          <w:between w:val="nil"/>
        </w:pBdr>
        <w:tabs>
          <w:tab w:val="left" w:pos="360"/>
        </w:tabs>
        <w:ind w:left="0" w:firstLine="0"/>
        <w:rPr>
          <w:b/>
          <w:color w:val="auto"/>
        </w:rPr>
      </w:pPr>
      <w:r w:rsidRPr="00636387">
        <w:rPr>
          <w:b/>
          <w:color w:val="auto"/>
        </w:rPr>
        <w:t xml:space="preserve">Confocal imaging acquisition </w:t>
      </w:r>
    </w:p>
    <w:p w14:paraId="211BBBD2" w14:textId="77777777" w:rsidR="008470BC" w:rsidRPr="00636387" w:rsidRDefault="008470BC">
      <w:pPr>
        <w:pBdr>
          <w:top w:val="nil"/>
          <w:left w:val="nil"/>
          <w:bottom w:val="nil"/>
          <w:right w:val="nil"/>
          <w:between w:val="nil"/>
        </w:pBdr>
        <w:rPr>
          <w:color w:val="auto"/>
        </w:rPr>
      </w:pPr>
    </w:p>
    <w:p w14:paraId="34BFDD39" w14:textId="5DFFC01D" w:rsidR="008470BC" w:rsidRPr="00636387" w:rsidRDefault="008470BC">
      <w:pPr>
        <w:pBdr>
          <w:top w:val="nil"/>
          <w:left w:val="nil"/>
          <w:bottom w:val="nil"/>
          <w:right w:val="nil"/>
          <w:between w:val="nil"/>
        </w:pBdr>
        <w:rPr>
          <w:color w:val="auto"/>
        </w:rPr>
      </w:pPr>
      <w:r w:rsidRPr="00636387">
        <w:rPr>
          <w:color w:val="auto"/>
        </w:rPr>
        <w:t>5.1. Analyze t</w:t>
      </w:r>
      <w:r w:rsidR="002B7AAC" w:rsidRPr="00636387">
        <w:rPr>
          <w:color w:val="auto"/>
        </w:rPr>
        <w:t xml:space="preserve">he immunofluorescence samples using </w:t>
      </w:r>
      <w:r w:rsidRPr="00636387">
        <w:rPr>
          <w:color w:val="auto"/>
        </w:rPr>
        <w:t>a confocal microscope</w:t>
      </w:r>
      <w:r w:rsidR="002B7AAC" w:rsidRPr="00636387">
        <w:rPr>
          <w:color w:val="auto"/>
        </w:rPr>
        <w:t>, with a 63X oil immersion objective and detect</w:t>
      </w:r>
      <w:r w:rsidRPr="00636387">
        <w:rPr>
          <w:color w:val="auto"/>
        </w:rPr>
        <w:t xml:space="preserve"> the fluorescence</w:t>
      </w:r>
      <w:r w:rsidR="002B7AAC" w:rsidRPr="00636387">
        <w:rPr>
          <w:color w:val="auto"/>
        </w:rPr>
        <w:t xml:space="preserve"> with </w:t>
      </w:r>
      <w:r w:rsidRPr="00636387">
        <w:rPr>
          <w:color w:val="auto"/>
        </w:rPr>
        <w:t>a p</w:t>
      </w:r>
      <w:r w:rsidR="002B7AAC" w:rsidRPr="00636387">
        <w:rPr>
          <w:color w:val="auto"/>
        </w:rPr>
        <w:t>hotomultiplier tube</w:t>
      </w:r>
      <w:r w:rsidR="00636387">
        <w:rPr>
          <w:color w:val="auto"/>
        </w:rPr>
        <w:t xml:space="preserve"> (</w:t>
      </w:r>
      <w:r w:rsidR="002B7AAC" w:rsidRPr="00636387">
        <w:rPr>
          <w:color w:val="auto"/>
        </w:rPr>
        <w:t>PMT) and Hybrid detector</w:t>
      </w:r>
      <w:r w:rsidR="00636387">
        <w:rPr>
          <w:color w:val="auto"/>
        </w:rPr>
        <w:t xml:space="preserve"> (</w:t>
      </w:r>
      <w:proofErr w:type="spellStart"/>
      <w:r w:rsidR="002B7AAC" w:rsidRPr="00636387">
        <w:rPr>
          <w:color w:val="auto"/>
        </w:rPr>
        <w:t>HyD</w:t>
      </w:r>
      <w:proofErr w:type="spellEnd"/>
      <w:r w:rsidR="002B7AAC" w:rsidRPr="00636387">
        <w:rPr>
          <w:color w:val="auto"/>
        </w:rPr>
        <w:t>)</w:t>
      </w:r>
      <w:r w:rsidRPr="00636387">
        <w:rPr>
          <w:color w:val="auto"/>
        </w:rPr>
        <w:t xml:space="preserve">. </w:t>
      </w:r>
    </w:p>
    <w:p w14:paraId="40E66FCC" w14:textId="77777777" w:rsidR="008470BC" w:rsidRPr="00636387" w:rsidRDefault="008470BC">
      <w:pPr>
        <w:pBdr>
          <w:top w:val="nil"/>
          <w:left w:val="nil"/>
          <w:bottom w:val="nil"/>
          <w:right w:val="nil"/>
          <w:between w:val="nil"/>
        </w:pBdr>
        <w:rPr>
          <w:color w:val="auto"/>
        </w:rPr>
      </w:pPr>
    </w:p>
    <w:p w14:paraId="03B53B4E" w14:textId="2654654C" w:rsidR="008470BC" w:rsidRPr="00636387" w:rsidRDefault="008470BC">
      <w:pPr>
        <w:pBdr>
          <w:top w:val="nil"/>
          <w:left w:val="nil"/>
          <w:bottom w:val="nil"/>
          <w:right w:val="nil"/>
          <w:between w:val="nil"/>
        </w:pBdr>
        <w:rPr>
          <w:color w:val="auto"/>
        </w:rPr>
      </w:pPr>
      <w:r w:rsidRPr="00636387">
        <w:rPr>
          <w:color w:val="auto"/>
        </w:rPr>
        <w:t>NOTE: We used the setup</w:t>
      </w:r>
      <w:r w:rsidR="002B7AAC" w:rsidRPr="00636387">
        <w:rPr>
          <w:color w:val="auto"/>
        </w:rPr>
        <w:t xml:space="preserve"> from the Multiuser Laboratory of Confocal Microscopy - LMMC, </w:t>
      </w:r>
      <w:proofErr w:type="spellStart"/>
      <w:r w:rsidR="002B7AAC" w:rsidRPr="00636387">
        <w:rPr>
          <w:color w:val="auto"/>
        </w:rPr>
        <w:t>Ribeirão</w:t>
      </w:r>
      <w:proofErr w:type="spellEnd"/>
      <w:r w:rsidR="002B7AAC" w:rsidRPr="00636387">
        <w:rPr>
          <w:color w:val="auto"/>
        </w:rPr>
        <w:t xml:space="preserve"> Preto Medical Sch</w:t>
      </w:r>
      <w:r w:rsidR="004F750F" w:rsidRPr="00636387">
        <w:rPr>
          <w:color w:val="auto"/>
        </w:rPr>
        <w:t xml:space="preserve">ool, University of </w:t>
      </w:r>
      <w:proofErr w:type="spellStart"/>
      <w:r w:rsidR="004F750F" w:rsidRPr="00636387">
        <w:rPr>
          <w:color w:val="auto"/>
        </w:rPr>
        <w:t>São</w:t>
      </w:r>
      <w:proofErr w:type="spellEnd"/>
      <w:r w:rsidR="004F750F" w:rsidRPr="00636387">
        <w:rPr>
          <w:color w:val="auto"/>
        </w:rPr>
        <w:t xml:space="preserve"> Paulo. </w:t>
      </w:r>
    </w:p>
    <w:p w14:paraId="5459DA20" w14:textId="77777777" w:rsidR="008470BC" w:rsidRPr="00636387" w:rsidRDefault="008470BC">
      <w:pPr>
        <w:pBdr>
          <w:top w:val="nil"/>
          <w:left w:val="nil"/>
          <w:bottom w:val="nil"/>
          <w:right w:val="nil"/>
          <w:between w:val="nil"/>
        </w:pBdr>
        <w:rPr>
          <w:color w:val="auto"/>
        </w:rPr>
      </w:pPr>
    </w:p>
    <w:p w14:paraId="241AEFA4" w14:textId="3356BE98" w:rsidR="0033255C" w:rsidRPr="00636387" w:rsidRDefault="008470BC">
      <w:pPr>
        <w:pBdr>
          <w:top w:val="nil"/>
          <w:left w:val="nil"/>
          <w:bottom w:val="nil"/>
          <w:right w:val="nil"/>
          <w:between w:val="nil"/>
        </w:pBdr>
        <w:rPr>
          <w:color w:val="auto"/>
        </w:rPr>
      </w:pPr>
      <w:r w:rsidRPr="00636387">
        <w:rPr>
          <w:color w:val="auto"/>
        </w:rPr>
        <w:t>5.2. Acquire a</w:t>
      </w:r>
      <w:r w:rsidR="002B7AAC" w:rsidRPr="00636387">
        <w:rPr>
          <w:color w:val="auto"/>
        </w:rPr>
        <w:t xml:space="preserve">ll confocal images with separated channels. </w:t>
      </w:r>
      <w:r w:rsidRPr="00636387">
        <w:rPr>
          <w:color w:val="auto"/>
        </w:rPr>
        <w:t>Perform i</w:t>
      </w:r>
      <w:r w:rsidR="002B7AAC" w:rsidRPr="00636387">
        <w:rPr>
          <w:color w:val="auto"/>
        </w:rPr>
        <w:t>mage</w:t>
      </w:r>
      <w:r w:rsidR="0033255C" w:rsidRPr="00636387">
        <w:rPr>
          <w:color w:val="auto"/>
        </w:rPr>
        <w:t xml:space="preserve"> processing </w:t>
      </w:r>
      <w:r w:rsidR="002B7AAC" w:rsidRPr="00636387">
        <w:rPr>
          <w:color w:val="auto"/>
        </w:rPr>
        <w:t>using Adobe Photosho</w:t>
      </w:r>
      <w:r w:rsidRPr="00636387">
        <w:rPr>
          <w:color w:val="auto"/>
        </w:rPr>
        <w:t>p.</w:t>
      </w:r>
    </w:p>
    <w:p w14:paraId="1C7F565D" w14:textId="77777777" w:rsidR="00044593" w:rsidRPr="00636387" w:rsidRDefault="00044593">
      <w:pPr>
        <w:pBdr>
          <w:top w:val="nil"/>
          <w:left w:val="nil"/>
          <w:bottom w:val="nil"/>
          <w:right w:val="nil"/>
          <w:between w:val="nil"/>
        </w:pBdr>
        <w:rPr>
          <w:b/>
          <w:color w:val="auto"/>
        </w:rPr>
      </w:pPr>
    </w:p>
    <w:p w14:paraId="75F8674B" w14:textId="52C8E5F2" w:rsidR="00044593" w:rsidRPr="00636387" w:rsidRDefault="002B7AAC">
      <w:pPr>
        <w:pBdr>
          <w:top w:val="nil"/>
          <w:left w:val="nil"/>
          <w:bottom w:val="nil"/>
          <w:right w:val="nil"/>
          <w:between w:val="nil"/>
        </w:pBdr>
        <w:rPr>
          <w:b/>
          <w:color w:val="auto"/>
        </w:rPr>
      </w:pPr>
      <w:r w:rsidRPr="00636387">
        <w:rPr>
          <w:b/>
          <w:color w:val="auto"/>
        </w:rPr>
        <w:t>REPRESENTATIVE RESULTS:</w:t>
      </w:r>
    </w:p>
    <w:p w14:paraId="183DE5D6" w14:textId="0C4D3857" w:rsidR="009376F6" w:rsidRPr="00636387" w:rsidRDefault="002B7AAC">
      <w:pPr>
        <w:rPr>
          <w:color w:val="auto"/>
        </w:rPr>
      </w:pPr>
      <w:r w:rsidRPr="00636387">
        <w:rPr>
          <w:color w:val="auto"/>
        </w:rPr>
        <w:t>Here, we show how to study host-parasite interactions by immunofluorescence when the source of antibodies is limited due to</w:t>
      </w:r>
      <w:r w:rsidR="006E4CBC" w:rsidRPr="00636387">
        <w:rPr>
          <w:color w:val="auto"/>
        </w:rPr>
        <w:t xml:space="preserve"> the unavailability of commercial antibodies that recognize</w:t>
      </w:r>
      <w:r w:rsidRPr="00636387">
        <w:rPr>
          <w:color w:val="auto"/>
        </w:rPr>
        <w:t xml:space="preserve"> specific structures and proteins in </w:t>
      </w:r>
      <w:proofErr w:type="spellStart"/>
      <w:r w:rsidRPr="00636387">
        <w:rPr>
          <w:color w:val="auto"/>
        </w:rPr>
        <w:t>trypanosomatids</w:t>
      </w:r>
      <w:proofErr w:type="spellEnd"/>
      <w:r w:rsidRPr="00636387">
        <w:rPr>
          <w:color w:val="auto"/>
        </w:rPr>
        <w:t xml:space="preserve">. </w:t>
      </w:r>
    </w:p>
    <w:p w14:paraId="097706D9" w14:textId="77777777" w:rsidR="008470BC" w:rsidRPr="00636387" w:rsidRDefault="008470BC">
      <w:pPr>
        <w:rPr>
          <w:color w:val="auto"/>
        </w:rPr>
      </w:pPr>
    </w:p>
    <w:p w14:paraId="64DDE5D6" w14:textId="0F7C4AC2" w:rsidR="00044593" w:rsidRPr="00636387" w:rsidRDefault="002B7AAC">
      <w:pPr>
        <w:rPr>
          <w:color w:val="auto"/>
        </w:rPr>
      </w:pPr>
      <w:r w:rsidRPr="00636387">
        <w:rPr>
          <w:color w:val="auto"/>
        </w:rPr>
        <w:t xml:space="preserve">Among </w:t>
      </w:r>
      <w:proofErr w:type="spellStart"/>
      <w:r w:rsidRPr="00636387">
        <w:rPr>
          <w:color w:val="auto"/>
        </w:rPr>
        <w:t>trypanosomatids</w:t>
      </w:r>
      <w:proofErr w:type="spellEnd"/>
      <w:r w:rsidRPr="00636387">
        <w:rPr>
          <w:color w:val="auto"/>
        </w:rPr>
        <w:t xml:space="preserve">, </w:t>
      </w:r>
      <w:r w:rsidRPr="00636387">
        <w:rPr>
          <w:i/>
          <w:color w:val="auto"/>
        </w:rPr>
        <w:t>T. cruzi</w:t>
      </w:r>
      <w:r w:rsidRPr="00636387">
        <w:rPr>
          <w:color w:val="auto"/>
        </w:rPr>
        <w:t xml:space="preserve"> has one of the most complex life cycles involving various development stages between vertebrate and invertebrate hosts </w:t>
      </w:r>
      <w:r w:rsidR="00555383" w:rsidRPr="00636387">
        <w:rPr>
          <w:color w:val="auto"/>
          <w:vertAlign w:val="superscript"/>
        </w:rPr>
        <w:t>19</w:t>
      </w:r>
      <w:r w:rsidRPr="00636387">
        <w:rPr>
          <w:color w:val="auto"/>
        </w:rPr>
        <w:t xml:space="preserve">. During the </w:t>
      </w:r>
      <w:r w:rsidRPr="00636387">
        <w:rPr>
          <w:i/>
          <w:color w:val="auto"/>
        </w:rPr>
        <w:t>T. cruzi</w:t>
      </w:r>
      <w:r w:rsidRPr="00636387">
        <w:rPr>
          <w:color w:val="auto"/>
        </w:rPr>
        <w:t xml:space="preserve"> life cycle, at an early stage of mammalian infection, metacyclic trypomastigotes invade cells through a process that involves a wide variety of molecules present in parasites and the </w:t>
      </w:r>
      <w:r w:rsidRPr="00636387">
        <w:rPr>
          <w:color w:val="auto"/>
        </w:rPr>
        <w:lastRenderedPageBreak/>
        <w:t xml:space="preserve">vertebrate host cells </w:t>
      </w:r>
      <w:r w:rsidR="00555383" w:rsidRPr="00636387">
        <w:rPr>
          <w:color w:val="auto"/>
          <w:vertAlign w:val="superscript"/>
        </w:rPr>
        <w:t>19</w:t>
      </w:r>
      <w:r w:rsidRPr="00636387">
        <w:rPr>
          <w:color w:val="auto"/>
          <w:vertAlign w:val="superscript"/>
        </w:rPr>
        <w:t>,2</w:t>
      </w:r>
      <w:r w:rsidR="00555383" w:rsidRPr="00636387">
        <w:rPr>
          <w:color w:val="auto"/>
          <w:vertAlign w:val="superscript"/>
        </w:rPr>
        <w:t>0</w:t>
      </w:r>
      <w:r w:rsidRPr="00636387">
        <w:rPr>
          <w:color w:val="auto"/>
        </w:rPr>
        <w:t xml:space="preserve">. To study these processes, our laboratory routinely produces in-house polyclonal antibodies against proteins of </w:t>
      </w:r>
      <w:r w:rsidRPr="00636387">
        <w:rPr>
          <w:i/>
          <w:color w:val="auto"/>
        </w:rPr>
        <w:t>T. cruzi</w:t>
      </w:r>
      <w:r w:rsidRPr="00636387">
        <w:rPr>
          <w:color w:val="auto"/>
        </w:rPr>
        <w:t xml:space="preserve">, </w:t>
      </w:r>
      <w:r w:rsidRPr="00636387">
        <w:rPr>
          <w:i/>
          <w:color w:val="auto"/>
        </w:rPr>
        <w:t>T. brucei,</w:t>
      </w:r>
      <w:r w:rsidRPr="00636387">
        <w:rPr>
          <w:color w:val="auto"/>
        </w:rPr>
        <w:t xml:space="preserve"> and </w:t>
      </w:r>
      <w:r w:rsidRPr="00636387">
        <w:rPr>
          <w:i/>
          <w:color w:val="auto"/>
        </w:rPr>
        <w:t xml:space="preserve">Leishmania </w:t>
      </w:r>
      <w:proofErr w:type="spellStart"/>
      <w:r w:rsidRPr="00636387">
        <w:rPr>
          <w:i/>
          <w:color w:val="auto"/>
        </w:rPr>
        <w:t>sp</w:t>
      </w:r>
      <w:proofErr w:type="spellEnd"/>
      <w:r w:rsidRPr="00636387">
        <w:rPr>
          <w:color w:val="auto"/>
        </w:rPr>
        <w:t xml:space="preserve"> </w:t>
      </w:r>
      <w:r w:rsidRPr="00636387">
        <w:rPr>
          <w:color w:val="auto"/>
          <w:vertAlign w:val="superscript"/>
        </w:rPr>
        <w:t>16, 2</w:t>
      </w:r>
      <w:r w:rsidR="00555383" w:rsidRPr="00636387">
        <w:rPr>
          <w:color w:val="auto"/>
          <w:vertAlign w:val="superscript"/>
        </w:rPr>
        <w:t>1</w:t>
      </w:r>
      <w:r w:rsidRPr="00636387">
        <w:rPr>
          <w:color w:val="auto"/>
          <w:vertAlign w:val="superscript"/>
        </w:rPr>
        <w:t>-2</w:t>
      </w:r>
      <w:r w:rsidR="00555383" w:rsidRPr="00636387">
        <w:rPr>
          <w:color w:val="auto"/>
          <w:vertAlign w:val="superscript"/>
        </w:rPr>
        <w:t>3</w:t>
      </w:r>
      <w:r w:rsidRPr="00636387">
        <w:rPr>
          <w:color w:val="auto"/>
        </w:rPr>
        <w:t xml:space="preserve"> to use together with commercial mouse monoclonal antibodies and/or with rabbit antibodies.</w:t>
      </w:r>
    </w:p>
    <w:p w14:paraId="2E4C9C7D" w14:textId="77777777" w:rsidR="008470BC" w:rsidRPr="00636387" w:rsidRDefault="008470BC">
      <w:pPr>
        <w:rPr>
          <w:color w:val="auto"/>
        </w:rPr>
      </w:pPr>
    </w:p>
    <w:p w14:paraId="2FC72CB1" w14:textId="7675C515" w:rsidR="00044593" w:rsidRPr="00636387" w:rsidRDefault="002B7AAC">
      <w:pPr>
        <w:rPr>
          <w:color w:val="auto"/>
        </w:rPr>
      </w:pPr>
      <w:r w:rsidRPr="00636387">
        <w:rPr>
          <w:color w:val="auto"/>
        </w:rPr>
        <w:t xml:space="preserve">In </w:t>
      </w:r>
      <w:r w:rsidRPr="00636387">
        <w:rPr>
          <w:b/>
          <w:color w:val="auto"/>
        </w:rPr>
        <w:t>Figure 1,</w:t>
      </w:r>
      <w:r w:rsidRPr="00636387">
        <w:rPr>
          <w:color w:val="auto"/>
        </w:rPr>
        <w:t xml:space="preserve"> confocal microscopy images show the results with the control experiments of infected and non-infected cells, highlighting the specificity of the antibodies in the host cell and the internalized parasite. The mouse polyclonal antibody</w:t>
      </w:r>
      <w:r w:rsidR="00636387">
        <w:rPr>
          <w:color w:val="auto"/>
        </w:rPr>
        <w:t xml:space="preserve"> (</w:t>
      </w:r>
      <w:r w:rsidRPr="00636387">
        <w:rPr>
          <w:color w:val="auto"/>
        </w:rPr>
        <w:t>anti-</w:t>
      </w:r>
      <w:proofErr w:type="spellStart"/>
      <w:r w:rsidRPr="00636387">
        <w:rPr>
          <w:color w:val="auto"/>
        </w:rPr>
        <w:t>TcFAZ</w:t>
      </w:r>
      <w:proofErr w:type="spellEnd"/>
      <w:r w:rsidRPr="00636387">
        <w:rPr>
          <w:color w:val="auto"/>
        </w:rPr>
        <w:t xml:space="preserve">) raised in our lab recognized only </w:t>
      </w:r>
      <w:r w:rsidRPr="00636387">
        <w:rPr>
          <w:i/>
          <w:color w:val="auto"/>
        </w:rPr>
        <w:t>T. cruzi</w:t>
      </w:r>
      <w:r w:rsidRPr="00636387">
        <w:rPr>
          <w:color w:val="auto"/>
        </w:rPr>
        <w:t xml:space="preserve"> giant protein in the FAZ at the parasite flagellum but not in the host cell</w:t>
      </w:r>
      <w:r w:rsidR="00636387">
        <w:rPr>
          <w:color w:val="auto"/>
        </w:rPr>
        <w:t xml:space="preserve"> (</w:t>
      </w:r>
      <w:r w:rsidR="00D77EBC" w:rsidRPr="00636387">
        <w:rPr>
          <w:b/>
          <w:color w:val="auto"/>
        </w:rPr>
        <w:t xml:space="preserve">Figure </w:t>
      </w:r>
      <w:r w:rsidRPr="00636387">
        <w:rPr>
          <w:b/>
          <w:bCs/>
          <w:color w:val="auto"/>
        </w:rPr>
        <w:t>1A</w:t>
      </w:r>
      <w:r w:rsidRPr="00636387">
        <w:rPr>
          <w:color w:val="auto"/>
        </w:rPr>
        <w:t>). The distribution of the heterogeneous nuclear ribonucleoprotein A1</w:t>
      </w:r>
      <w:r w:rsidRPr="00636387">
        <w:rPr>
          <w:color w:val="auto"/>
          <w:vertAlign w:val="superscript"/>
        </w:rPr>
        <w:t>2</w:t>
      </w:r>
      <w:r w:rsidR="00555383" w:rsidRPr="00636387">
        <w:rPr>
          <w:color w:val="auto"/>
          <w:vertAlign w:val="superscript"/>
        </w:rPr>
        <w:t>4</w:t>
      </w:r>
      <w:r w:rsidRPr="00636387">
        <w:rPr>
          <w:color w:val="auto"/>
        </w:rPr>
        <w:t xml:space="preserve"> in the nuclei was observed using a commercial mouse monoclonal anti-</w:t>
      </w:r>
      <w:proofErr w:type="spellStart"/>
      <w:r w:rsidRPr="00636387">
        <w:rPr>
          <w:color w:val="auto"/>
        </w:rPr>
        <w:t>hnRNP</w:t>
      </w:r>
      <w:proofErr w:type="spellEnd"/>
      <w:r w:rsidRPr="00636387">
        <w:rPr>
          <w:color w:val="auto"/>
        </w:rPr>
        <w:t xml:space="preserve"> A1 antibody that recognizes only the host mammalian cells but not the parasite</w:t>
      </w:r>
      <w:r w:rsidR="00636387">
        <w:rPr>
          <w:color w:val="auto"/>
        </w:rPr>
        <w:t xml:space="preserve"> (</w:t>
      </w:r>
      <w:r w:rsidR="00D77EBC" w:rsidRPr="00636387">
        <w:rPr>
          <w:b/>
          <w:color w:val="auto"/>
        </w:rPr>
        <w:t xml:space="preserve">Figure </w:t>
      </w:r>
      <w:r w:rsidRPr="00636387">
        <w:rPr>
          <w:b/>
          <w:bCs/>
          <w:color w:val="auto"/>
        </w:rPr>
        <w:t>1B</w:t>
      </w:r>
      <w:r w:rsidRPr="00636387">
        <w:rPr>
          <w:color w:val="auto"/>
        </w:rPr>
        <w:t>). Also, host and parasite nuclei and the parasite kinetoplasts were stained with DAPI, and host F-actin was stained with Phalloidin conjugated to Alexa 594</w:t>
      </w:r>
      <w:r w:rsidR="00636387">
        <w:rPr>
          <w:color w:val="auto"/>
        </w:rPr>
        <w:t xml:space="preserve"> (</w:t>
      </w:r>
      <w:r w:rsidR="00D77EBC" w:rsidRPr="00636387">
        <w:rPr>
          <w:b/>
          <w:color w:val="auto"/>
        </w:rPr>
        <w:t xml:space="preserve">Figure </w:t>
      </w:r>
      <w:r w:rsidRPr="00636387">
        <w:rPr>
          <w:b/>
          <w:bCs/>
          <w:color w:val="auto"/>
        </w:rPr>
        <w:t>1</w:t>
      </w:r>
      <w:r w:rsidRPr="00636387">
        <w:rPr>
          <w:color w:val="auto"/>
        </w:rPr>
        <w:t>). These control results show the specificity of the antibodies, and then, we can run the double labeling immunofluorescence protocol</w:t>
      </w:r>
      <w:r w:rsidR="00636387">
        <w:rPr>
          <w:color w:val="auto"/>
        </w:rPr>
        <w:t xml:space="preserve"> (</w:t>
      </w:r>
      <w:r w:rsidR="00D77EBC" w:rsidRPr="00636387">
        <w:rPr>
          <w:b/>
          <w:color w:val="auto"/>
        </w:rPr>
        <w:t xml:space="preserve">Figure </w:t>
      </w:r>
      <w:r w:rsidRPr="00636387">
        <w:rPr>
          <w:b/>
          <w:bCs/>
          <w:color w:val="auto"/>
        </w:rPr>
        <w:t>2</w:t>
      </w:r>
      <w:r w:rsidRPr="00636387">
        <w:rPr>
          <w:color w:val="auto"/>
        </w:rPr>
        <w:t xml:space="preserve">). </w:t>
      </w:r>
    </w:p>
    <w:p w14:paraId="0347C7BE" w14:textId="77777777" w:rsidR="00D77EBC" w:rsidRPr="00636387" w:rsidRDefault="00D77EBC">
      <w:pPr>
        <w:rPr>
          <w:color w:val="auto"/>
        </w:rPr>
      </w:pPr>
    </w:p>
    <w:p w14:paraId="070A5600" w14:textId="77777777" w:rsidR="00044593" w:rsidRPr="00636387" w:rsidRDefault="002B7AAC">
      <w:pPr>
        <w:rPr>
          <w:color w:val="auto"/>
        </w:rPr>
      </w:pPr>
      <w:r w:rsidRPr="00636387">
        <w:rPr>
          <w:color w:val="auto"/>
        </w:rPr>
        <w:t xml:space="preserve">In </w:t>
      </w:r>
      <w:r w:rsidRPr="00636387">
        <w:rPr>
          <w:b/>
          <w:color w:val="auto"/>
        </w:rPr>
        <w:t>Figure 2,</w:t>
      </w:r>
      <w:r w:rsidRPr="00636387">
        <w:rPr>
          <w:color w:val="auto"/>
        </w:rPr>
        <w:t xml:space="preserve"> double labeling immunofluorescence shows the protein distributions in the host and the parasite analyzed by confocal microscopy. No cross-reactions occur between antibodies using this methodology. The efficiency of the second blocking step using purified rabbit anti-mouse IgG is enough to impair the nonspecific labeling by the secondary antibodies. This labeling allows studying the interaction between the parasite and the host proteins and their behavior during infection.</w:t>
      </w:r>
    </w:p>
    <w:p w14:paraId="11544402" w14:textId="77777777" w:rsidR="00044593" w:rsidRPr="00636387" w:rsidRDefault="00044593">
      <w:pPr>
        <w:rPr>
          <w:color w:val="auto"/>
        </w:rPr>
      </w:pPr>
    </w:p>
    <w:p w14:paraId="68C1BB18" w14:textId="122C8230" w:rsidR="00044593" w:rsidRPr="00636387" w:rsidRDefault="002B7AAC">
      <w:pPr>
        <w:rPr>
          <w:color w:val="auto"/>
        </w:rPr>
      </w:pPr>
      <w:r w:rsidRPr="00636387">
        <w:rPr>
          <w:b/>
          <w:color w:val="auto"/>
        </w:rPr>
        <w:t>Figure 1:</w:t>
      </w:r>
      <w:r w:rsidR="002D3514" w:rsidRPr="00636387">
        <w:rPr>
          <w:b/>
          <w:color w:val="auto"/>
        </w:rPr>
        <w:t xml:space="preserve"> </w:t>
      </w:r>
      <w:r w:rsidRPr="00636387">
        <w:rPr>
          <w:b/>
          <w:color w:val="auto"/>
        </w:rPr>
        <w:t xml:space="preserve">Confocal Microscopy showing the localization of the </w:t>
      </w:r>
      <w:r w:rsidRPr="00636387">
        <w:rPr>
          <w:b/>
          <w:i/>
          <w:color w:val="auto"/>
        </w:rPr>
        <w:t xml:space="preserve">Trypanosoma </w:t>
      </w:r>
      <w:proofErr w:type="spellStart"/>
      <w:r w:rsidRPr="00636387">
        <w:rPr>
          <w:b/>
          <w:i/>
          <w:color w:val="auto"/>
        </w:rPr>
        <w:t>cruzi</w:t>
      </w:r>
      <w:proofErr w:type="spellEnd"/>
      <w:r w:rsidRPr="00636387">
        <w:rPr>
          <w:b/>
          <w:color w:val="auto"/>
        </w:rPr>
        <w:t xml:space="preserve"> giant protein and host </w:t>
      </w:r>
      <w:proofErr w:type="spellStart"/>
      <w:r w:rsidRPr="00636387">
        <w:rPr>
          <w:b/>
          <w:color w:val="auto"/>
        </w:rPr>
        <w:t>hnRNP</w:t>
      </w:r>
      <w:proofErr w:type="spellEnd"/>
      <w:r w:rsidRPr="00636387">
        <w:rPr>
          <w:b/>
          <w:color w:val="auto"/>
        </w:rPr>
        <w:t xml:space="preserve"> A1 antibodies in non-infected</w:t>
      </w:r>
      <w:r w:rsidR="00636387">
        <w:rPr>
          <w:b/>
          <w:color w:val="auto"/>
        </w:rPr>
        <w:t xml:space="preserve"> (</w:t>
      </w:r>
      <w:r w:rsidRPr="00636387">
        <w:rPr>
          <w:b/>
          <w:color w:val="auto"/>
        </w:rPr>
        <w:t>NI) and infected</w:t>
      </w:r>
      <w:r w:rsidR="00636387">
        <w:rPr>
          <w:b/>
          <w:color w:val="auto"/>
        </w:rPr>
        <w:t xml:space="preserve"> (</w:t>
      </w:r>
      <w:r w:rsidRPr="00636387">
        <w:rPr>
          <w:b/>
          <w:color w:val="auto"/>
        </w:rPr>
        <w:t xml:space="preserve">INF) LLC-MK2 cells with </w:t>
      </w:r>
      <w:r w:rsidRPr="00636387">
        <w:rPr>
          <w:b/>
          <w:i/>
          <w:color w:val="auto"/>
        </w:rPr>
        <w:t xml:space="preserve">T. </w:t>
      </w:r>
      <w:proofErr w:type="spellStart"/>
      <w:r w:rsidRPr="00636387">
        <w:rPr>
          <w:b/>
          <w:i/>
          <w:color w:val="auto"/>
        </w:rPr>
        <w:t>cruzi</w:t>
      </w:r>
      <w:proofErr w:type="spellEnd"/>
      <w:r w:rsidRPr="00636387">
        <w:rPr>
          <w:b/>
          <w:color w:val="auto"/>
        </w:rPr>
        <w:t>.</w:t>
      </w:r>
      <w:r w:rsidR="00636387">
        <w:rPr>
          <w:b/>
          <w:color w:val="auto"/>
        </w:rPr>
        <w:t xml:space="preserve"> </w:t>
      </w:r>
      <w:r w:rsidR="00636387">
        <w:rPr>
          <w:bCs/>
          <w:color w:val="auto"/>
        </w:rPr>
        <w:t>(</w:t>
      </w:r>
      <w:r w:rsidRPr="00636387">
        <w:rPr>
          <w:b/>
          <w:color w:val="auto"/>
        </w:rPr>
        <w:t>A</w:t>
      </w:r>
      <w:r w:rsidR="00636387" w:rsidRPr="00636387">
        <w:rPr>
          <w:bCs/>
          <w:color w:val="auto"/>
        </w:rPr>
        <w:t>)</w:t>
      </w:r>
      <w:r w:rsidRPr="00636387">
        <w:rPr>
          <w:color w:val="auto"/>
        </w:rPr>
        <w:t xml:space="preserve"> </w:t>
      </w:r>
      <w:r w:rsidRPr="00636387">
        <w:rPr>
          <w:i/>
          <w:color w:val="auto"/>
        </w:rPr>
        <w:t xml:space="preserve">T. </w:t>
      </w:r>
      <w:proofErr w:type="spellStart"/>
      <w:r w:rsidRPr="00636387">
        <w:rPr>
          <w:i/>
          <w:color w:val="auto"/>
        </w:rPr>
        <w:t>cruzi</w:t>
      </w:r>
      <w:proofErr w:type="spellEnd"/>
      <w:r w:rsidRPr="00636387">
        <w:rPr>
          <w:color w:val="auto"/>
        </w:rPr>
        <w:t xml:space="preserve"> giant protein</w:t>
      </w:r>
      <w:r w:rsidR="00636387">
        <w:rPr>
          <w:color w:val="auto"/>
        </w:rPr>
        <w:t xml:space="preserve"> (</w:t>
      </w:r>
      <w:proofErr w:type="spellStart"/>
      <w:r w:rsidRPr="00636387">
        <w:rPr>
          <w:color w:val="auto"/>
        </w:rPr>
        <w:t>TcFAZ</w:t>
      </w:r>
      <w:proofErr w:type="spellEnd"/>
      <w:r w:rsidRPr="00636387">
        <w:rPr>
          <w:color w:val="auto"/>
        </w:rPr>
        <w:t xml:space="preserve">) localized in </w:t>
      </w:r>
      <w:r w:rsidRPr="00636387">
        <w:rPr>
          <w:i/>
          <w:color w:val="auto"/>
        </w:rPr>
        <w:t xml:space="preserve">T. cruzi </w:t>
      </w:r>
      <w:r w:rsidRPr="00636387">
        <w:rPr>
          <w:color w:val="auto"/>
        </w:rPr>
        <w:t>flagellum is labeled with mouse polyclonal anti-</w:t>
      </w:r>
      <w:proofErr w:type="spellStart"/>
      <w:r w:rsidRPr="00636387">
        <w:rPr>
          <w:color w:val="auto"/>
        </w:rPr>
        <w:t>TcFAZ</w:t>
      </w:r>
      <w:proofErr w:type="spellEnd"/>
      <w:r w:rsidRPr="00636387">
        <w:rPr>
          <w:color w:val="auto"/>
        </w:rPr>
        <w:t xml:space="preserve"> antibody and visualized with the goat anti-mouse IgG secondary antibody conjugated to Alexa 488</w:t>
      </w:r>
      <w:r w:rsidR="00636387">
        <w:rPr>
          <w:color w:val="auto"/>
        </w:rPr>
        <w:t xml:space="preserve"> (</w:t>
      </w:r>
      <w:r w:rsidRPr="00636387">
        <w:rPr>
          <w:color w:val="auto"/>
        </w:rPr>
        <w:t>green).</w:t>
      </w:r>
      <w:r w:rsidR="00636387">
        <w:rPr>
          <w:color w:val="auto"/>
        </w:rPr>
        <w:t xml:space="preserve"> (</w:t>
      </w:r>
      <w:r w:rsidRPr="00636387">
        <w:rPr>
          <w:b/>
          <w:color w:val="auto"/>
        </w:rPr>
        <w:t>B</w:t>
      </w:r>
      <w:r w:rsidR="00636387" w:rsidRPr="00636387">
        <w:rPr>
          <w:bCs/>
          <w:color w:val="auto"/>
        </w:rPr>
        <w:t>)</w:t>
      </w:r>
      <w:r w:rsidRPr="00636387">
        <w:rPr>
          <w:color w:val="auto"/>
        </w:rPr>
        <w:t xml:space="preserve"> Host nuclear </w:t>
      </w:r>
      <w:proofErr w:type="spellStart"/>
      <w:r w:rsidRPr="00636387">
        <w:rPr>
          <w:color w:val="auto"/>
        </w:rPr>
        <w:t>hnRNP</w:t>
      </w:r>
      <w:proofErr w:type="spellEnd"/>
      <w:r w:rsidRPr="00636387">
        <w:rPr>
          <w:color w:val="auto"/>
        </w:rPr>
        <w:t xml:space="preserve"> A1 in LLC-MK2 is labeled with mouse monoclonal anti-</w:t>
      </w:r>
      <w:proofErr w:type="spellStart"/>
      <w:r w:rsidRPr="00636387">
        <w:rPr>
          <w:color w:val="auto"/>
        </w:rPr>
        <w:t>hnRNP</w:t>
      </w:r>
      <w:proofErr w:type="spellEnd"/>
      <w:r w:rsidRPr="00636387">
        <w:rPr>
          <w:color w:val="auto"/>
        </w:rPr>
        <w:t xml:space="preserve"> A1 IgG2b antibody and visualized by goat anti-mouse IgG2b antibody conjugated to Alexa 488</w:t>
      </w:r>
      <w:r w:rsidR="00636387">
        <w:rPr>
          <w:color w:val="auto"/>
        </w:rPr>
        <w:t xml:space="preserve"> (</w:t>
      </w:r>
      <w:r w:rsidRPr="00636387">
        <w:rPr>
          <w:color w:val="auto"/>
        </w:rPr>
        <w:t>green).</w:t>
      </w:r>
      <w:r w:rsidR="002D3514" w:rsidRPr="00636387">
        <w:rPr>
          <w:color w:val="auto"/>
        </w:rPr>
        <w:t xml:space="preserve"> </w:t>
      </w:r>
      <w:r w:rsidRPr="00636387">
        <w:rPr>
          <w:color w:val="auto"/>
        </w:rPr>
        <w:t>Phalloidin conjugated to Alexa 594 stains F-actin</w:t>
      </w:r>
      <w:r w:rsidR="00636387">
        <w:rPr>
          <w:color w:val="auto"/>
        </w:rPr>
        <w:t xml:space="preserve"> (</w:t>
      </w:r>
      <w:r w:rsidRPr="00636387">
        <w:rPr>
          <w:color w:val="auto"/>
        </w:rPr>
        <w:t>red). Nuclei and kinetoplasts are stained with DAPI</w:t>
      </w:r>
      <w:r w:rsidR="00636387">
        <w:rPr>
          <w:color w:val="auto"/>
        </w:rPr>
        <w:t xml:space="preserve"> (</w:t>
      </w:r>
      <w:r w:rsidRPr="00636387">
        <w:rPr>
          <w:color w:val="auto"/>
        </w:rPr>
        <w:t xml:space="preserve">blue). </w:t>
      </w:r>
      <w:r w:rsidR="00636387" w:rsidRPr="00636387">
        <w:rPr>
          <w:color w:val="auto"/>
        </w:rPr>
        <w:t>Scale b</w:t>
      </w:r>
      <w:r w:rsidRPr="00636387">
        <w:rPr>
          <w:color w:val="auto"/>
        </w:rPr>
        <w:t>ar</w:t>
      </w:r>
      <w:r w:rsidR="00636387" w:rsidRPr="00636387">
        <w:rPr>
          <w:color w:val="auto"/>
        </w:rPr>
        <w:t xml:space="preserve"> </w:t>
      </w:r>
      <w:r w:rsidRPr="00636387">
        <w:rPr>
          <w:color w:val="auto"/>
        </w:rPr>
        <w:t>=</w:t>
      </w:r>
      <w:r w:rsidR="00636387" w:rsidRPr="00636387">
        <w:rPr>
          <w:color w:val="auto"/>
        </w:rPr>
        <w:t xml:space="preserve"> </w:t>
      </w:r>
      <w:r w:rsidRPr="00636387">
        <w:rPr>
          <w:color w:val="auto"/>
        </w:rPr>
        <w:t>5 µm. All experiments were made in biological triplicate. White arrows indicate intracellular parasites.</w:t>
      </w:r>
    </w:p>
    <w:p w14:paraId="6B3374AA" w14:textId="77777777" w:rsidR="00044593" w:rsidRPr="00636387" w:rsidRDefault="00044593">
      <w:pPr>
        <w:rPr>
          <w:color w:val="auto"/>
        </w:rPr>
      </w:pPr>
    </w:p>
    <w:p w14:paraId="300F7BA5" w14:textId="79A37CCC" w:rsidR="00044593" w:rsidRPr="00636387" w:rsidRDefault="002B7AAC">
      <w:pPr>
        <w:rPr>
          <w:color w:val="auto"/>
        </w:rPr>
      </w:pPr>
      <w:r w:rsidRPr="00636387">
        <w:rPr>
          <w:b/>
          <w:color w:val="auto"/>
        </w:rPr>
        <w:t>Figure 2: Double labeling immunofluorescence shows no-cross reaction between antibodies raised in the same host species in non-infected</w:t>
      </w:r>
      <w:r w:rsidR="00636387">
        <w:rPr>
          <w:b/>
          <w:color w:val="auto"/>
        </w:rPr>
        <w:t xml:space="preserve"> (</w:t>
      </w:r>
      <w:r w:rsidRPr="00636387">
        <w:rPr>
          <w:b/>
          <w:color w:val="auto"/>
        </w:rPr>
        <w:t>NI) and infected</w:t>
      </w:r>
      <w:r w:rsidR="00636387">
        <w:rPr>
          <w:b/>
          <w:color w:val="auto"/>
        </w:rPr>
        <w:t xml:space="preserve"> (</w:t>
      </w:r>
      <w:r w:rsidRPr="00636387">
        <w:rPr>
          <w:b/>
          <w:color w:val="auto"/>
        </w:rPr>
        <w:t xml:space="preserve">INF) LLC-MK2 cells with </w:t>
      </w:r>
      <w:r w:rsidRPr="00636387">
        <w:rPr>
          <w:b/>
          <w:i/>
          <w:color w:val="auto"/>
        </w:rPr>
        <w:t xml:space="preserve">T. cruzi </w:t>
      </w:r>
      <w:r w:rsidRPr="00636387">
        <w:rPr>
          <w:b/>
          <w:color w:val="auto"/>
        </w:rPr>
        <w:t>analyzed by Confocal Microscopy.</w:t>
      </w:r>
      <w:r w:rsidR="002D3514" w:rsidRPr="00636387">
        <w:rPr>
          <w:color w:val="auto"/>
        </w:rPr>
        <w:t xml:space="preserve"> </w:t>
      </w:r>
      <w:r w:rsidRPr="00636387">
        <w:rPr>
          <w:color w:val="auto"/>
        </w:rPr>
        <w:t>Giant protein localized in the flagellum attachment zone</w:t>
      </w:r>
      <w:r w:rsidR="00636387">
        <w:rPr>
          <w:color w:val="auto"/>
        </w:rPr>
        <w:t xml:space="preserve"> (</w:t>
      </w:r>
      <w:r w:rsidRPr="00636387">
        <w:rPr>
          <w:color w:val="auto"/>
        </w:rPr>
        <w:t>FAZ) is labeled with mouse polyclonal anti-</w:t>
      </w:r>
      <w:proofErr w:type="spellStart"/>
      <w:r w:rsidRPr="00636387">
        <w:rPr>
          <w:color w:val="auto"/>
        </w:rPr>
        <w:t>TcFAZ</w:t>
      </w:r>
      <w:proofErr w:type="spellEnd"/>
      <w:r w:rsidRPr="00636387">
        <w:rPr>
          <w:color w:val="auto"/>
        </w:rPr>
        <w:t xml:space="preserve"> antibody and visualized by goat anti-mouse IgG antibody conjugated to Alexa 647</w:t>
      </w:r>
      <w:r w:rsidR="00636387">
        <w:rPr>
          <w:color w:val="auto"/>
        </w:rPr>
        <w:t xml:space="preserve"> (</w:t>
      </w:r>
      <w:r w:rsidRPr="00636387">
        <w:rPr>
          <w:color w:val="auto"/>
        </w:rPr>
        <w:t xml:space="preserve">red). Host nuclear </w:t>
      </w:r>
      <w:proofErr w:type="spellStart"/>
      <w:r w:rsidRPr="00636387">
        <w:rPr>
          <w:color w:val="auto"/>
        </w:rPr>
        <w:t>hnRNP</w:t>
      </w:r>
      <w:proofErr w:type="spellEnd"/>
      <w:r w:rsidRPr="00636387">
        <w:rPr>
          <w:color w:val="auto"/>
        </w:rPr>
        <w:t xml:space="preserve"> A1 is labeled with mouse monoclonal anti-</w:t>
      </w:r>
      <w:proofErr w:type="spellStart"/>
      <w:r w:rsidRPr="00636387">
        <w:rPr>
          <w:color w:val="auto"/>
        </w:rPr>
        <w:t>hnRNP</w:t>
      </w:r>
      <w:proofErr w:type="spellEnd"/>
      <w:r w:rsidRPr="00636387">
        <w:rPr>
          <w:color w:val="auto"/>
        </w:rPr>
        <w:t xml:space="preserve"> A1 IgG2b antibody and visualized by goat anti-mouse IgG2b antibody conjugated to Alexa 488</w:t>
      </w:r>
      <w:r w:rsidR="00636387">
        <w:rPr>
          <w:color w:val="auto"/>
        </w:rPr>
        <w:t xml:space="preserve"> (</w:t>
      </w:r>
      <w:r w:rsidRPr="00636387">
        <w:rPr>
          <w:color w:val="auto"/>
        </w:rPr>
        <w:t>green). Phalloidin conjugated to Alexa 594 stains F-actin</w:t>
      </w:r>
      <w:r w:rsidR="00636387">
        <w:rPr>
          <w:color w:val="auto"/>
        </w:rPr>
        <w:t xml:space="preserve"> (</w:t>
      </w:r>
      <w:r w:rsidRPr="00636387">
        <w:rPr>
          <w:color w:val="auto"/>
        </w:rPr>
        <w:t>grey). Nuclei and kinetoplasts are stained with DAPI</w:t>
      </w:r>
      <w:r w:rsidR="00636387">
        <w:rPr>
          <w:color w:val="auto"/>
        </w:rPr>
        <w:t xml:space="preserve"> (</w:t>
      </w:r>
      <w:r w:rsidRPr="00636387">
        <w:rPr>
          <w:color w:val="auto"/>
        </w:rPr>
        <w:t>blue). Merged images are shown as indicated. Inset corresponds to the enlarged area of the host nucleus.</w:t>
      </w:r>
      <w:r w:rsidR="002D3514" w:rsidRPr="00636387">
        <w:rPr>
          <w:color w:val="auto"/>
        </w:rPr>
        <w:t xml:space="preserve"> </w:t>
      </w:r>
      <w:r w:rsidRPr="00636387">
        <w:rPr>
          <w:color w:val="auto"/>
        </w:rPr>
        <w:t>Bar=5 µm. All experiments were made in biological triplicate. The white arrow shows the presence of the parasite near the host cell nucleus.</w:t>
      </w:r>
    </w:p>
    <w:p w14:paraId="5D073358" w14:textId="77777777" w:rsidR="00044593" w:rsidRPr="00636387" w:rsidRDefault="00044593">
      <w:pPr>
        <w:rPr>
          <w:color w:val="auto"/>
        </w:rPr>
      </w:pPr>
    </w:p>
    <w:p w14:paraId="78499EF7" w14:textId="7880C16A" w:rsidR="00044593" w:rsidRPr="00636387" w:rsidRDefault="002B7AAC">
      <w:pPr>
        <w:rPr>
          <w:color w:val="auto"/>
        </w:rPr>
      </w:pPr>
      <w:r w:rsidRPr="00636387">
        <w:rPr>
          <w:b/>
          <w:color w:val="auto"/>
        </w:rPr>
        <w:lastRenderedPageBreak/>
        <w:t>Figure 3: Schematic illustration of</w:t>
      </w:r>
      <w:r w:rsidRPr="00636387">
        <w:rPr>
          <w:color w:val="auto"/>
        </w:rPr>
        <w:t xml:space="preserve"> </w:t>
      </w:r>
      <w:r w:rsidRPr="00636387">
        <w:rPr>
          <w:b/>
          <w:color w:val="auto"/>
        </w:rPr>
        <w:t xml:space="preserve">sequential double immunostaining with primary antibodies derived from the same </w:t>
      </w:r>
      <w:r w:rsidR="005C5BBC" w:rsidRPr="00636387">
        <w:rPr>
          <w:b/>
          <w:color w:val="auto"/>
        </w:rPr>
        <w:t>species</w:t>
      </w:r>
      <w:r w:rsidRPr="00636387">
        <w:rPr>
          <w:b/>
          <w:color w:val="auto"/>
        </w:rPr>
        <w:t>.</w:t>
      </w:r>
      <w:r w:rsidRPr="00636387">
        <w:rPr>
          <w:color w:val="auto"/>
        </w:rPr>
        <w:t xml:space="preserve"> </w:t>
      </w:r>
      <w:r w:rsidR="00DE0D0F" w:rsidRPr="00636387">
        <w:rPr>
          <w:color w:val="auto"/>
        </w:rPr>
        <w:t>Diagram</w:t>
      </w:r>
      <w:r w:rsidR="00357019" w:rsidRPr="00636387">
        <w:rPr>
          <w:color w:val="auto"/>
        </w:rPr>
        <w:t xml:space="preserve"> shows the </w:t>
      </w:r>
      <w:r w:rsidRPr="00636387">
        <w:rPr>
          <w:color w:val="auto"/>
        </w:rPr>
        <w:t xml:space="preserve">order </w:t>
      </w:r>
      <w:r w:rsidR="00304D49" w:rsidRPr="00636387">
        <w:rPr>
          <w:color w:val="auto"/>
        </w:rPr>
        <w:t xml:space="preserve">of the antibodies </w:t>
      </w:r>
      <w:r w:rsidRPr="00636387">
        <w:rPr>
          <w:color w:val="auto"/>
        </w:rPr>
        <w:t>to ensure the efficiency of this protocol.</w:t>
      </w:r>
    </w:p>
    <w:p w14:paraId="3B646E6E" w14:textId="77777777" w:rsidR="00044593" w:rsidRPr="00636387" w:rsidRDefault="00044593">
      <w:pPr>
        <w:rPr>
          <w:b/>
          <w:color w:val="auto"/>
        </w:rPr>
      </w:pPr>
    </w:p>
    <w:p w14:paraId="16ED3FD0" w14:textId="77777777" w:rsidR="00044593" w:rsidRPr="00636387" w:rsidRDefault="002B7AAC">
      <w:pPr>
        <w:rPr>
          <w:b/>
          <w:color w:val="auto"/>
        </w:rPr>
      </w:pPr>
      <w:r w:rsidRPr="00636387">
        <w:rPr>
          <w:b/>
          <w:color w:val="auto"/>
        </w:rPr>
        <w:t xml:space="preserve">DISCUSSION: </w:t>
      </w:r>
    </w:p>
    <w:p w14:paraId="26B5DDD7" w14:textId="52B3244B" w:rsidR="00044593" w:rsidRDefault="002B7AAC">
      <w:pPr>
        <w:rPr>
          <w:color w:val="auto"/>
        </w:rPr>
      </w:pPr>
      <w:r w:rsidRPr="00636387">
        <w:rPr>
          <w:color w:val="auto"/>
        </w:rPr>
        <w:t xml:space="preserve">Here, we present a protocol to perform double immunolabeling in </w:t>
      </w:r>
      <w:r w:rsidRPr="00636387">
        <w:rPr>
          <w:i/>
          <w:color w:val="auto"/>
        </w:rPr>
        <w:t xml:space="preserve">Trypanosoma </w:t>
      </w:r>
      <w:proofErr w:type="spellStart"/>
      <w:r w:rsidRPr="00636387">
        <w:rPr>
          <w:i/>
          <w:color w:val="auto"/>
        </w:rPr>
        <w:t>cruzi</w:t>
      </w:r>
      <w:proofErr w:type="spellEnd"/>
      <w:r w:rsidRPr="00636387">
        <w:rPr>
          <w:color w:val="auto"/>
        </w:rPr>
        <w:t xml:space="preserve"> infected cells using two different antibodies from the same host species. To study</w:t>
      </w:r>
      <w:r w:rsidR="00741962" w:rsidRPr="00636387">
        <w:rPr>
          <w:color w:val="auto"/>
        </w:rPr>
        <w:t>,</w:t>
      </w:r>
      <w:r w:rsidRPr="00636387">
        <w:rPr>
          <w:color w:val="auto"/>
        </w:rPr>
        <w:t xml:space="preserve"> with more detail</w:t>
      </w:r>
      <w:r w:rsidR="00741962" w:rsidRPr="00636387">
        <w:rPr>
          <w:color w:val="auto"/>
        </w:rPr>
        <w:t>,</w:t>
      </w:r>
      <w:r w:rsidRPr="00636387">
        <w:rPr>
          <w:color w:val="auto"/>
        </w:rPr>
        <w:t xml:space="preserve"> the implications of the infection, structures in the host cell such as </w:t>
      </w:r>
      <w:r w:rsidR="00741962" w:rsidRPr="00636387">
        <w:rPr>
          <w:color w:val="auto"/>
        </w:rPr>
        <w:t xml:space="preserve">the </w:t>
      </w:r>
      <w:r w:rsidRPr="00636387">
        <w:rPr>
          <w:color w:val="auto"/>
        </w:rPr>
        <w:t xml:space="preserve">nucleus or cytosolic organelles can be labeled using this protocol. Also, </w:t>
      </w:r>
      <w:r w:rsidR="00FE63BD" w:rsidRPr="00636387">
        <w:rPr>
          <w:color w:val="auto"/>
        </w:rPr>
        <w:t>it</w:t>
      </w:r>
      <w:r w:rsidRPr="00636387">
        <w:rPr>
          <w:color w:val="auto"/>
        </w:rPr>
        <w:t xml:space="preserve"> can be used in the post-embedding thin section immunogold labeling method. This approach helps to overcome the obstacle of having few antibodies available to study </w:t>
      </w:r>
      <w:proofErr w:type="spellStart"/>
      <w:r w:rsidRPr="00636387">
        <w:rPr>
          <w:color w:val="auto"/>
        </w:rPr>
        <w:t>trypanosomatids</w:t>
      </w:r>
      <w:proofErr w:type="spellEnd"/>
      <w:r w:rsidRPr="00636387">
        <w:rPr>
          <w:color w:val="auto"/>
        </w:rPr>
        <w:t xml:space="preserve"> </w:t>
      </w:r>
      <w:r w:rsidR="00D22050" w:rsidRPr="00636387">
        <w:rPr>
          <w:color w:val="auto"/>
        </w:rPr>
        <w:t xml:space="preserve">and </w:t>
      </w:r>
      <w:r w:rsidRPr="00636387">
        <w:rPr>
          <w:color w:val="auto"/>
        </w:rPr>
        <w:t xml:space="preserve">other parasites. </w:t>
      </w:r>
    </w:p>
    <w:p w14:paraId="3D843786" w14:textId="77777777" w:rsidR="00636387" w:rsidRPr="00636387" w:rsidRDefault="00636387">
      <w:pPr>
        <w:rPr>
          <w:color w:val="auto"/>
          <w:u w:val="single"/>
        </w:rPr>
      </w:pPr>
    </w:p>
    <w:p w14:paraId="2A0C3B54" w14:textId="44DBDA94" w:rsidR="00044593" w:rsidRPr="00636387" w:rsidRDefault="000E6181">
      <w:pPr>
        <w:rPr>
          <w:color w:val="auto"/>
        </w:rPr>
      </w:pPr>
      <w:r w:rsidRPr="00636387">
        <w:rPr>
          <w:color w:val="auto"/>
        </w:rPr>
        <w:t>Additionally, our protocol showed an intracellular parasite is labeled together with the host cell, two eukaryotes in the same immunofluorescence, different from those protocols realized in different kinds of tissues</w:t>
      </w:r>
      <w:r w:rsidRPr="00636387">
        <w:rPr>
          <w:color w:val="auto"/>
          <w:vertAlign w:val="superscript"/>
        </w:rPr>
        <w:t>7-14</w:t>
      </w:r>
      <w:r w:rsidRPr="00636387">
        <w:rPr>
          <w:color w:val="auto"/>
        </w:rPr>
        <w:t>.</w:t>
      </w:r>
      <w:r w:rsidR="002D3514" w:rsidRPr="00636387">
        <w:rPr>
          <w:color w:val="auto"/>
        </w:rPr>
        <w:t xml:space="preserve"> </w:t>
      </w:r>
      <w:r w:rsidRPr="00636387">
        <w:rPr>
          <w:color w:val="auto"/>
        </w:rPr>
        <w:t>Our protocol shows that no epitope of the primary polyclonal antibody can be recognized by the second secondary antibody</w:t>
      </w:r>
      <w:r w:rsidR="00636387">
        <w:rPr>
          <w:color w:val="auto"/>
        </w:rPr>
        <w:t xml:space="preserve"> (step</w:t>
      </w:r>
      <w:r w:rsidRPr="00636387">
        <w:rPr>
          <w:color w:val="auto"/>
        </w:rPr>
        <w:t xml:space="preserve"> 3.9), ensuring that no cross-reactions occur between the antibodies</w:t>
      </w:r>
      <w:r w:rsidR="00636387">
        <w:rPr>
          <w:color w:val="auto"/>
        </w:rPr>
        <w:t xml:space="preserve"> (</w:t>
      </w:r>
      <w:r w:rsidRPr="00636387">
        <w:rPr>
          <w:b/>
          <w:bCs/>
          <w:color w:val="auto"/>
        </w:rPr>
        <w:t>Figure 3</w:t>
      </w:r>
      <w:r w:rsidRPr="00636387">
        <w:rPr>
          <w:color w:val="auto"/>
        </w:rPr>
        <w:t xml:space="preserve">). </w:t>
      </w:r>
      <w:r w:rsidR="002B7AAC" w:rsidRPr="00636387">
        <w:rPr>
          <w:color w:val="auto"/>
        </w:rPr>
        <w:t>The success of this methodology is due to the efficiency of the blocking step</w:t>
      </w:r>
      <w:r w:rsidR="00636387">
        <w:rPr>
          <w:color w:val="auto"/>
        </w:rPr>
        <w:t xml:space="preserve"> (step</w:t>
      </w:r>
      <w:r w:rsidR="00BC2637" w:rsidRPr="00636387">
        <w:rPr>
          <w:color w:val="auto"/>
        </w:rPr>
        <w:t xml:space="preserve"> 3.6) </w:t>
      </w:r>
      <w:r w:rsidR="002B7AAC" w:rsidRPr="00636387">
        <w:rPr>
          <w:color w:val="auto"/>
        </w:rPr>
        <w:t>using purified rabbit anti-mouse IgG</w:t>
      </w:r>
      <w:r w:rsidR="00BC2637" w:rsidRPr="00636387">
        <w:rPr>
          <w:color w:val="auto"/>
        </w:rPr>
        <w:t>.</w:t>
      </w:r>
      <w:r w:rsidR="002B7AAC" w:rsidRPr="00636387">
        <w:rPr>
          <w:color w:val="auto"/>
        </w:rPr>
        <w:t xml:space="preserve"> A similar protocol described by </w:t>
      </w:r>
      <w:proofErr w:type="spellStart"/>
      <w:r w:rsidR="002B7AAC" w:rsidRPr="00636387">
        <w:rPr>
          <w:color w:val="auto"/>
        </w:rPr>
        <w:t>Ansorg</w:t>
      </w:r>
      <w:proofErr w:type="spellEnd"/>
      <w:r w:rsidR="002B7AAC" w:rsidRPr="00636387">
        <w:rPr>
          <w:color w:val="auto"/>
        </w:rPr>
        <w:t xml:space="preserve"> et al</w:t>
      </w:r>
      <w:r w:rsidR="00636387">
        <w:rPr>
          <w:color w:val="auto"/>
        </w:rPr>
        <w:t>. (</w:t>
      </w:r>
      <w:r w:rsidR="002B7AAC" w:rsidRPr="00636387">
        <w:rPr>
          <w:color w:val="auto"/>
        </w:rPr>
        <w:t xml:space="preserve">2015) </w:t>
      </w:r>
      <w:r w:rsidRPr="00636387">
        <w:rPr>
          <w:color w:val="auto"/>
        </w:rPr>
        <w:t xml:space="preserve">has </w:t>
      </w:r>
      <w:r w:rsidR="002B7AAC" w:rsidRPr="00636387">
        <w:rPr>
          <w:color w:val="auto"/>
        </w:rPr>
        <w:t>two additional blocking, where the first</w:t>
      </w:r>
      <w:r w:rsidR="00846F94" w:rsidRPr="00636387">
        <w:rPr>
          <w:color w:val="auto"/>
        </w:rPr>
        <w:t xml:space="preserve"> uses</w:t>
      </w:r>
      <w:r w:rsidR="002B7AAC" w:rsidRPr="00636387">
        <w:rPr>
          <w:color w:val="auto"/>
        </w:rPr>
        <w:t xml:space="preserve"> serum from the same host as the primary antibody and </w:t>
      </w:r>
      <w:r w:rsidR="00741962" w:rsidRPr="00636387">
        <w:rPr>
          <w:color w:val="auto"/>
        </w:rPr>
        <w:t xml:space="preserve">the </w:t>
      </w:r>
      <w:r w:rsidR="002B7AAC" w:rsidRPr="00636387">
        <w:rPr>
          <w:color w:val="auto"/>
        </w:rPr>
        <w:t xml:space="preserve">second is </w:t>
      </w:r>
      <w:r w:rsidRPr="00636387">
        <w:rPr>
          <w:color w:val="auto"/>
        </w:rPr>
        <w:t xml:space="preserve">realized </w:t>
      </w:r>
      <w:r w:rsidR="002B7AAC" w:rsidRPr="00636387">
        <w:rPr>
          <w:color w:val="auto"/>
        </w:rPr>
        <w:t>with unconjugated Fab-fragments</w:t>
      </w:r>
      <w:r w:rsidR="007D0096" w:rsidRPr="00636387">
        <w:rPr>
          <w:color w:val="auto"/>
          <w:vertAlign w:val="superscript"/>
        </w:rPr>
        <w:t>6</w:t>
      </w:r>
      <w:r w:rsidR="002B7AAC" w:rsidRPr="00636387">
        <w:rPr>
          <w:color w:val="auto"/>
        </w:rPr>
        <w:t xml:space="preserve">. </w:t>
      </w:r>
      <w:r w:rsidR="00846F94" w:rsidRPr="00636387">
        <w:rPr>
          <w:color w:val="auto"/>
        </w:rPr>
        <w:t>Also, w</w:t>
      </w:r>
      <w:r w:rsidR="002B7AAC" w:rsidRPr="00636387">
        <w:rPr>
          <w:color w:val="auto"/>
        </w:rPr>
        <w:t>ithout the second blocking, false-positive labeling can occur</w:t>
      </w:r>
      <w:r w:rsidR="00741962" w:rsidRPr="00636387">
        <w:rPr>
          <w:color w:val="auto"/>
        </w:rPr>
        <w:t>,</w:t>
      </w:r>
      <w:r w:rsidR="002B7AAC" w:rsidRPr="00636387">
        <w:rPr>
          <w:color w:val="auto"/>
        </w:rPr>
        <w:t xml:space="preserve"> as </w:t>
      </w:r>
      <w:r w:rsidRPr="00636387">
        <w:rPr>
          <w:color w:val="auto"/>
        </w:rPr>
        <w:t>explained</w:t>
      </w:r>
      <w:r w:rsidR="002B7AAC" w:rsidRPr="00636387">
        <w:rPr>
          <w:color w:val="auto"/>
        </w:rPr>
        <w:t xml:space="preserve"> by </w:t>
      </w:r>
      <w:r w:rsidR="00846F94" w:rsidRPr="00636387">
        <w:rPr>
          <w:color w:val="auto"/>
        </w:rPr>
        <w:t xml:space="preserve">these authors </w:t>
      </w:r>
      <w:r w:rsidR="001B7334" w:rsidRPr="00636387">
        <w:rPr>
          <w:color w:val="auto"/>
          <w:vertAlign w:val="superscript"/>
        </w:rPr>
        <w:t>6</w:t>
      </w:r>
      <w:r w:rsidR="002B7AAC" w:rsidRPr="00636387">
        <w:rPr>
          <w:color w:val="auto"/>
        </w:rPr>
        <w:t xml:space="preserve">. </w:t>
      </w:r>
    </w:p>
    <w:p w14:paraId="0E6DDBB0" w14:textId="77777777" w:rsidR="00636387" w:rsidRPr="00636387" w:rsidRDefault="00636387">
      <w:pPr>
        <w:rPr>
          <w:color w:val="auto"/>
        </w:rPr>
      </w:pPr>
    </w:p>
    <w:p w14:paraId="324CBE2A" w14:textId="74CEBCF2" w:rsidR="00044593" w:rsidRDefault="002B7AAC">
      <w:pPr>
        <w:rPr>
          <w:color w:val="auto"/>
        </w:rPr>
      </w:pPr>
      <w:bookmarkStart w:id="1" w:name="_heading=h.30j0zll" w:colFirst="0" w:colLast="0"/>
      <w:bookmarkEnd w:id="1"/>
      <w:r w:rsidRPr="00636387">
        <w:rPr>
          <w:color w:val="auto"/>
        </w:rPr>
        <w:t>Furthermore, for triple immunolabeling, the third antibody of a rabbit host species can be added before the second blocking step described above in the protocol</w:t>
      </w:r>
      <w:r w:rsidR="00636387">
        <w:rPr>
          <w:color w:val="auto"/>
        </w:rPr>
        <w:t xml:space="preserve"> (</w:t>
      </w:r>
      <w:r w:rsidRPr="00636387">
        <w:rPr>
          <w:color w:val="auto"/>
        </w:rPr>
        <w:t>step 4.2). Also, it is possible to use more than one monoclonal antibody since they have different IgG subclasses. For this, the corresponding secondary antibodies should be highly adsorbed to minimize cross-reactivity between them. The use of different IgG subclasses allows the utilization of the same host antibodies without cross-reaction. These protocols work well, but control groups are necessary to avoid false-positive results. The specificity of IgG subclasses and their properties makes it possible to do double and triple labeling. It has been reported that the IgG subclasses differ in the complement activation and Fc receptors in the inter-heavy chain disulfide bonds, hinge region amino acids, molecular mass</w:t>
      </w:r>
      <w:r w:rsidR="00636387">
        <w:rPr>
          <w:color w:val="auto"/>
        </w:rPr>
        <w:t xml:space="preserve"> (</w:t>
      </w:r>
      <w:r w:rsidRPr="00636387">
        <w:rPr>
          <w:color w:val="auto"/>
        </w:rPr>
        <w:t>kDa), and the relative abundance</w:t>
      </w:r>
      <w:r w:rsidR="00636387">
        <w:rPr>
          <w:color w:val="auto"/>
        </w:rPr>
        <w:t xml:space="preserve"> (</w:t>
      </w:r>
      <w:r w:rsidRPr="00636387">
        <w:rPr>
          <w:color w:val="auto"/>
        </w:rPr>
        <w:t>in percentage) in response to proteins, saccharides, and allergens</w:t>
      </w:r>
      <w:r w:rsidR="005D4147" w:rsidRPr="00636387">
        <w:rPr>
          <w:color w:val="auto"/>
        </w:rPr>
        <w:t xml:space="preserve"> </w:t>
      </w:r>
      <w:r w:rsidRPr="00636387">
        <w:rPr>
          <w:color w:val="auto"/>
          <w:vertAlign w:val="superscript"/>
        </w:rPr>
        <w:t>2</w:t>
      </w:r>
      <w:r w:rsidR="00555383" w:rsidRPr="00636387">
        <w:rPr>
          <w:color w:val="auto"/>
          <w:vertAlign w:val="superscript"/>
        </w:rPr>
        <w:t>5</w:t>
      </w:r>
      <w:r w:rsidRPr="00636387">
        <w:rPr>
          <w:color w:val="auto"/>
        </w:rPr>
        <w:t>. They have slight differences in the hinge structure amino acids, influencing the stability and flexibility of each IgG subclass. IgG2 has the shortest and even more rigid hinge of all IgG subclasses due to a CH2 region with one amino acid deletion and an extra inter-heavy chain disulfide bridge</w:t>
      </w:r>
      <w:r w:rsidR="005D4147" w:rsidRPr="00636387">
        <w:rPr>
          <w:color w:val="auto"/>
        </w:rPr>
        <w:t xml:space="preserve"> </w:t>
      </w:r>
      <w:r w:rsidRPr="00636387">
        <w:rPr>
          <w:color w:val="auto"/>
          <w:vertAlign w:val="superscript"/>
        </w:rPr>
        <w:t>2</w:t>
      </w:r>
      <w:r w:rsidR="00555383" w:rsidRPr="00636387">
        <w:rPr>
          <w:color w:val="auto"/>
          <w:vertAlign w:val="superscript"/>
        </w:rPr>
        <w:t>5</w:t>
      </w:r>
      <w:r w:rsidRPr="00636387">
        <w:rPr>
          <w:color w:val="auto"/>
        </w:rPr>
        <w:t xml:space="preserve">. </w:t>
      </w:r>
    </w:p>
    <w:p w14:paraId="5CB329A9" w14:textId="77777777" w:rsidR="00636387" w:rsidRPr="00636387" w:rsidRDefault="00636387">
      <w:pPr>
        <w:rPr>
          <w:color w:val="auto"/>
          <w:highlight w:val="yellow"/>
        </w:rPr>
      </w:pPr>
    </w:p>
    <w:p w14:paraId="45281106" w14:textId="121E173E" w:rsidR="00044593" w:rsidRPr="00636387" w:rsidRDefault="00B00796">
      <w:pPr>
        <w:rPr>
          <w:color w:val="auto"/>
        </w:rPr>
      </w:pPr>
      <w:r w:rsidRPr="00636387">
        <w:rPr>
          <w:color w:val="auto"/>
        </w:rPr>
        <w:t>In summary, the protocol described here to study host-pathogen interactions presents a basic and elaborated technique adapted to any combination of antibodies. This approach makes immunofluorescence cost-effective and can help when the source of antibodies is limited. The protocol can simultaneously detect pathogens and the host cell proteins in infected host cells; it can also be applied to any cell type and free-living organisms.</w:t>
      </w:r>
      <w:r w:rsidR="002D3514" w:rsidRPr="00636387">
        <w:rPr>
          <w:color w:val="auto"/>
        </w:rPr>
        <w:t xml:space="preserve"> </w:t>
      </w:r>
    </w:p>
    <w:p w14:paraId="071EE68E" w14:textId="6BB56CA3" w:rsidR="00044593" w:rsidRPr="00636387" w:rsidRDefault="002B7AAC">
      <w:pPr>
        <w:rPr>
          <w:color w:val="auto"/>
        </w:rPr>
      </w:pPr>
      <w:r w:rsidRPr="00636387">
        <w:rPr>
          <w:color w:val="auto"/>
        </w:rPr>
        <w:t xml:space="preserve"> </w:t>
      </w:r>
    </w:p>
    <w:p w14:paraId="477F9487" w14:textId="77777777" w:rsidR="00044593" w:rsidRPr="00636387" w:rsidRDefault="002B7AAC">
      <w:pPr>
        <w:pBdr>
          <w:top w:val="nil"/>
          <w:left w:val="nil"/>
          <w:bottom w:val="nil"/>
          <w:right w:val="nil"/>
          <w:between w:val="nil"/>
        </w:pBdr>
        <w:rPr>
          <w:color w:val="auto"/>
          <w:lang w:val="pt-BR"/>
        </w:rPr>
      </w:pPr>
      <w:r w:rsidRPr="00636387">
        <w:rPr>
          <w:b/>
          <w:color w:val="auto"/>
          <w:lang w:val="pt-BR"/>
        </w:rPr>
        <w:t xml:space="preserve">ACKNOWLEDGMENTS: </w:t>
      </w:r>
    </w:p>
    <w:p w14:paraId="0471C8B4" w14:textId="7951B556" w:rsidR="00044593" w:rsidRPr="00636387" w:rsidRDefault="002B7AAC">
      <w:pPr>
        <w:rPr>
          <w:color w:val="auto"/>
        </w:rPr>
      </w:pPr>
      <w:r w:rsidRPr="00636387">
        <w:rPr>
          <w:color w:val="auto"/>
          <w:lang w:val="pt-BR"/>
        </w:rPr>
        <w:t>This work was supported by Fundação de Amparo à Pesquisa do Estado de São Paulo</w:t>
      </w:r>
      <w:r w:rsidR="00636387">
        <w:rPr>
          <w:color w:val="auto"/>
          <w:lang w:val="pt-BR"/>
        </w:rPr>
        <w:t xml:space="preserve"> </w:t>
      </w:r>
      <w:r w:rsidR="00636387">
        <w:rPr>
          <w:color w:val="auto"/>
          <w:lang w:val="pt-BR"/>
        </w:rPr>
        <w:lastRenderedPageBreak/>
        <w:t>(</w:t>
      </w:r>
      <w:r w:rsidRPr="00636387">
        <w:rPr>
          <w:color w:val="auto"/>
          <w:lang w:val="pt-BR"/>
        </w:rPr>
        <w:t>FAPESP 2010/19547-1; 2018/03677-5) to MMAB, by Fundação de Apoio ao Ensino, Pesquisa e Assistência- FAEPA to MMAB and by Coordenação de Aperfeiçoamento de Pessoal de Nível Superior- Brasil</w:t>
      </w:r>
      <w:r w:rsidR="00636387">
        <w:rPr>
          <w:color w:val="auto"/>
          <w:lang w:val="pt-BR"/>
        </w:rPr>
        <w:t xml:space="preserve"> (</w:t>
      </w:r>
      <w:r w:rsidRPr="00636387">
        <w:rPr>
          <w:color w:val="auto"/>
          <w:lang w:val="pt-BR"/>
        </w:rPr>
        <w:t xml:space="preserve">CAPES) – finance code 001. </w:t>
      </w:r>
      <w:r w:rsidRPr="00636387">
        <w:rPr>
          <w:color w:val="auto"/>
        </w:rPr>
        <w:t xml:space="preserve">CG-C received a master and doctoral fellowship from CAPES and LAMT-S received doctoral fellowship from </w:t>
      </w:r>
      <w:proofErr w:type="spellStart"/>
      <w:r w:rsidRPr="00636387">
        <w:rPr>
          <w:color w:val="auto"/>
        </w:rPr>
        <w:t>CNPq</w:t>
      </w:r>
      <w:proofErr w:type="spellEnd"/>
      <w:r w:rsidRPr="00636387">
        <w:rPr>
          <w:color w:val="auto"/>
        </w:rPr>
        <w:t>.</w:t>
      </w:r>
      <w:r w:rsidR="002D3514" w:rsidRPr="00636387">
        <w:rPr>
          <w:color w:val="auto"/>
        </w:rPr>
        <w:t xml:space="preserve"> </w:t>
      </w:r>
      <w:r w:rsidRPr="00636387">
        <w:rPr>
          <w:color w:val="auto"/>
        </w:rPr>
        <w:t xml:space="preserve">We thank </w:t>
      </w:r>
      <w:proofErr w:type="spellStart"/>
      <w:r w:rsidRPr="00636387">
        <w:rPr>
          <w:color w:val="auto"/>
        </w:rPr>
        <w:t>Elizabete</w:t>
      </w:r>
      <w:proofErr w:type="spellEnd"/>
      <w:r w:rsidRPr="00636387">
        <w:rPr>
          <w:color w:val="auto"/>
        </w:rPr>
        <w:t xml:space="preserve"> R. Milani for confocal microscopy assistance and Dr. Dario S. Zamboni, Ribeirão Preto Medical School, USP, for providing LLC-MK2 cells. FAPESP supports the LMMC</w:t>
      </w:r>
      <w:r w:rsidR="00636387">
        <w:rPr>
          <w:color w:val="auto"/>
        </w:rPr>
        <w:t xml:space="preserve"> (</w:t>
      </w:r>
      <w:r w:rsidRPr="00636387">
        <w:rPr>
          <w:color w:val="auto"/>
        </w:rPr>
        <w:t xml:space="preserve">2004/08868-0). </w:t>
      </w:r>
    </w:p>
    <w:p w14:paraId="1C2D43B6" w14:textId="77777777" w:rsidR="00044593" w:rsidRPr="00636387" w:rsidRDefault="00044593">
      <w:pPr>
        <w:rPr>
          <w:b/>
          <w:color w:val="auto"/>
        </w:rPr>
      </w:pPr>
    </w:p>
    <w:p w14:paraId="0F8B57F0" w14:textId="77777777" w:rsidR="00044593" w:rsidRPr="00636387" w:rsidRDefault="002B7AAC">
      <w:pPr>
        <w:rPr>
          <w:b/>
          <w:color w:val="auto"/>
        </w:rPr>
      </w:pPr>
      <w:r w:rsidRPr="00636387">
        <w:rPr>
          <w:b/>
          <w:color w:val="auto"/>
        </w:rPr>
        <w:t xml:space="preserve">DISCLOSURES: </w:t>
      </w:r>
    </w:p>
    <w:p w14:paraId="35139581" w14:textId="552B3282" w:rsidR="00044593" w:rsidRPr="00636387" w:rsidRDefault="002B7AAC">
      <w:pPr>
        <w:rPr>
          <w:color w:val="auto"/>
        </w:rPr>
      </w:pPr>
      <w:r w:rsidRPr="00636387">
        <w:rPr>
          <w:color w:val="auto"/>
        </w:rPr>
        <w:t>The authors declare no competing or financial interests.</w:t>
      </w:r>
      <w:r w:rsidRPr="00636387">
        <w:rPr>
          <w:color w:val="auto"/>
          <w:highlight w:val="yellow"/>
        </w:rPr>
        <w:t xml:space="preserve"> </w:t>
      </w:r>
    </w:p>
    <w:p w14:paraId="3977EC8A" w14:textId="77777777" w:rsidR="008C167C" w:rsidRPr="00636387" w:rsidRDefault="008C167C">
      <w:pPr>
        <w:rPr>
          <w:color w:val="auto"/>
        </w:rPr>
      </w:pPr>
    </w:p>
    <w:p w14:paraId="4B5B4284" w14:textId="77777777" w:rsidR="00044593" w:rsidRPr="00636387" w:rsidRDefault="002B7AAC">
      <w:pPr>
        <w:rPr>
          <w:b/>
          <w:color w:val="auto"/>
        </w:rPr>
      </w:pPr>
      <w:r w:rsidRPr="00636387">
        <w:rPr>
          <w:b/>
          <w:color w:val="auto"/>
        </w:rPr>
        <w:t>REFERENCES:</w:t>
      </w:r>
    </w:p>
    <w:p w14:paraId="071394D4" w14:textId="31355672"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 xml:space="preserve">Lloyd, R. E. Nuclear proteins hijacked by mammalian cytoplasmic plus strand RNA viruses. </w:t>
      </w:r>
      <w:r w:rsidRPr="00636387">
        <w:rPr>
          <w:i/>
          <w:color w:val="auto"/>
        </w:rPr>
        <w:t>Virology</w:t>
      </w:r>
      <w:r w:rsidRPr="00636387">
        <w:rPr>
          <w:color w:val="auto"/>
        </w:rPr>
        <w:t xml:space="preserve">. </w:t>
      </w:r>
      <w:r w:rsidRPr="00636387">
        <w:rPr>
          <w:b/>
          <w:color w:val="auto"/>
        </w:rPr>
        <w:t>479</w:t>
      </w:r>
      <w:r w:rsidRPr="00636387">
        <w:rPr>
          <w:color w:val="auto"/>
        </w:rPr>
        <w:t>-</w:t>
      </w:r>
      <w:r w:rsidRPr="00636387">
        <w:rPr>
          <w:b/>
          <w:bCs/>
          <w:color w:val="auto"/>
        </w:rPr>
        <w:t>480</w:t>
      </w:r>
      <w:r w:rsidR="00636387" w:rsidRPr="00636387">
        <w:rPr>
          <w:color w:val="auto"/>
        </w:rPr>
        <w:t>,</w:t>
      </w:r>
      <w:r w:rsidRPr="00636387">
        <w:rPr>
          <w:color w:val="auto"/>
        </w:rPr>
        <w:t xml:space="preserve"> 457-474</w:t>
      </w:r>
      <w:r w:rsidR="00636387">
        <w:rPr>
          <w:color w:val="auto"/>
        </w:rPr>
        <w:t xml:space="preserve"> (</w:t>
      </w:r>
      <w:r w:rsidRPr="00636387">
        <w:rPr>
          <w:color w:val="auto"/>
        </w:rPr>
        <w:t>2015).</w:t>
      </w:r>
    </w:p>
    <w:p w14:paraId="15413873" w14:textId="7E2E7E0A" w:rsidR="00044593" w:rsidRPr="00636387" w:rsidRDefault="002B7AAC">
      <w:pPr>
        <w:numPr>
          <w:ilvl w:val="1"/>
          <w:numId w:val="6"/>
        </w:numPr>
        <w:pBdr>
          <w:top w:val="nil"/>
          <w:left w:val="nil"/>
          <w:bottom w:val="nil"/>
          <w:right w:val="nil"/>
          <w:between w:val="nil"/>
        </w:pBdr>
        <w:ind w:left="0" w:firstLine="0"/>
        <w:rPr>
          <w:color w:val="auto"/>
        </w:rPr>
      </w:pPr>
      <w:proofErr w:type="spellStart"/>
      <w:r w:rsidRPr="00636387">
        <w:rPr>
          <w:color w:val="auto"/>
        </w:rPr>
        <w:t>Casadevall</w:t>
      </w:r>
      <w:proofErr w:type="spellEnd"/>
      <w:r w:rsidRPr="00636387">
        <w:rPr>
          <w:color w:val="auto"/>
        </w:rPr>
        <w:t>, A.</w:t>
      </w:r>
      <w:r w:rsidR="00636387">
        <w:rPr>
          <w:color w:val="auto"/>
        </w:rPr>
        <w:t xml:space="preserve">, </w:t>
      </w:r>
      <w:proofErr w:type="spellStart"/>
      <w:r w:rsidRPr="00636387">
        <w:rPr>
          <w:color w:val="auto"/>
        </w:rPr>
        <w:t>Pirofski</w:t>
      </w:r>
      <w:proofErr w:type="spellEnd"/>
      <w:r w:rsidRPr="00636387">
        <w:rPr>
          <w:color w:val="auto"/>
        </w:rPr>
        <w:t>, L. A. Host-pathogen interactions: basic concepts of microbial</w:t>
      </w:r>
    </w:p>
    <w:p w14:paraId="04DDBBB6" w14:textId="3933CA2A" w:rsidR="00044593" w:rsidRPr="00636387" w:rsidRDefault="002B7AAC" w:rsidP="00982334">
      <w:pPr>
        <w:pBdr>
          <w:top w:val="nil"/>
          <w:left w:val="nil"/>
          <w:bottom w:val="nil"/>
          <w:right w:val="nil"/>
          <w:between w:val="nil"/>
        </w:pBdr>
        <w:rPr>
          <w:color w:val="auto"/>
        </w:rPr>
      </w:pPr>
      <w:r w:rsidRPr="00636387">
        <w:rPr>
          <w:color w:val="auto"/>
        </w:rPr>
        <w:t xml:space="preserve">commensalism, colonization, infection, and disease. </w:t>
      </w:r>
      <w:r w:rsidR="00636387">
        <w:rPr>
          <w:i/>
          <w:color w:val="auto"/>
        </w:rPr>
        <w:t>Infection and Immunity</w:t>
      </w:r>
      <w:r w:rsidRPr="00636387">
        <w:rPr>
          <w:color w:val="auto"/>
        </w:rPr>
        <w:t xml:space="preserve">. </w:t>
      </w:r>
      <w:r w:rsidRPr="00636387">
        <w:rPr>
          <w:b/>
          <w:color w:val="auto"/>
        </w:rPr>
        <w:t>68</w:t>
      </w:r>
      <w:r w:rsidR="00636387">
        <w:rPr>
          <w:b/>
          <w:color w:val="auto"/>
        </w:rPr>
        <w:t xml:space="preserve"> </w:t>
      </w:r>
      <w:r w:rsidR="00636387">
        <w:rPr>
          <w:color w:val="auto"/>
        </w:rPr>
        <w:t>(</w:t>
      </w:r>
      <w:r w:rsidRPr="00636387">
        <w:rPr>
          <w:color w:val="auto"/>
        </w:rPr>
        <w:t>12), 6511-6518</w:t>
      </w:r>
      <w:r w:rsidR="00636387">
        <w:rPr>
          <w:color w:val="auto"/>
        </w:rPr>
        <w:t xml:space="preserve"> (</w:t>
      </w:r>
      <w:r w:rsidRPr="00636387">
        <w:rPr>
          <w:color w:val="auto"/>
        </w:rPr>
        <w:t>2000).</w:t>
      </w:r>
    </w:p>
    <w:p w14:paraId="4976EF1D" w14:textId="79501600" w:rsidR="00044593" w:rsidRPr="00636387" w:rsidRDefault="002B7AAC">
      <w:pPr>
        <w:numPr>
          <w:ilvl w:val="1"/>
          <w:numId w:val="6"/>
        </w:numPr>
        <w:pBdr>
          <w:top w:val="nil"/>
          <w:left w:val="nil"/>
          <w:bottom w:val="nil"/>
          <w:right w:val="nil"/>
          <w:between w:val="nil"/>
        </w:pBdr>
        <w:ind w:left="0" w:firstLine="0"/>
        <w:rPr>
          <w:color w:val="auto"/>
        </w:rPr>
      </w:pPr>
      <w:proofErr w:type="spellStart"/>
      <w:r w:rsidRPr="00636387">
        <w:rPr>
          <w:color w:val="auto"/>
        </w:rPr>
        <w:t>Sidik</w:t>
      </w:r>
      <w:proofErr w:type="spellEnd"/>
      <w:r w:rsidRPr="00636387">
        <w:rPr>
          <w:color w:val="auto"/>
        </w:rPr>
        <w:t xml:space="preserve">, S. M., </w:t>
      </w:r>
      <w:proofErr w:type="spellStart"/>
      <w:r w:rsidRPr="00636387">
        <w:rPr>
          <w:color w:val="auto"/>
        </w:rPr>
        <w:t>Salsman</w:t>
      </w:r>
      <w:proofErr w:type="spellEnd"/>
      <w:r w:rsidRPr="00636387">
        <w:rPr>
          <w:color w:val="auto"/>
        </w:rPr>
        <w:t xml:space="preserve">, J., </w:t>
      </w:r>
      <w:proofErr w:type="spellStart"/>
      <w:r w:rsidRPr="00636387">
        <w:rPr>
          <w:color w:val="auto"/>
        </w:rPr>
        <w:t>Dellaire</w:t>
      </w:r>
      <w:proofErr w:type="spellEnd"/>
      <w:r w:rsidRPr="00636387">
        <w:rPr>
          <w:color w:val="auto"/>
        </w:rPr>
        <w:t>, G.</w:t>
      </w:r>
      <w:r w:rsidR="00636387">
        <w:rPr>
          <w:color w:val="auto"/>
        </w:rPr>
        <w:t xml:space="preserve">, </w:t>
      </w:r>
      <w:r w:rsidRPr="00636387">
        <w:rPr>
          <w:color w:val="auto"/>
        </w:rPr>
        <w:t xml:space="preserve">Rohde, J. R. Shigella infection interferes with SUMOylation and increases PML-NB number. </w:t>
      </w:r>
      <w:proofErr w:type="spellStart"/>
      <w:r w:rsidRPr="00636387">
        <w:rPr>
          <w:i/>
          <w:color w:val="auto"/>
        </w:rPr>
        <w:t>PLoS</w:t>
      </w:r>
      <w:proofErr w:type="spellEnd"/>
      <w:r w:rsidRPr="00636387">
        <w:rPr>
          <w:i/>
          <w:color w:val="auto"/>
        </w:rPr>
        <w:t xml:space="preserve"> One</w:t>
      </w:r>
      <w:r w:rsidRPr="00636387">
        <w:rPr>
          <w:color w:val="auto"/>
        </w:rPr>
        <w:t xml:space="preserve">. </w:t>
      </w:r>
      <w:r w:rsidRPr="00636387">
        <w:rPr>
          <w:b/>
          <w:color w:val="auto"/>
        </w:rPr>
        <w:t>10</w:t>
      </w:r>
      <w:r w:rsidR="00636387">
        <w:rPr>
          <w:color w:val="auto"/>
        </w:rPr>
        <w:t xml:space="preserve"> (</w:t>
      </w:r>
      <w:r w:rsidRPr="00636387">
        <w:rPr>
          <w:color w:val="auto"/>
        </w:rPr>
        <w:t>4), e0122585</w:t>
      </w:r>
      <w:r w:rsidR="00636387">
        <w:rPr>
          <w:color w:val="auto"/>
        </w:rPr>
        <w:t xml:space="preserve"> (</w:t>
      </w:r>
      <w:r w:rsidRPr="00636387">
        <w:rPr>
          <w:color w:val="auto"/>
        </w:rPr>
        <w:t>2015).</w:t>
      </w:r>
    </w:p>
    <w:p w14:paraId="72C00CA1" w14:textId="0DF7B994"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Robert McMaster, W., Morrison, C. J.</w:t>
      </w:r>
      <w:r w:rsidR="00636387">
        <w:rPr>
          <w:color w:val="auto"/>
        </w:rPr>
        <w:t xml:space="preserve">, </w:t>
      </w:r>
      <w:proofErr w:type="spellStart"/>
      <w:r w:rsidRPr="00636387">
        <w:rPr>
          <w:color w:val="auto"/>
        </w:rPr>
        <w:t>Kobor</w:t>
      </w:r>
      <w:proofErr w:type="spellEnd"/>
      <w:r w:rsidRPr="00636387">
        <w:rPr>
          <w:color w:val="auto"/>
        </w:rPr>
        <w:t xml:space="preserve">, M. S. Epigenetics: A New Model for Intracellular Parasite-Host Cell Regulation. </w:t>
      </w:r>
      <w:r w:rsidR="00636387">
        <w:rPr>
          <w:i/>
          <w:color w:val="auto"/>
        </w:rPr>
        <w:t>Trends in Parasitology</w:t>
      </w:r>
      <w:r w:rsidRPr="00636387">
        <w:rPr>
          <w:color w:val="auto"/>
        </w:rPr>
        <w:t xml:space="preserve">. </w:t>
      </w:r>
      <w:r w:rsidRPr="00636387">
        <w:rPr>
          <w:b/>
          <w:color w:val="auto"/>
        </w:rPr>
        <w:t>32</w:t>
      </w:r>
      <w:r w:rsidR="00636387">
        <w:rPr>
          <w:color w:val="auto"/>
        </w:rPr>
        <w:t xml:space="preserve"> (</w:t>
      </w:r>
      <w:r w:rsidRPr="00636387">
        <w:rPr>
          <w:color w:val="auto"/>
        </w:rPr>
        <w:t>7), 515-521</w:t>
      </w:r>
      <w:r w:rsidR="00982334">
        <w:rPr>
          <w:color w:val="auto"/>
        </w:rPr>
        <w:t xml:space="preserve"> </w:t>
      </w:r>
      <w:r w:rsidR="00636387">
        <w:rPr>
          <w:color w:val="auto"/>
        </w:rPr>
        <w:t>(</w:t>
      </w:r>
      <w:r w:rsidRPr="00636387">
        <w:rPr>
          <w:color w:val="auto"/>
        </w:rPr>
        <w:t>2016).</w:t>
      </w:r>
    </w:p>
    <w:p w14:paraId="4CB17CFD" w14:textId="61ACA7BB" w:rsidR="00555383" w:rsidRPr="00636387" w:rsidRDefault="00555383" w:rsidP="00555383">
      <w:pPr>
        <w:numPr>
          <w:ilvl w:val="1"/>
          <w:numId w:val="6"/>
        </w:numPr>
        <w:pBdr>
          <w:top w:val="nil"/>
          <w:left w:val="nil"/>
          <w:bottom w:val="nil"/>
          <w:right w:val="nil"/>
          <w:between w:val="nil"/>
        </w:pBdr>
        <w:ind w:left="0" w:firstLine="0"/>
        <w:rPr>
          <w:color w:val="auto"/>
        </w:rPr>
      </w:pPr>
      <w:proofErr w:type="spellStart"/>
      <w:r w:rsidRPr="00636387">
        <w:rPr>
          <w:color w:val="auto"/>
        </w:rPr>
        <w:t>Casali</w:t>
      </w:r>
      <w:proofErr w:type="spellEnd"/>
      <w:r w:rsidRPr="00636387">
        <w:rPr>
          <w:color w:val="auto"/>
        </w:rPr>
        <w:t>, P.</w:t>
      </w:r>
      <w:r w:rsidR="00636387">
        <w:rPr>
          <w:color w:val="auto"/>
        </w:rPr>
        <w:t xml:space="preserve">, </w:t>
      </w:r>
      <w:r w:rsidRPr="00636387">
        <w:rPr>
          <w:color w:val="auto"/>
        </w:rPr>
        <w:t xml:space="preserve">Schettino, E. W. Structure and function of natural antibodies. </w:t>
      </w:r>
      <w:r w:rsidR="00636387" w:rsidRPr="00636387">
        <w:rPr>
          <w:i/>
          <w:iCs/>
          <w:color w:val="auto"/>
        </w:rPr>
        <w:t>Current Topics in Microbiology and Immunology</w:t>
      </w:r>
      <w:r w:rsidRPr="00636387">
        <w:rPr>
          <w:color w:val="auto"/>
        </w:rPr>
        <w:t xml:space="preserve">. </w:t>
      </w:r>
      <w:r w:rsidRPr="00636387">
        <w:rPr>
          <w:b/>
          <w:bCs/>
          <w:color w:val="auto"/>
        </w:rPr>
        <w:t>210</w:t>
      </w:r>
      <w:r w:rsidR="00636387" w:rsidRPr="00636387">
        <w:rPr>
          <w:color w:val="auto"/>
        </w:rPr>
        <w:t>,</w:t>
      </w:r>
      <w:r w:rsidRPr="00636387">
        <w:rPr>
          <w:color w:val="auto"/>
        </w:rPr>
        <w:t xml:space="preserve"> 167-179</w:t>
      </w:r>
      <w:r w:rsidR="00636387">
        <w:rPr>
          <w:color w:val="auto"/>
        </w:rPr>
        <w:t xml:space="preserve"> (</w:t>
      </w:r>
      <w:r w:rsidRPr="00636387">
        <w:rPr>
          <w:color w:val="auto"/>
        </w:rPr>
        <w:t>1996).</w:t>
      </w:r>
    </w:p>
    <w:p w14:paraId="5014E388" w14:textId="33241A68" w:rsidR="00044593" w:rsidRPr="00636387" w:rsidRDefault="002B7AAC">
      <w:pPr>
        <w:numPr>
          <w:ilvl w:val="1"/>
          <w:numId w:val="6"/>
        </w:numPr>
        <w:pBdr>
          <w:top w:val="nil"/>
          <w:left w:val="nil"/>
          <w:bottom w:val="nil"/>
          <w:right w:val="nil"/>
          <w:between w:val="nil"/>
        </w:pBdr>
        <w:ind w:left="0" w:firstLine="0"/>
        <w:rPr>
          <w:color w:val="auto"/>
        </w:rPr>
      </w:pPr>
      <w:proofErr w:type="spellStart"/>
      <w:r w:rsidRPr="00636387">
        <w:rPr>
          <w:color w:val="auto"/>
        </w:rPr>
        <w:t>Ansorg</w:t>
      </w:r>
      <w:proofErr w:type="spellEnd"/>
      <w:r w:rsidR="00982334">
        <w:rPr>
          <w:color w:val="auto"/>
        </w:rPr>
        <w:t>,</w:t>
      </w:r>
      <w:r w:rsidRPr="00636387">
        <w:rPr>
          <w:color w:val="auto"/>
        </w:rPr>
        <w:t xml:space="preserve"> A</w:t>
      </w:r>
      <w:r w:rsidR="00982334">
        <w:rPr>
          <w:color w:val="auto"/>
        </w:rPr>
        <w:t>.</w:t>
      </w:r>
      <w:r w:rsidRPr="00636387">
        <w:rPr>
          <w:color w:val="auto"/>
        </w:rPr>
        <w:t xml:space="preserve">, </w:t>
      </w:r>
      <w:proofErr w:type="spellStart"/>
      <w:r w:rsidRPr="00636387">
        <w:rPr>
          <w:color w:val="auto"/>
        </w:rPr>
        <w:t>Bornkessel</w:t>
      </w:r>
      <w:proofErr w:type="spellEnd"/>
      <w:r w:rsidR="00982334">
        <w:rPr>
          <w:color w:val="auto"/>
        </w:rPr>
        <w:t>,</w:t>
      </w:r>
      <w:r w:rsidRPr="00636387">
        <w:rPr>
          <w:color w:val="auto"/>
        </w:rPr>
        <w:t xml:space="preserve"> K</w:t>
      </w:r>
      <w:r w:rsidR="00982334">
        <w:rPr>
          <w:color w:val="auto"/>
        </w:rPr>
        <w:t>.</w:t>
      </w:r>
      <w:r w:rsidRPr="00636387">
        <w:rPr>
          <w:color w:val="auto"/>
        </w:rPr>
        <w:t>, Witte</w:t>
      </w:r>
      <w:r w:rsidR="00982334">
        <w:rPr>
          <w:color w:val="auto"/>
        </w:rPr>
        <w:t>,</w:t>
      </w:r>
      <w:r w:rsidRPr="00636387">
        <w:rPr>
          <w:color w:val="auto"/>
        </w:rPr>
        <w:t xml:space="preserve"> O</w:t>
      </w:r>
      <w:r w:rsidR="00982334">
        <w:rPr>
          <w:color w:val="auto"/>
        </w:rPr>
        <w:t>.</w:t>
      </w:r>
      <w:r w:rsidRPr="00636387">
        <w:rPr>
          <w:color w:val="auto"/>
        </w:rPr>
        <w:t>W</w:t>
      </w:r>
      <w:r w:rsidR="00982334">
        <w:rPr>
          <w:color w:val="auto"/>
        </w:rPr>
        <w:t>.</w:t>
      </w:r>
      <w:r w:rsidRPr="00636387">
        <w:rPr>
          <w:color w:val="auto"/>
        </w:rPr>
        <w:t xml:space="preserve">, </w:t>
      </w:r>
      <w:proofErr w:type="spellStart"/>
      <w:r w:rsidRPr="00636387">
        <w:rPr>
          <w:color w:val="auto"/>
        </w:rPr>
        <w:t>Urbach</w:t>
      </w:r>
      <w:proofErr w:type="spellEnd"/>
      <w:r w:rsidR="00982334">
        <w:rPr>
          <w:color w:val="auto"/>
        </w:rPr>
        <w:t>,</w:t>
      </w:r>
      <w:r w:rsidRPr="00636387">
        <w:rPr>
          <w:color w:val="auto"/>
        </w:rPr>
        <w:t xml:space="preserve"> A. </w:t>
      </w:r>
      <w:proofErr w:type="spellStart"/>
      <w:r w:rsidRPr="00636387">
        <w:rPr>
          <w:color w:val="auto"/>
        </w:rPr>
        <w:t>Immunohisto</w:t>
      </w:r>
      <w:proofErr w:type="spellEnd"/>
      <w:r w:rsidRPr="00636387">
        <w:rPr>
          <w:color w:val="auto"/>
        </w:rPr>
        <w:t>-chemistry and multiple labeling with antibodies from the same host species to study adult hippocampal neurogenesis.</w:t>
      </w:r>
      <w:r w:rsidR="00636387" w:rsidRPr="00636387">
        <w:rPr>
          <w:i/>
          <w:iCs/>
          <w:color w:val="auto"/>
        </w:rPr>
        <w:t xml:space="preserve"> </w:t>
      </w:r>
      <w:r w:rsidR="00636387">
        <w:rPr>
          <w:i/>
          <w:iCs/>
          <w:color w:val="auto"/>
        </w:rPr>
        <w:t>Journal of Visualized Experiments</w:t>
      </w:r>
      <w:r w:rsidR="00636387" w:rsidRPr="00636387">
        <w:rPr>
          <w:color w:val="auto"/>
        </w:rPr>
        <w:t>.</w:t>
      </w:r>
      <w:r w:rsidR="00636387">
        <w:rPr>
          <w:color w:val="auto"/>
        </w:rPr>
        <w:t xml:space="preserve"> (</w:t>
      </w:r>
      <w:r w:rsidR="00636387" w:rsidRPr="00636387">
        <w:rPr>
          <w:color w:val="auto"/>
        </w:rPr>
        <w:t>98)</w:t>
      </w:r>
      <w:r w:rsidR="00636387">
        <w:rPr>
          <w:color w:val="auto"/>
        </w:rPr>
        <w:t xml:space="preserve">, </w:t>
      </w:r>
      <w:r w:rsidR="00636387" w:rsidRPr="00636387">
        <w:rPr>
          <w:color w:val="auto"/>
        </w:rPr>
        <w:t>52551</w:t>
      </w:r>
      <w:r w:rsidR="00636387">
        <w:rPr>
          <w:color w:val="auto"/>
        </w:rPr>
        <w:t xml:space="preserve"> (2015).</w:t>
      </w:r>
    </w:p>
    <w:p w14:paraId="4C69A848" w14:textId="5B70366A" w:rsidR="00044593" w:rsidRPr="00636387" w:rsidRDefault="002B7AAC">
      <w:pPr>
        <w:numPr>
          <w:ilvl w:val="1"/>
          <w:numId w:val="6"/>
        </w:numPr>
        <w:pBdr>
          <w:top w:val="nil"/>
          <w:left w:val="nil"/>
          <w:bottom w:val="nil"/>
          <w:right w:val="nil"/>
          <w:between w:val="nil"/>
        </w:pBdr>
        <w:ind w:left="0" w:firstLine="0"/>
        <w:rPr>
          <w:color w:val="auto"/>
        </w:rPr>
      </w:pPr>
      <w:proofErr w:type="spellStart"/>
      <w:r w:rsidRPr="00636387">
        <w:rPr>
          <w:color w:val="auto"/>
        </w:rPr>
        <w:t>Tóth</w:t>
      </w:r>
      <w:proofErr w:type="spellEnd"/>
      <w:r w:rsidR="00982334">
        <w:rPr>
          <w:color w:val="auto"/>
        </w:rPr>
        <w:t>,</w:t>
      </w:r>
      <w:r w:rsidRPr="00636387">
        <w:rPr>
          <w:color w:val="auto"/>
        </w:rPr>
        <w:t xml:space="preserve"> Z</w:t>
      </w:r>
      <w:r w:rsidR="00982334">
        <w:rPr>
          <w:color w:val="auto"/>
        </w:rPr>
        <w:t>.</w:t>
      </w:r>
      <w:r w:rsidRPr="00636387">
        <w:rPr>
          <w:color w:val="auto"/>
        </w:rPr>
        <w:t>E</w:t>
      </w:r>
      <w:r w:rsidR="00982334">
        <w:rPr>
          <w:color w:val="auto"/>
        </w:rPr>
        <w:t>.</w:t>
      </w:r>
      <w:r w:rsidRPr="00636387">
        <w:rPr>
          <w:color w:val="auto"/>
        </w:rPr>
        <w:t xml:space="preserve">, </w:t>
      </w:r>
      <w:proofErr w:type="spellStart"/>
      <w:r w:rsidRPr="00636387">
        <w:rPr>
          <w:color w:val="auto"/>
        </w:rPr>
        <w:t>Mezey</w:t>
      </w:r>
      <w:proofErr w:type="spellEnd"/>
      <w:r w:rsidR="00982334">
        <w:rPr>
          <w:color w:val="auto"/>
        </w:rPr>
        <w:t>,</w:t>
      </w:r>
      <w:r w:rsidRPr="00636387">
        <w:rPr>
          <w:color w:val="auto"/>
        </w:rPr>
        <w:t xml:space="preserve"> E. Simultaneous visualization of multi-</w:t>
      </w:r>
      <w:proofErr w:type="spellStart"/>
      <w:r w:rsidRPr="00636387">
        <w:rPr>
          <w:color w:val="auto"/>
        </w:rPr>
        <w:t>ple</w:t>
      </w:r>
      <w:proofErr w:type="spellEnd"/>
      <w:r w:rsidRPr="00636387">
        <w:rPr>
          <w:color w:val="auto"/>
        </w:rPr>
        <w:t xml:space="preserve"> antigens with </w:t>
      </w:r>
      <w:proofErr w:type="spellStart"/>
      <w:r w:rsidRPr="00636387">
        <w:rPr>
          <w:color w:val="auto"/>
        </w:rPr>
        <w:t>tyramide</w:t>
      </w:r>
      <w:proofErr w:type="spellEnd"/>
      <w:r w:rsidRPr="00636387">
        <w:rPr>
          <w:color w:val="auto"/>
        </w:rPr>
        <w:t xml:space="preserve"> signal amplification using antibodies from the same species.</w:t>
      </w:r>
      <w:r w:rsidR="00636387" w:rsidRPr="00636387">
        <w:rPr>
          <w:color w:val="auto"/>
        </w:rPr>
        <w:t xml:space="preserve"> </w:t>
      </w:r>
      <w:r w:rsidR="00636387" w:rsidRPr="00636387">
        <w:rPr>
          <w:i/>
          <w:iCs/>
          <w:color w:val="auto"/>
        </w:rPr>
        <w:t>Journal of Histochemistry and Cytochemistry</w:t>
      </w:r>
      <w:r w:rsidR="00636387" w:rsidRPr="00636387">
        <w:rPr>
          <w:color w:val="auto"/>
        </w:rPr>
        <w:t xml:space="preserve">. </w:t>
      </w:r>
      <w:r w:rsidR="00636387" w:rsidRPr="00636387">
        <w:rPr>
          <w:b/>
          <w:bCs/>
          <w:color w:val="auto"/>
        </w:rPr>
        <w:t>55</w:t>
      </w:r>
      <w:r w:rsidR="00636387">
        <w:rPr>
          <w:color w:val="auto"/>
        </w:rPr>
        <w:t xml:space="preserve"> (</w:t>
      </w:r>
      <w:r w:rsidR="00636387" w:rsidRPr="00636387">
        <w:rPr>
          <w:color w:val="auto"/>
        </w:rPr>
        <w:t>6</w:t>
      </w:r>
      <w:r w:rsidR="00636387">
        <w:rPr>
          <w:color w:val="auto"/>
        </w:rPr>
        <w:t xml:space="preserve">), </w:t>
      </w:r>
      <w:r w:rsidR="00636387" w:rsidRPr="00636387">
        <w:rPr>
          <w:color w:val="auto"/>
        </w:rPr>
        <w:t>545</w:t>
      </w:r>
      <w:r w:rsidR="00636387">
        <w:rPr>
          <w:color w:val="auto"/>
        </w:rPr>
        <w:t xml:space="preserve"> (2007).</w:t>
      </w:r>
    </w:p>
    <w:p w14:paraId="0C699DC3" w14:textId="3DB67C80"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Ma</w:t>
      </w:r>
      <w:r w:rsidR="00982334">
        <w:rPr>
          <w:color w:val="auto"/>
        </w:rPr>
        <w:t>,</w:t>
      </w:r>
      <w:r w:rsidRPr="00636387">
        <w:rPr>
          <w:color w:val="auto"/>
        </w:rPr>
        <w:t xml:space="preserve"> B</w:t>
      </w:r>
      <w:r w:rsidR="00982334">
        <w:rPr>
          <w:color w:val="auto"/>
        </w:rPr>
        <w:t>.</w:t>
      </w:r>
      <w:r w:rsidRPr="00636387">
        <w:rPr>
          <w:color w:val="auto"/>
        </w:rPr>
        <w:t xml:space="preserve">, </w:t>
      </w:r>
      <w:proofErr w:type="spellStart"/>
      <w:r w:rsidRPr="00636387">
        <w:rPr>
          <w:color w:val="auto"/>
        </w:rPr>
        <w:t>Winkelbach</w:t>
      </w:r>
      <w:proofErr w:type="spellEnd"/>
      <w:r w:rsidR="00982334">
        <w:rPr>
          <w:color w:val="auto"/>
        </w:rPr>
        <w:t>,</w:t>
      </w:r>
      <w:r w:rsidRPr="00636387">
        <w:rPr>
          <w:color w:val="auto"/>
        </w:rPr>
        <w:t xml:space="preserve"> S</w:t>
      </w:r>
      <w:r w:rsidR="00982334">
        <w:rPr>
          <w:color w:val="auto"/>
        </w:rPr>
        <w:t>.</w:t>
      </w:r>
      <w:r w:rsidRPr="00636387">
        <w:rPr>
          <w:color w:val="auto"/>
        </w:rPr>
        <w:t xml:space="preserve">, </w:t>
      </w:r>
      <w:proofErr w:type="spellStart"/>
      <w:r w:rsidRPr="00636387">
        <w:rPr>
          <w:color w:val="auto"/>
        </w:rPr>
        <w:t>Lindenmaier</w:t>
      </w:r>
      <w:proofErr w:type="spellEnd"/>
      <w:r w:rsidR="00982334">
        <w:rPr>
          <w:color w:val="auto"/>
        </w:rPr>
        <w:t>,</w:t>
      </w:r>
      <w:r w:rsidRPr="00636387">
        <w:rPr>
          <w:color w:val="auto"/>
        </w:rPr>
        <w:t xml:space="preserve"> W</w:t>
      </w:r>
      <w:r w:rsidR="00982334">
        <w:rPr>
          <w:color w:val="auto"/>
        </w:rPr>
        <w:t>.</w:t>
      </w:r>
      <w:r w:rsidRPr="00636387">
        <w:rPr>
          <w:color w:val="auto"/>
        </w:rPr>
        <w:t>, Dittmar</w:t>
      </w:r>
      <w:r w:rsidR="00982334">
        <w:rPr>
          <w:color w:val="auto"/>
        </w:rPr>
        <w:t>,</w:t>
      </w:r>
      <w:r w:rsidRPr="00636387">
        <w:rPr>
          <w:color w:val="auto"/>
        </w:rPr>
        <w:t xml:space="preserve"> K</w:t>
      </w:r>
      <w:r w:rsidR="00982334">
        <w:rPr>
          <w:color w:val="auto"/>
        </w:rPr>
        <w:t>.</w:t>
      </w:r>
      <w:r w:rsidRPr="00636387">
        <w:rPr>
          <w:color w:val="auto"/>
        </w:rPr>
        <w:t>E. Six-</w:t>
      </w:r>
      <w:proofErr w:type="spellStart"/>
      <w:r w:rsidRPr="00636387">
        <w:rPr>
          <w:color w:val="auto"/>
        </w:rPr>
        <w:t>colour</w:t>
      </w:r>
      <w:proofErr w:type="spellEnd"/>
      <w:r w:rsidRPr="00636387">
        <w:rPr>
          <w:color w:val="auto"/>
        </w:rPr>
        <w:t xml:space="preserve"> fluorescent imaging of lymphoid tissue based on </w:t>
      </w:r>
      <w:proofErr w:type="spellStart"/>
      <w:r w:rsidRPr="00636387">
        <w:rPr>
          <w:color w:val="auto"/>
        </w:rPr>
        <w:t>colour</w:t>
      </w:r>
      <w:proofErr w:type="spellEnd"/>
      <w:r w:rsidRPr="00636387">
        <w:rPr>
          <w:color w:val="auto"/>
        </w:rPr>
        <w:t xml:space="preserve"> addition theory.</w:t>
      </w:r>
      <w:r w:rsidR="00636387" w:rsidRPr="00636387">
        <w:rPr>
          <w:color w:val="auto"/>
        </w:rPr>
        <w:t xml:space="preserve"> </w:t>
      </w:r>
      <w:r w:rsidR="00636387" w:rsidRPr="00636387">
        <w:rPr>
          <w:i/>
          <w:iCs/>
          <w:color w:val="auto"/>
        </w:rPr>
        <w:t xml:space="preserve">Acta </w:t>
      </w:r>
      <w:proofErr w:type="spellStart"/>
      <w:r w:rsidR="00636387" w:rsidRPr="00636387">
        <w:rPr>
          <w:i/>
          <w:iCs/>
          <w:color w:val="auto"/>
        </w:rPr>
        <w:t>Histochemica</w:t>
      </w:r>
      <w:proofErr w:type="spellEnd"/>
      <w:r w:rsidR="00636387" w:rsidRPr="00636387">
        <w:rPr>
          <w:color w:val="auto"/>
        </w:rPr>
        <w:t xml:space="preserve">. </w:t>
      </w:r>
      <w:r w:rsidR="00636387" w:rsidRPr="00636387">
        <w:rPr>
          <w:b/>
          <w:bCs/>
          <w:color w:val="auto"/>
        </w:rPr>
        <w:t>108</w:t>
      </w:r>
      <w:r w:rsidR="00636387">
        <w:rPr>
          <w:color w:val="auto"/>
        </w:rPr>
        <w:t xml:space="preserve"> (</w:t>
      </w:r>
      <w:r w:rsidR="00636387" w:rsidRPr="00636387">
        <w:rPr>
          <w:color w:val="auto"/>
        </w:rPr>
        <w:t>4</w:t>
      </w:r>
      <w:r w:rsidR="00636387">
        <w:rPr>
          <w:color w:val="auto"/>
        </w:rPr>
        <w:t xml:space="preserve">), </w:t>
      </w:r>
      <w:r w:rsidR="00636387" w:rsidRPr="00636387">
        <w:rPr>
          <w:color w:val="auto"/>
        </w:rPr>
        <w:t>243</w:t>
      </w:r>
      <w:r w:rsidR="00636387">
        <w:rPr>
          <w:color w:val="auto"/>
        </w:rPr>
        <w:t xml:space="preserve"> (2006).</w:t>
      </w:r>
    </w:p>
    <w:p w14:paraId="4AD5FFE1" w14:textId="25F54363" w:rsidR="00044593" w:rsidRPr="00636387" w:rsidRDefault="002B7AAC">
      <w:pPr>
        <w:numPr>
          <w:ilvl w:val="1"/>
          <w:numId w:val="6"/>
        </w:numPr>
        <w:pBdr>
          <w:top w:val="nil"/>
          <w:left w:val="nil"/>
          <w:bottom w:val="nil"/>
          <w:right w:val="nil"/>
          <w:between w:val="nil"/>
        </w:pBdr>
        <w:ind w:left="0" w:firstLine="0"/>
        <w:rPr>
          <w:color w:val="auto"/>
        </w:rPr>
      </w:pPr>
      <w:proofErr w:type="spellStart"/>
      <w:r w:rsidRPr="00636387">
        <w:rPr>
          <w:color w:val="auto"/>
        </w:rPr>
        <w:t>Buchwalow</w:t>
      </w:r>
      <w:proofErr w:type="spellEnd"/>
      <w:r w:rsidR="00982334">
        <w:rPr>
          <w:color w:val="auto"/>
        </w:rPr>
        <w:t>,</w:t>
      </w:r>
      <w:r w:rsidRPr="00636387">
        <w:rPr>
          <w:color w:val="auto"/>
        </w:rPr>
        <w:t xml:space="preserve"> I</w:t>
      </w:r>
      <w:r w:rsidR="00982334">
        <w:rPr>
          <w:color w:val="auto"/>
        </w:rPr>
        <w:t>.</w:t>
      </w:r>
      <w:r w:rsidRPr="00636387">
        <w:rPr>
          <w:color w:val="auto"/>
        </w:rPr>
        <w:t>B</w:t>
      </w:r>
      <w:r w:rsidR="00982334">
        <w:rPr>
          <w:color w:val="auto"/>
        </w:rPr>
        <w:t>.</w:t>
      </w:r>
      <w:r w:rsidRPr="00636387">
        <w:rPr>
          <w:color w:val="auto"/>
        </w:rPr>
        <w:t xml:space="preserve">, </w:t>
      </w:r>
      <w:proofErr w:type="spellStart"/>
      <w:r w:rsidRPr="00636387">
        <w:rPr>
          <w:color w:val="auto"/>
        </w:rPr>
        <w:t>Minin</w:t>
      </w:r>
      <w:proofErr w:type="spellEnd"/>
      <w:r w:rsidR="00982334">
        <w:rPr>
          <w:color w:val="auto"/>
        </w:rPr>
        <w:t>,</w:t>
      </w:r>
      <w:r w:rsidRPr="00636387">
        <w:rPr>
          <w:color w:val="auto"/>
        </w:rPr>
        <w:t xml:space="preserve"> E</w:t>
      </w:r>
      <w:r w:rsidR="00982334">
        <w:rPr>
          <w:color w:val="auto"/>
        </w:rPr>
        <w:t>.</w:t>
      </w:r>
      <w:r w:rsidRPr="00636387">
        <w:rPr>
          <w:color w:val="auto"/>
        </w:rPr>
        <w:t>A</w:t>
      </w:r>
      <w:r w:rsidR="00982334">
        <w:rPr>
          <w:color w:val="auto"/>
        </w:rPr>
        <w:t>.</w:t>
      </w:r>
      <w:r w:rsidRPr="00636387">
        <w:rPr>
          <w:color w:val="auto"/>
        </w:rPr>
        <w:t xml:space="preserve">, </w:t>
      </w:r>
      <w:proofErr w:type="spellStart"/>
      <w:r w:rsidRPr="00636387">
        <w:rPr>
          <w:color w:val="auto"/>
        </w:rPr>
        <w:t>Boecker</w:t>
      </w:r>
      <w:proofErr w:type="spellEnd"/>
      <w:r w:rsidR="00982334">
        <w:rPr>
          <w:color w:val="auto"/>
        </w:rPr>
        <w:t>,</w:t>
      </w:r>
      <w:r w:rsidRPr="00636387">
        <w:rPr>
          <w:color w:val="auto"/>
        </w:rPr>
        <w:t xml:space="preserve"> W. A multicolor fluorescence immunostaining technique for simultaneous antigen targeting.</w:t>
      </w:r>
      <w:r w:rsidR="00636387" w:rsidRPr="00636387">
        <w:rPr>
          <w:color w:val="auto"/>
        </w:rPr>
        <w:t xml:space="preserve"> </w:t>
      </w:r>
      <w:r w:rsidR="00636387" w:rsidRPr="00636387">
        <w:rPr>
          <w:i/>
          <w:iCs/>
          <w:color w:val="auto"/>
        </w:rPr>
        <w:t xml:space="preserve">Acta </w:t>
      </w:r>
      <w:proofErr w:type="spellStart"/>
      <w:r w:rsidR="00636387" w:rsidRPr="00636387">
        <w:rPr>
          <w:i/>
          <w:iCs/>
          <w:color w:val="auto"/>
        </w:rPr>
        <w:t>Histochemica</w:t>
      </w:r>
      <w:proofErr w:type="spellEnd"/>
      <w:r w:rsidR="00636387" w:rsidRPr="00636387">
        <w:rPr>
          <w:color w:val="auto"/>
        </w:rPr>
        <w:t xml:space="preserve">. </w:t>
      </w:r>
      <w:r w:rsidR="00636387" w:rsidRPr="00636387">
        <w:rPr>
          <w:b/>
          <w:bCs/>
          <w:color w:val="auto"/>
        </w:rPr>
        <w:t>107</w:t>
      </w:r>
      <w:r w:rsidR="00636387">
        <w:rPr>
          <w:color w:val="auto"/>
        </w:rPr>
        <w:t xml:space="preserve"> (</w:t>
      </w:r>
      <w:r w:rsidR="00636387" w:rsidRPr="00636387">
        <w:rPr>
          <w:color w:val="auto"/>
        </w:rPr>
        <w:t>2</w:t>
      </w:r>
      <w:r w:rsidR="00636387">
        <w:rPr>
          <w:color w:val="auto"/>
        </w:rPr>
        <w:t xml:space="preserve">), </w:t>
      </w:r>
      <w:r w:rsidR="00636387" w:rsidRPr="00636387">
        <w:rPr>
          <w:color w:val="auto"/>
        </w:rPr>
        <w:t>143</w:t>
      </w:r>
      <w:r w:rsidR="00636387">
        <w:rPr>
          <w:color w:val="auto"/>
        </w:rPr>
        <w:t xml:space="preserve"> (200</w:t>
      </w:r>
      <w:r w:rsidR="00636387">
        <w:rPr>
          <w:color w:val="auto"/>
        </w:rPr>
        <w:t>5</w:t>
      </w:r>
      <w:r w:rsidR="00636387">
        <w:rPr>
          <w:color w:val="auto"/>
        </w:rPr>
        <w:t>).</w:t>
      </w:r>
    </w:p>
    <w:p w14:paraId="0EC643DE" w14:textId="18251F1B"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lang w:val="pt-BR"/>
        </w:rPr>
        <w:t>Nakamura</w:t>
      </w:r>
      <w:r w:rsidR="00982334">
        <w:rPr>
          <w:color w:val="auto"/>
          <w:lang w:val="pt-BR"/>
        </w:rPr>
        <w:t>,</w:t>
      </w:r>
      <w:r w:rsidRPr="00636387">
        <w:rPr>
          <w:color w:val="auto"/>
          <w:lang w:val="pt-BR"/>
        </w:rPr>
        <w:t xml:space="preserve"> A</w:t>
      </w:r>
      <w:r w:rsidR="00982334">
        <w:rPr>
          <w:color w:val="auto"/>
          <w:lang w:val="pt-BR"/>
        </w:rPr>
        <w:t>.</w:t>
      </w:r>
      <w:r w:rsidRPr="00636387">
        <w:rPr>
          <w:color w:val="auto"/>
          <w:lang w:val="pt-BR"/>
        </w:rPr>
        <w:t>, Uchihara</w:t>
      </w:r>
      <w:r w:rsidR="00982334">
        <w:rPr>
          <w:color w:val="auto"/>
          <w:lang w:val="pt-BR"/>
        </w:rPr>
        <w:t>,</w:t>
      </w:r>
      <w:r w:rsidRPr="00636387">
        <w:rPr>
          <w:color w:val="auto"/>
          <w:lang w:val="pt-BR"/>
        </w:rPr>
        <w:t xml:space="preserve"> T. </w:t>
      </w:r>
      <w:r w:rsidRPr="00636387">
        <w:rPr>
          <w:color w:val="auto"/>
        </w:rPr>
        <w:t>Dual enhancement of triple immunofluorescence using two antibodies from the same species.</w:t>
      </w:r>
      <w:r w:rsidR="00636387" w:rsidRPr="00636387">
        <w:rPr>
          <w:color w:val="auto"/>
          <w:lang w:val="pt-BR"/>
        </w:rPr>
        <w:t xml:space="preserve"> </w:t>
      </w:r>
      <w:r w:rsidR="00636387" w:rsidRPr="00636387">
        <w:rPr>
          <w:i/>
          <w:iCs/>
          <w:color w:val="auto"/>
          <w:lang w:val="pt-BR"/>
        </w:rPr>
        <w:t>Journal of Neuroscience Methods</w:t>
      </w:r>
      <w:r w:rsidR="00636387" w:rsidRPr="00636387">
        <w:rPr>
          <w:color w:val="auto"/>
          <w:lang w:val="pt-BR"/>
        </w:rPr>
        <w:t xml:space="preserve">. </w:t>
      </w:r>
      <w:r w:rsidR="00636387" w:rsidRPr="00636387">
        <w:rPr>
          <w:b/>
          <w:bCs/>
          <w:color w:val="auto"/>
        </w:rPr>
        <w:t>135</w:t>
      </w:r>
      <w:r w:rsidR="00636387">
        <w:rPr>
          <w:color w:val="auto"/>
        </w:rPr>
        <w:t xml:space="preserve"> (</w:t>
      </w:r>
      <w:r w:rsidR="00636387" w:rsidRPr="00636387">
        <w:rPr>
          <w:color w:val="auto"/>
        </w:rPr>
        <w:t>1-2</w:t>
      </w:r>
      <w:r w:rsidR="00636387">
        <w:rPr>
          <w:color w:val="auto"/>
        </w:rPr>
        <w:t xml:space="preserve">), </w:t>
      </w:r>
      <w:r w:rsidR="00636387" w:rsidRPr="00636387">
        <w:rPr>
          <w:color w:val="auto"/>
        </w:rPr>
        <w:t>67</w:t>
      </w:r>
      <w:r w:rsidR="00636387">
        <w:rPr>
          <w:color w:val="auto"/>
        </w:rPr>
        <w:t xml:space="preserve"> (200</w:t>
      </w:r>
      <w:r w:rsidR="00636387">
        <w:rPr>
          <w:color w:val="auto"/>
        </w:rPr>
        <w:t>4</w:t>
      </w:r>
      <w:r w:rsidR="00636387">
        <w:rPr>
          <w:color w:val="auto"/>
        </w:rPr>
        <w:t>).</w:t>
      </w:r>
    </w:p>
    <w:p w14:paraId="6726490E" w14:textId="144150AE"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McCormick</w:t>
      </w:r>
      <w:r w:rsidR="00982334">
        <w:rPr>
          <w:color w:val="auto"/>
        </w:rPr>
        <w:t>,</w:t>
      </w:r>
      <w:r w:rsidRPr="00636387">
        <w:rPr>
          <w:color w:val="auto"/>
        </w:rPr>
        <w:t xml:space="preserve"> J</w:t>
      </w:r>
      <w:r w:rsidR="00982334">
        <w:rPr>
          <w:color w:val="auto"/>
        </w:rPr>
        <w:t>.</w:t>
      </w:r>
      <w:r w:rsidRPr="00636387">
        <w:rPr>
          <w:color w:val="auto"/>
        </w:rPr>
        <w:t>, Lim</w:t>
      </w:r>
      <w:r w:rsidR="00982334">
        <w:rPr>
          <w:color w:val="auto"/>
        </w:rPr>
        <w:t>,</w:t>
      </w:r>
      <w:r w:rsidRPr="00636387">
        <w:rPr>
          <w:color w:val="auto"/>
        </w:rPr>
        <w:t xml:space="preserve"> I</w:t>
      </w:r>
      <w:r w:rsidR="00982334">
        <w:rPr>
          <w:color w:val="auto"/>
        </w:rPr>
        <w:t>.</w:t>
      </w:r>
      <w:r w:rsidRPr="00636387">
        <w:rPr>
          <w:color w:val="auto"/>
        </w:rPr>
        <w:t>, Nichols</w:t>
      </w:r>
      <w:r w:rsidR="00982334">
        <w:rPr>
          <w:color w:val="auto"/>
        </w:rPr>
        <w:t>,</w:t>
      </w:r>
      <w:r w:rsidRPr="00636387">
        <w:rPr>
          <w:color w:val="auto"/>
        </w:rPr>
        <w:t xml:space="preserve"> R. Neuropeptide precursor pro-</w:t>
      </w:r>
      <w:proofErr w:type="spellStart"/>
      <w:r w:rsidRPr="00636387">
        <w:rPr>
          <w:color w:val="auto"/>
        </w:rPr>
        <w:t>cessing</w:t>
      </w:r>
      <w:proofErr w:type="spellEnd"/>
      <w:r w:rsidRPr="00636387">
        <w:rPr>
          <w:color w:val="auto"/>
        </w:rPr>
        <w:t xml:space="preserve"> detected by triple immunolabeling.</w:t>
      </w:r>
      <w:r w:rsidR="00636387" w:rsidRPr="00636387">
        <w:rPr>
          <w:color w:val="auto"/>
        </w:rPr>
        <w:t xml:space="preserve"> </w:t>
      </w:r>
      <w:r w:rsidR="00636387" w:rsidRPr="00636387">
        <w:rPr>
          <w:i/>
          <w:iCs/>
          <w:color w:val="auto"/>
        </w:rPr>
        <w:t>Cell and Tissue Research</w:t>
      </w:r>
      <w:r w:rsidR="00636387" w:rsidRPr="00636387">
        <w:rPr>
          <w:color w:val="auto"/>
        </w:rPr>
        <w:t xml:space="preserve">. </w:t>
      </w:r>
      <w:r w:rsidR="00636387" w:rsidRPr="00636387">
        <w:rPr>
          <w:b/>
          <w:bCs/>
          <w:color w:val="auto"/>
        </w:rPr>
        <w:t>297</w:t>
      </w:r>
      <w:r w:rsidR="00636387">
        <w:rPr>
          <w:color w:val="auto"/>
        </w:rPr>
        <w:t xml:space="preserve"> (</w:t>
      </w:r>
      <w:r w:rsidR="00636387" w:rsidRPr="00636387">
        <w:rPr>
          <w:color w:val="auto"/>
        </w:rPr>
        <w:t>2</w:t>
      </w:r>
      <w:r w:rsidR="00636387">
        <w:rPr>
          <w:color w:val="auto"/>
        </w:rPr>
        <w:t xml:space="preserve">), </w:t>
      </w:r>
      <w:r w:rsidR="00636387" w:rsidRPr="00636387">
        <w:rPr>
          <w:color w:val="auto"/>
        </w:rPr>
        <w:t>197</w:t>
      </w:r>
      <w:r w:rsidR="00636387">
        <w:rPr>
          <w:color w:val="auto"/>
        </w:rPr>
        <w:t xml:space="preserve"> (</w:t>
      </w:r>
      <w:r w:rsidR="00636387">
        <w:rPr>
          <w:color w:val="auto"/>
        </w:rPr>
        <w:t>1999</w:t>
      </w:r>
      <w:r w:rsidR="00636387">
        <w:rPr>
          <w:color w:val="auto"/>
        </w:rPr>
        <w:t>).</w:t>
      </w:r>
    </w:p>
    <w:p w14:paraId="42CD7AC6" w14:textId="2A74E715" w:rsidR="00044593" w:rsidRPr="00636387" w:rsidRDefault="002B7AAC">
      <w:pPr>
        <w:numPr>
          <w:ilvl w:val="1"/>
          <w:numId w:val="6"/>
        </w:numPr>
        <w:pBdr>
          <w:top w:val="nil"/>
          <w:left w:val="nil"/>
          <w:bottom w:val="nil"/>
          <w:right w:val="nil"/>
          <w:between w:val="nil"/>
        </w:pBdr>
        <w:ind w:left="0" w:firstLine="0"/>
        <w:rPr>
          <w:color w:val="auto"/>
        </w:rPr>
      </w:pPr>
      <w:proofErr w:type="spellStart"/>
      <w:r w:rsidRPr="00636387">
        <w:rPr>
          <w:color w:val="auto"/>
        </w:rPr>
        <w:t>Shindler</w:t>
      </w:r>
      <w:proofErr w:type="spellEnd"/>
      <w:r w:rsidR="00982334">
        <w:rPr>
          <w:color w:val="auto"/>
        </w:rPr>
        <w:t>,</w:t>
      </w:r>
      <w:r w:rsidRPr="00636387">
        <w:rPr>
          <w:color w:val="auto"/>
        </w:rPr>
        <w:t xml:space="preserve"> </w:t>
      </w:r>
      <w:r w:rsidR="00982334" w:rsidRPr="00636387">
        <w:rPr>
          <w:color w:val="auto"/>
        </w:rPr>
        <w:t>K</w:t>
      </w:r>
      <w:r w:rsidR="00982334">
        <w:rPr>
          <w:color w:val="auto"/>
        </w:rPr>
        <w:t>.</w:t>
      </w:r>
      <w:r w:rsidR="00982334" w:rsidRPr="00636387">
        <w:rPr>
          <w:color w:val="auto"/>
        </w:rPr>
        <w:t>S</w:t>
      </w:r>
      <w:r w:rsidR="00982334">
        <w:rPr>
          <w:color w:val="auto"/>
        </w:rPr>
        <w:t>.</w:t>
      </w:r>
      <w:r w:rsidRPr="00636387">
        <w:rPr>
          <w:color w:val="auto"/>
        </w:rPr>
        <w:t>, Roth</w:t>
      </w:r>
      <w:r w:rsidR="00982334">
        <w:rPr>
          <w:color w:val="auto"/>
        </w:rPr>
        <w:t>,</w:t>
      </w:r>
      <w:r w:rsidR="00982334" w:rsidRPr="00982334">
        <w:rPr>
          <w:color w:val="auto"/>
        </w:rPr>
        <w:t xml:space="preserve"> </w:t>
      </w:r>
      <w:r w:rsidR="00982334" w:rsidRPr="00636387">
        <w:rPr>
          <w:color w:val="auto"/>
        </w:rPr>
        <w:t>K</w:t>
      </w:r>
      <w:r w:rsidR="00982334">
        <w:rPr>
          <w:color w:val="auto"/>
        </w:rPr>
        <w:t>.</w:t>
      </w:r>
      <w:r w:rsidR="00982334" w:rsidRPr="00636387">
        <w:rPr>
          <w:color w:val="auto"/>
        </w:rPr>
        <w:t>A</w:t>
      </w:r>
      <w:r w:rsidR="00636387">
        <w:rPr>
          <w:color w:val="auto"/>
        </w:rPr>
        <w:t xml:space="preserve">. </w:t>
      </w:r>
      <w:r w:rsidRPr="00636387">
        <w:rPr>
          <w:color w:val="auto"/>
        </w:rPr>
        <w:t>Double immunofluorescent staining using two unconjugated primary antisera raised in the same species</w:t>
      </w:r>
      <w:r w:rsidR="00636387">
        <w:rPr>
          <w:color w:val="auto"/>
        </w:rPr>
        <w:t>.</w:t>
      </w:r>
      <w:r w:rsidRPr="00636387">
        <w:rPr>
          <w:color w:val="auto"/>
        </w:rPr>
        <w:t xml:space="preserve"> </w:t>
      </w:r>
      <w:r w:rsidR="00636387" w:rsidRPr="00636387">
        <w:rPr>
          <w:i/>
          <w:iCs/>
          <w:color w:val="auto"/>
        </w:rPr>
        <w:t>Journal of Histochemistry and Cytochemistry</w:t>
      </w:r>
      <w:r w:rsidR="00636387">
        <w:rPr>
          <w:color w:val="auto"/>
        </w:rPr>
        <w:t>.</w:t>
      </w:r>
      <w:r w:rsidRPr="00636387">
        <w:rPr>
          <w:color w:val="auto"/>
        </w:rPr>
        <w:t xml:space="preserve"> </w:t>
      </w:r>
      <w:r w:rsidRPr="00636387">
        <w:rPr>
          <w:b/>
          <w:bCs/>
          <w:color w:val="auto"/>
        </w:rPr>
        <w:t>44</w:t>
      </w:r>
      <w:r w:rsidR="00636387">
        <w:rPr>
          <w:color w:val="auto"/>
        </w:rPr>
        <w:t xml:space="preserve"> (</w:t>
      </w:r>
      <w:r w:rsidRPr="00636387">
        <w:rPr>
          <w:color w:val="auto"/>
        </w:rPr>
        <w:t>11</w:t>
      </w:r>
      <w:r w:rsidR="00636387">
        <w:rPr>
          <w:color w:val="auto"/>
        </w:rPr>
        <w:t xml:space="preserve">), </w:t>
      </w:r>
      <w:r w:rsidRPr="00636387">
        <w:rPr>
          <w:color w:val="auto"/>
        </w:rPr>
        <w:t>1331</w:t>
      </w:r>
      <w:r w:rsidR="00636387">
        <w:rPr>
          <w:color w:val="auto"/>
        </w:rPr>
        <w:t xml:space="preserve"> (</w:t>
      </w:r>
      <w:r w:rsidR="00636387">
        <w:rPr>
          <w:color w:val="auto"/>
        </w:rPr>
        <w:t>1996</w:t>
      </w:r>
      <w:r w:rsidR="00636387">
        <w:rPr>
          <w:color w:val="auto"/>
        </w:rPr>
        <w:t>).</w:t>
      </w:r>
    </w:p>
    <w:p w14:paraId="5FEBCBDA" w14:textId="40E1A814"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Wang</w:t>
      </w:r>
      <w:r w:rsidR="00982334">
        <w:rPr>
          <w:color w:val="auto"/>
        </w:rPr>
        <w:t>,</w:t>
      </w:r>
      <w:r w:rsidRPr="00636387">
        <w:rPr>
          <w:color w:val="auto"/>
        </w:rPr>
        <w:t xml:space="preserve"> B</w:t>
      </w:r>
      <w:r w:rsidR="00982334">
        <w:rPr>
          <w:color w:val="auto"/>
        </w:rPr>
        <w:t>.</w:t>
      </w:r>
      <w:r w:rsidRPr="00636387">
        <w:rPr>
          <w:color w:val="auto"/>
        </w:rPr>
        <w:t>L</w:t>
      </w:r>
      <w:r w:rsidR="00982334">
        <w:rPr>
          <w:color w:val="auto"/>
        </w:rPr>
        <w:t>.</w:t>
      </w:r>
      <w:r w:rsidRPr="00636387">
        <w:rPr>
          <w:color w:val="auto"/>
        </w:rPr>
        <w:t>, Larsson</w:t>
      </w:r>
      <w:r w:rsidR="00982334">
        <w:rPr>
          <w:color w:val="auto"/>
        </w:rPr>
        <w:t>,</w:t>
      </w:r>
      <w:r w:rsidRPr="00636387">
        <w:rPr>
          <w:color w:val="auto"/>
        </w:rPr>
        <w:t xml:space="preserve"> L</w:t>
      </w:r>
      <w:r w:rsidR="00982334">
        <w:rPr>
          <w:color w:val="auto"/>
        </w:rPr>
        <w:t>.</w:t>
      </w:r>
      <w:r w:rsidRPr="00636387">
        <w:rPr>
          <w:color w:val="auto"/>
        </w:rPr>
        <w:t>I. Simultaneous demonstration of multiple anti-gens by indirect immunofluorescence or immunogold staining. Novel light and electron microscopical double and triple staining method employing primary antibodies from the same species.</w:t>
      </w:r>
      <w:r w:rsidR="00636387" w:rsidRPr="00636387">
        <w:rPr>
          <w:color w:val="auto"/>
        </w:rPr>
        <w:t xml:space="preserve"> </w:t>
      </w:r>
      <w:r w:rsidR="00636387" w:rsidRPr="00636387">
        <w:rPr>
          <w:i/>
          <w:iCs/>
          <w:color w:val="auto"/>
        </w:rPr>
        <w:t>Histochemistry</w:t>
      </w:r>
      <w:r w:rsidR="00636387" w:rsidRPr="00636387">
        <w:rPr>
          <w:color w:val="auto"/>
        </w:rPr>
        <w:t xml:space="preserve">. </w:t>
      </w:r>
      <w:r w:rsidR="00636387" w:rsidRPr="00636387">
        <w:rPr>
          <w:b/>
          <w:bCs/>
          <w:color w:val="auto"/>
        </w:rPr>
        <w:t>83</w:t>
      </w:r>
      <w:r w:rsidR="00636387">
        <w:rPr>
          <w:color w:val="auto"/>
        </w:rPr>
        <w:t xml:space="preserve"> (</w:t>
      </w:r>
      <w:r w:rsidR="00636387" w:rsidRPr="00636387">
        <w:rPr>
          <w:color w:val="auto"/>
        </w:rPr>
        <w:t>1</w:t>
      </w:r>
      <w:r w:rsidR="00636387">
        <w:rPr>
          <w:color w:val="auto"/>
        </w:rPr>
        <w:t xml:space="preserve">), </w:t>
      </w:r>
      <w:r w:rsidR="00636387" w:rsidRPr="00636387">
        <w:rPr>
          <w:color w:val="auto"/>
        </w:rPr>
        <w:t>47</w:t>
      </w:r>
      <w:r w:rsidR="00636387">
        <w:rPr>
          <w:color w:val="auto"/>
        </w:rPr>
        <w:t xml:space="preserve"> (</w:t>
      </w:r>
      <w:r w:rsidR="00636387">
        <w:rPr>
          <w:color w:val="auto"/>
        </w:rPr>
        <w:t>1985</w:t>
      </w:r>
      <w:r w:rsidR="00636387">
        <w:rPr>
          <w:color w:val="auto"/>
        </w:rPr>
        <w:t>).</w:t>
      </w:r>
    </w:p>
    <w:p w14:paraId="73F866CC" w14:textId="4574D746"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 xml:space="preserve">Lewis Carl, S.A., </w:t>
      </w:r>
      <w:proofErr w:type="spellStart"/>
      <w:r w:rsidRPr="00636387">
        <w:rPr>
          <w:color w:val="auto"/>
        </w:rPr>
        <w:t>Gillete</w:t>
      </w:r>
      <w:proofErr w:type="spellEnd"/>
      <w:r w:rsidRPr="00636387">
        <w:rPr>
          <w:color w:val="auto"/>
        </w:rPr>
        <w:t xml:space="preserve">-Ferguson, I., Ferguson, D.G. An indirect immunofluorescence procedure for staining the same cryosection with two mouse monoclonal primary </w:t>
      </w:r>
      <w:r w:rsidRPr="00636387">
        <w:rPr>
          <w:color w:val="auto"/>
        </w:rPr>
        <w:lastRenderedPageBreak/>
        <w:t xml:space="preserve">antibodies. </w:t>
      </w:r>
      <w:r w:rsidR="00636387" w:rsidRPr="00636387">
        <w:rPr>
          <w:i/>
          <w:iCs/>
          <w:color w:val="auto"/>
        </w:rPr>
        <w:t>Journal of Histochemistry and Cytochemistry</w:t>
      </w:r>
      <w:r w:rsidRPr="00636387">
        <w:rPr>
          <w:color w:val="auto"/>
        </w:rPr>
        <w:t xml:space="preserve">. </w:t>
      </w:r>
      <w:r w:rsidRPr="00636387">
        <w:rPr>
          <w:b/>
          <w:bCs/>
          <w:color w:val="auto"/>
        </w:rPr>
        <w:t>41</w:t>
      </w:r>
      <w:r w:rsidR="00636387">
        <w:rPr>
          <w:color w:val="auto"/>
        </w:rPr>
        <w:t xml:space="preserve"> (</w:t>
      </w:r>
      <w:r w:rsidRPr="00636387">
        <w:rPr>
          <w:color w:val="auto"/>
        </w:rPr>
        <w:t>8), 1273-1278</w:t>
      </w:r>
      <w:r w:rsidR="00636387">
        <w:rPr>
          <w:color w:val="auto"/>
        </w:rPr>
        <w:t xml:space="preserve"> (</w:t>
      </w:r>
      <w:r w:rsidRPr="00636387">
        <w:rPr>
          <w:color w:val="auto"/>
        </w:rPr>
        <w:t>1993).</w:t>
      </w:r>
    </w:p>
    <w:p w14:paraId="1B8CA2F0" w14:textId="5D280A71" w:rsidR="00044593" w:rsidRPr="00636387" w:rsidRDefault="002B7AAC">
      <w:pPr>
        <w:numPr>
          <w:ilvl w:val="1"/>
          <w:numId w:val="6"/>
        </w:numPr>
        <w:pBdr>
          <w:top w:val="nil"/>
          <w:left w:val="nil"/>
          <w:bottom w:val="nil"/>
          <w:right w:val="nil"/>
          <w:between w:val="nil"/>
        </w:pBdr>
        <w:ind w:left="0" w:firstLine="0"/>
        <w:rPr>
          <w:color w:val="auto"/>
        </w:rPr>
      </w:pPr>
      <w:proofErr w:type="spellStart"/>
      <w:r w:rsidRPr="00636387">
        <w:rPr>
          <w:color w:val="auto"/>
        </w:rPr>
        <w:t>Pranchevicius</w:t>
      </w:r>
      <w:proofErr w:type="spellEnd"/>
      <w:r w:rsidRPr="00636387">
        <w:rPr>
          <w:color w:val="auto"/>
        </w:rPr>
        <w:t xml:space="preserve">, M. C. et al. Myosin </w:t>
      </w:r>
      <w:proofErr w:type="spellStart"/>
      <w:r w:rsidRPr="00636387">
        <w:rPr>
          <w:color w:val="auto"/>
        </w:rPr>
        <w:t>Va</w:t>
      </w:r>
      <w:proofErr w:type="spellEnd"/>
      <w:r w:rsidRPr="00636387">
        <w:rPr>
          <w:color w:val="auto"/>
        </w:rPr>
        <w:t xml:space="preserve"> phosphorylated on Ser1650 is found in nuclear speckles and redistributes to nucleoli upon inhibition of transcription. </w:t>
      </w:r>
      <w:r w:rsidR="00636387">
        <w:rPr>
          <w:i/>
          <w:color w:val="auto"/>
        </w:rPr>
        <w:t>Cell Motility and the Cytoskeleton</w:t>
      </w:r>
      <w:r w:rsidRPr="00636387">
        <w:rPr>
          <w:color w:val="auto"/>
        </w:rPr>
        <w:t xml:space="preserve">. </w:t>
      </w:r>
      <w:r w:rsidRPr="00636387">
        <w:rPr>
          <w:b/>
          <w:color w:val="auto"/>
        </w:rPr>
        <w:t>65</w:t>
      </w:r>
      <w:r w:rsidR="00636387">
        <w:rPr>
          <w:color w:val="auto"/>
        </w:rPr>
        <w:t xml:space="preserve"> (</w:t>
      </w:r>
      <w:r w:rsidRPr="00636387">
        <w:rPr>
          <w:color w:val="auto"/>
        </w:rPr>
        <w:t>6), 441-456</w:t>
      </w:r>
      <w:r w:rsidR="00636387">
        <w:rPr>
          <w:color w:val="auto"/>
        </w:rPr>
        <w:t xml:space="preserve"> (</w:t>
      </w:r>
      <w:r w:rsidRPr="00636387">
        <w:rPr>
          <w:color w:val="auto"/>
        </w:rPr>
        <w:t>2008).</w:t>
      </w:r>
    </w:p>
    <w:p w14:paraId="7D538A5B" w14:textId="1434AD91"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 xml:space="preserve">Moreira, B. P., de Castro, C. G., Prado, L. C. d. S., </w:t>
      </w:r>
      <w:r w:rsidR="002A7BDE" w:rsidRPr="00636387">
        <w:rPr>
          <w:color w:val="auto"/>
        </w:rPr>
        <w:t>da Fonseca</w:t>
      </w:r>
      <w:r w:rsidRPr="00636387">
        <w:rPr>
          <w:color w:val="auto"/>
        </w:rPr>
        <w:t>, C. K.</w:t>
      </w:r>
      <w:r w:rsidR="00636387">
        <w:rPr>
          <w:color w:val="auto"/>
        </w:rPr>
        <w:t xml:space="preserve">, </w:t>
      </w:r>
      <w:proofErr w:type="spellStart"/>
      <w:r w:rsidRPr="00636387">
        <w:rPr>
          <w:color w:val="auto"/>
        </w:rPr>
        <w:t>Baqui</w:t>
      </w:r>
      <w:proofErr w:type="spellEnd"/>
      <w:r w:rsidRPr="00636387">
        <w:rPr>
          <w:color w:val="auto"/>
        </w:rPr>
        <w:t xml:space="preserve">, M. M. A. Use of antibodies from the same host species in double labeling immunofluorescence on trypanosome cytoskeleton. </w:t>
      </w:r>
      <w:r w:rsidRPr="00636387">
        <w:rPr>
          <w:i/>
          <w:color w:val="auto"/>
        </w:rPr>
        <w:t>in Microscopy and Imaging Science: Practical Approaches to Applied Research and Education</w:t>
      </w:r>
      <w:r w:rsidRPr="00636387">
        <w:rPr>
          <w:color w:val="auto"/>
        </w:rPr>
        <w:t xml:space="preserve">. </w:t>
      </w:r>
      <w:r w:rsidR="002A7BDE" w:rsidRPr="00636387">
        <w:rPr>
          <w:b/>
          <w:color w:val="auto"/>
        </w:rPr>
        <w:t>7</w:t>
      </w:r>
      <w:r w:rsidR="00636387">
        <w:rPr>
          <w:color w:val="auto"/>
        </w:rPr>
        <w:t xml:space="preserve"> (</w:t>
      </w:r>
      <w:r w:rsidRPr="00636387">
        <w:rPr>
          <w:color w:val="auto"/>
        </w:rPr>
        <w:t>ed A. Méndez-Vilas)</w:t>
      </w:r>
      <w:r w:rsidR="002D3514" w:rsidRPr="00636387">
        <w:rPr>
          <w:color w:val="auto"/>
        </w:rPr>
        <w:t xml:space="preserve"> </w:t>
      </w:r>
      <w:r w:rsidRPr="00636387">
        <w:rPr>
          <w:color w:val="auto"/>
        </w:rPr>
        <w:t>374-378</w:t>
      </w:r>
      <w:r w:rsidR="00636387">
        <w:rPr>
          <w:color w:val="auto"/>
        </w:rPr>
        <w:t xml:space="preserve"> (</w:t>
      </w:r>
      <w:r w:rsidRPr="00636387">
        <w:rPr>
          <w:color w:val="auto"/>
        </w:rPr>
        <w:t>2016).</w:t>
      </w:r>
    </w:p>
    <w:p w14:paraId="08EFB59B" w14:textId="6A39E042"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Hull, R. N., Cherry, W. R.</w:t>
      </w:r>
      <w:r w:rsidR="00636387">
        <w:rPr>
          <w:color w:val="auto"/>
        </w:rPr>
        <w:t xml:space="preserve">, </w:t>
      </w:r>
      <w:proofErr w:type="spellStart"/>
      <w:r w:rsidRPr="00636387">
        <w:rPr>
          <w:color w:val="auto"/>
        </w:rPr>
        <w:t>Tritch</w:t>
      </w:r>
      <w:proofErr w:type="spellEnd"/>
      <w:r w:rsidRPr="00636387">
        <w:rPr>
          <w:color w:val="auto"/>
        </w:rPr>
        <w:t>, O. J. Growth characteristics of monkey kidney cell strains LLC-MK1, LLC-MK2, and LLC-MK2</w:t>
      </w:r>
      <w:r w:rsidR="00636387">
        <w:rPr>
          <w:color w:val="auto"/>
        </w:rPr>
        <w:t xml:space="preserve"> (</w:t>
      </w:r>
      <w:r w:rsidRPr="00636387">
        <w:rPr>
          <w:color w:val="auto"/>
        </w:rPr>
        <w:t xml:space="preserve">NCTC-3196) and their utility in virus research. </w:t>
      </w:r>
      <w:r w:rsidR="00636387">
        <w:rPr>
          <w:i/>
          <w:color w:val="auto"/>
        </w:rPr>
        <w:t>Journal of Experimental Medicine</w:t>
      </w:r>
      <w:r w:rsidRPr="00636387">
        <w:rPr>
          <w:color w:val="auto"/>
        </w:rPr>
        <w:t xml:space="preserve">. </w:t>
      </w:r>
      <w:r w:rsidRPr="00636387">
        <w:rPr>
          <w:b/>
          <w:color w:val="auto"/>
        </w:rPr>
        <w:t>115</w:t>
      </w:r>
      <w:r w:rsidR="00636387" w:rsidRPr="00636387">
        <w:rPr>
          <w:bCs/>
          <w:color w:val="auto"/>
        </w:rPr>
        <w:t>,</w:t>
      </w:r>
      <w:r w:rsidRPr="00636387">
        <w:rPr>
          <w:color w:val="auto"/>
        </w:rPr>
        <w:t xml:space="preserve"> 903-918</w:t>
      </w:r>
      <w:r w:rsidR="00636387">
        <w:rPr>
          <w:color w:val="auto"/>
        </w:rPr>
        <w:t xml:space="preserve"> (</w:t>
      </w:r>
      <w:r w:rsidRPr="00636387">
        <w:rPr>
          <w:color w:val="auto"/>
        </w:rPr>
        <w:t>1962).</w:t>
      </w:r>
    </w:p>
    <w:p w14:paraId="6F16A830" w14:textId="53A60931" w:rsidR="00044593" w:rsidRPr="00636387" w:rsidRDefault="002B7AAC">
      <w:pPr>
        <w:numPr>
          <w:ilvl w:val="1"/>
          <w:numId w:val="6"/>
        </w:numPr>
        <w:pBdr>
          <w:top w:val="nil"/>
          <w:left w:val="nil"/>
          <w:bottom w:val="nil"/>
          <w:right w:val="nil"/>
          <w:between w:val="nil"/>
        </w:pBdr>
        <w:ind w:left="0" w:firstLine="0"/>
        <w:rPr>
          <w:color w:val="auto"/>
        </w:rPr>
      </w:pPr>
      <w:proofErr w:type="spellStart"/>
      <w:r w:rsidRPr="00636387">
        <w:rPr>
          <w:color w:val="auto"/>
        </w:rPr>
        <w:t>Stecconi</w:t>
      </w:r>
      <w:proofErr w:type="spellEnd"/>
      <w:r w:rsidRPr="00636387">
        <w:rPr>
          <w:color w:val="auto"/>
        </w:rPr>
        <w:t xml:space="preserve">-Silva, R. B., </w:t>
      </w:r>
      <w:proofErr w:type="spellStart"/>
      <w:r w:rsidRPr="00636387">
        <w:rPr>
          <w:color w:val="auto"/>
        </w:rPr>
        <w:t>Andreoli</w:t>
      </w:r>
      <w:proofErr w:type="spellEnd"/>
      <w:r w:rsidRPr="00636387">
        <w:rPr>
          <w:color w:val="auto"/>
        </w:rPr>
        <w:t>, W. K.</w:t>
      </w:r>
      <w:r w:rsidR="00636387">
        <w:rPr>
          <w:color w:val="auto"/>
        </w:rPr>
        <w:t xml:space="preserve">, </w:t>
      </w:r>
      <w:proofErr w:type="spellStart"/>
      <w:r w:rsidRPr="00636387">
        <w:rPr>
          <w:color w:val="auto"/>
        </w:rPr>
        <w:t>Mortara</w:t>
      </w:r>
      <w:proofErr w:type="spellEnd"/>
      <w:r w:rsidRPr="00636387">
        <w:rPr>
          <w:color w:val="auto"/>
        </w:rPr>
        <w:t xml:space="preserve">, R. A. Parameters affecting cellular invasion and escape from the </w:t>
      </w:r>
      <w:proofErr w:type="spellStart"/>
      <w:r w:rsidRPr="00636387">
        <w:rPr>
          <w:color w:val="auto"/>
        </w:rPr>
        <w:t>parasitophorous</w:t>
      </w:r>
      <w:proofErr w:type="spellEnd"/>
      <w:r w:rsidRPr="00636387">
        <w:rPr>
          <w:color w:val="auto"/>
        </w:rPr>
        <w:t xml:space="preserve"> vacuole by different infective forms of </w:t>
      </w:r>
      <w:r w:rsidRPr="00636387">
        <w:rPr>
          <w:i/>
          <w:color w:val="auto"/>
        </w:rPr>
        <w:t xml:space="preserve">Trypanosoma </w:t>
      </w:r>
      <w:proofErr w:type="spellStart"/>
      <w:r w:rsidRPr="00636387">
        <w:rPr>
          <w:i/>
          <w:color w:val="auto"/>
        </w:rPr>
        <w:t>cruzi</w:t>
      </w:r>
      <w:proofErr w:type="spellEnd"/>
      <w:r w:rsidRPr="00636387">
        <w:rPr>
          <w:color w:val="auto"/>
        </w:rPr>
        <w:t xml:space="preserve">. </w:t>
      </w:r>
      <w:proofErr w:type="spellStart"/>
      <w:r w:rsidR="00636387">
        <w:rPr>
          <w:i/>
          <w:color w:val="auto"/>
        </w:rPr>
        <w:t>Memórias</w:t>
      </w:r>
      <w:proofErr w:type="spellEnd"/>
      <w:r w:rsidR="00636387">
        <w:rPr>
          <w:i/>
          <w:color w:val="auto"/>
        </w:rPr>
        <w:t xml:space="preserve"> do Instituto Oswaldo Cruz</w:t>
      </w:r>
      <w:r w:rsidRPr="00636387">
        <w:rPr>
          <w:color w:val="auto"/>
        </w:rPr>
        <w:t xml:space="preserve">. </w:t>
      </w:r>
      <w:r w:rsidRPr="00636387">
        <w:rPr>
          <w:b/>
          <w:color w:val="auto"/>
        </w:rPr>
        <w:t>98</w:t>
      </w:r>
      <w:r w:rsidR="00636387">
        <w:rPr>
          <w:color w:val="auto"/>
        </w:rPr>
        <w:t xml:space="preserve"> (</w:t>
      </w:r>
      <w:r w:rsidRPr="00636387">
        <w:rPr>
          <w:color w:val="auto"/>
        </w:rPr>
        <w:t>7), 953-958</w:t>
      </w:r>
      <w:r w:rsidR="00636387">
        <w:rPr>
          <w:color w:val="auto"/>
        </w:rPr>
        <w:t xml:space="preserve"> (</w:t>
      </w:r>
      <w:r w:rsidRPr="00636387">
        <w:rPr>
          <w:color w:val="auto"/>
        </w:rPr>
        <w:t>2003).</w:t>
      </w:r>
    </w:p>
    <w:p w14:paraId="533F3212" w14:textId="1C3F27E2"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lang w:val="pt-BR"/>
        </w:rPr>
        <w:t>de Souza, W., de Carvalho, T. M.</w:t>
      </w:r>
      <w:r w:rsidR="00636387">
        <w:rPr>
          <w:color w:val="auto"/>
          <w:lang w:val="pt-BR"/>
        </w:rPr>
        <w:t xml:space="preserve">, </w:t>
      </w:r>
      <w:r w:rsidRPr="00636387">
        <w:rPr>
          <w:color w:val="auto"/>
          <w:lang w:val="pt-BR"/>
        </w:rPr>
        <w:t xml:space="preserve">Barrias, E. S. Review on </w:t>
      </w:r>
      <w:r w:rsidRPr="00636387">
        <w:rPr>
          <w:i/>
          <w:color w:val="auto"/>
          <w:lang w:val="pt-BR"/>
        </w:rPr>
        <w:t>Trypanosoma cruzi:</w:t>
      </w:r>
      <w:r w:rsidRPr="00636387">
        <w:rPr>
          <w:color w:val="auto"/>
          <w:lang w:val="pt-BR"/>
        </w:rPr>
        <w:t xml:space="preserve"> Host Cell Interaction. </w:t>
      </w:r>
      <w:r w:rsidRPr="00636387">
        <w:rPr>
          <w:i/>
          <w:color w:val="auto"/>
        </w:rPr>
        <w:t>Intern</w:t>
      </w:r>
      <w:r w:rsidR="00636387" w:rsidRPr="00636387">
        <w:rPr>
          <w:i/>
          <w:color w:val="auto"/>
        </w:rPr>
        <w:t xml:space="preserve">ational Journal </w:t>
      </w:r>
      <w:r w:rsidR="00636387">
        <w:rPr>
          <w:i/>
          <w:color w:val="auto"/>
        </w:rPr>
        <w:t>o</w:t>
      </w:r>
      <w:r w:rsidR="00636387" w:rsidRPr="00636387">
        <w:rPr>
          <w:i/>
          <w:color w:val="auto"/>
        </w:rPr>
        <w:t>f Cell Biology</w:t>
      </w:r>
      <w:r w:rsidRPr="00636387">
        <w:rPr>
          <w:color w:val="auto"/>
        </w:rPr>
        <w:t xml:space="preserve">. </w:t>
      </w:r>
      <w:r w:rsidRPr="00636387">
        <w:rPr>
          <w:b/>
          <w:color w:val="auto"/>
        </w:rPr>
        <w:t>2010</w:t>
      </w:r>
      <w:r w:rsidRPr="00636387">
        <w:rPr>
          <w:color w:val="auto"/>
        </w:rPr>
        <w:t>, 295394</w:t>
      </w:r>
      <w:r w:rsidR="00636387">
        <w:rPr>
          <w:color w:val="auto"/>
        </w:rPr>
        <w:t xml:space="preserve"> (</w:t>
      </w:r>
      <w:r w:rsidRPr="00636387">
        <w:rPr>
          <w:color w:val="auto"/>
        </w:rPr>
        <w:t>2010).</w:t>
      </w:r>
    </w:p>
    <w:p w14:paraId="3A70C776" w14:textId="58670904"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Burleigh, B. A.</w:t>
      </w:r>
      <w:r w:rsidR="00636387">
        <w:rPr>
          <w:color w:val="auto"/>
        </w:rPr>
        <w:t xml:space="preserve">, </w:t>
      </w:r>
      <w:r w:rsidRPr="00636387">
        <w:rPr>
          <w:color w:val="auto"/>
        </w:rPr>
        <w:t xml:space="preserve">Woolsey, A. M. Cell </w:t>
      </w:r>
      <w:proofErr w:type="spellStart"/>
      <w:r w:rsidRPr="00636387">
        <w:rPr>
          <w:color w:val="auto"/>
        </w:rPr>
        <w:t>signalling</w:t>
      </w:r>
      <w:proofErr w:type="spellEnd"/>
      <w:r w:rsidRPr="00636387">
        <w:rPr>
          <w:color w:val="auto"/>
        </w:rPr>
        <w:t xml:space="preserve"> and </w:t>
      </w:r>
      <w:r w:rsidRPr="00636387">
        <w:rPr>
          <w:i/>
          <w:color w:val="auto"/>
        </w:rPr>
        <w:t xml:space="preserve">Trypanosoma </w:t>
      </w:r>
      <w:proofErr w:type="spellStart"/>
      <w:r w:rsidRPr="00636387">
        <w:rPr>
          <w:i/>
          <w:color w:val="auto"/>
        </w:rPr>
        <w:t>cruzi</w:t>
      </w:r>
      <w:proofErr w:type="spellEnd"/>
      <w:r w:rsidRPr="00636387">
        <w:rPr>
          <w:color w:val="auto"/>
        </w:rPr>
        <w:t xml:space="preserve"> invasion. </w:t>
      </w:r>
      <w:r w:rsidR="00636387">
        <w:rPr>
          <w:i/>
          <w:color w:val="auto"/>
        </w:rPr>
        <w:t>Cellular Microbiology</w:t>
      </w:r>
      <w:r w:rsidRPr="00636387">
        <w:rPr>
          <w:color w:val="auto"/>
        </w:rPr>
        <w:t xml:space="preserve">. </w:t>
      </w:r>
      <w:r w:rsidRPr="00636387">
        <w:rPr>
          <w:b/>
          <w:color w:val="auto"/>
        </w:rPr>
        <w:t>4</w:t>
      </w:r>
      <w:r w:rsidR="00636387">
        <w:rPr>
          <w:color w:val="auto"/>
        </w:rPr>
        <w:t xml:space="preserve"> (</w:t>
      </w:r>
      <w:r w:rsidRPr="00636387">
        <w:rPr>
          <w:color w:val="auto"/>
        </w:rPr>
        <w:t>11), 701-711</w:t>
      </w:r>
      <w:r w:rsidR="00636387">
        <w:rPr>
          <w:color w:val="auto"/>
        </w:rPr>
        <w:t xml:space="preserve"> (</w:t>
      </w:r>
      <w:r w:rsidRPr="00636387">
        <w:rPr>
          <w:color w:val="auto"/>
        </w:rPr>
        <w:t>2002).</w:t>
      </w:r>
    </w:p>
    <w:p w14:paraId="13A0DB6D" w14:textId="3F5DF172"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 xml:space="preserve">BAQUI, M. M. A., Takata, C. S., Milder, R. V. and </w:t>
      </w:r>
      <w:proofErr w:type="spellStart"/>
      <w:r w:rsidRPr="00636387">
        <w:rPr>
          <w:color w:val="auto"/>
        </w:rPr>
        <w:t>Pudles</w:t>
      </w:r>
      <w:proofErr w:type="spellEnd"/>
      <w:r w:rsidRPr="00636387">
        <w:rPr>
          <w:color w:val="auto"/>
        </w:rPr>
        <w:t xml:space="preserve">, J. A giant protein associated with the anterior pole of a </w:t>
      </w:r>
      <w:proofErr w:type="spellStart"/>
      <w:r w:rsidRPr="00636387">
        <w:rPr>
          <w:color w:val="auto"/>
        </w:rPr>
        <w:t>trypanosomatid</w:t>
      </w:r>
      <w:proofErr w:type="spellEnd"/>
      <w:r w:rsidRPr="00636387">
        <w:rPr>
          <w:color w:val="auto"/>
        </w:rPr>
        <w:t xml:space="preserve"> cell body skeleton. </w:t>
      </w:r>
      <w:r w:rsidRPr="00636387">
        <w:rPr>
          <w:i/>
          <w:color w:val="auto"/>
        </w:rPr>
        <w:t>European Journal of Cell Biology.</w:t>
      </w:r>
      <w:r w:rsidRPr="00636387">
        <w:rPr>
          <w:color w:val="auto"/>
        </w:rPr>
        <w:t xml:space="preserve"> </w:t>
      </w:r>
      <w:r w:rsidRPr="00636387">
        <w:rPr>
          <w:b/>
          <w:color w:val="auto"/>
        </w:rPr>
        <w:t>70</w:t>
      </w:r>
      <w:r w:rsidRPr="00636387">
        <w:rPr>
          <w:color w:val="auto"/>
        </w:rPr>
        <w:t>, 243-249</w:t>
      </w:r>
      <w:r w:rsidR="00636387">
        <w:rPr>
          <w:color w:val="auto"/>
        </w:rPr>
        <w:t xml:space="preserve"> (</w:t>
      </w:r>
      <w:r w:rsidRPr="00636387">
        <w:rPr>
          <w:color w:val="auto"/>
        </w:rPr>
        <w:t>1996).</w:t>
      </w:r>
    </w:p>
    <w:p w14:paraId="1D0EAB1C" w14:textId="1354CEFE"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 xml:space="preserve">Baqui, M. M., Milder, R., </w:t>
      </w:r>
      <w:proofErr w:type="spellStart"/>
      <w:r w:rsidRPr="00636387">
        <w:rPr>
          <w:color w:val="auto"/>
        </w:rPr>
        <w:t>Mortara</w:t>
      </w:r>
      <w:proofErr w:type="spellEnd"/>
      <w:r w:rsidRPr="00636387">
        <w:rPr>
          <w:color w:val="auto"/>
        </w:rPr>
        <w:t xml:space="preserve">, R. A., </w:t>
      </w:r>
      <w:proofErr w:type="spellStart"/>
      <w:r w:rsidRPr="00636387">
        <w:rPr>
          <w:color w:val="auto"/>
        </w:rPr>
        <w:t>Pudles</w:t>
      </w:r>
      <w:proofErr w:type="spellEnd"/>
      <w:r w:rsidRPr="00636387">
        <w:rPr>
          <w:color w:val="auto"/>
        </w:rPr>
        <w:t xml:space="preserve"> J. In vivo and in vitro phosphorylation and subcellular localization of </w:t>
      </w:r>
      <w:proofErr w:type="spellStart"/>
      <w:r w:rsidRPr="00636387">
        <w:rPr>
          <w:color w:val="auto"/>
        </w:rPr>
        <w:t>trypanosomatid</w:t>
      </w:r>
      <w:proofErr w:type="spellEnd"/>
      <w:r w:rsidRPr="00636387">
        <w:rPr>
          <w:color w:val="auto"/>
        </w:rPr>
        <w:t xml:space="preserve"> cytoskeletal giant proteins. </w:t>
      </w:r>
      <w:r w:rsidR="00636387">
        <w:rPr>
          <w:i/>
          <w:color w:val="auto"/>
        </w:rPr>
        <w:t>Cell Motility and the Cytoskeleton</w:t>
      </w:r>
      <w:r w:rsidRPr="00636387">
        <w:rPr>
          <w:color w:val="auto"/>
        </w:rPr>
        <w:t xml:space="preserve">. </w:t>
      </w:r>
      <w:r w:rsidRPr="00636387">
        <w:rPr>
          <w:b/>
          <w:color w:val="auto"/>
        </w:rPr>
        <w:t>47</w:t>
      </w:r>
      <w:r w:rsidR="00636387">
        <w:rPr>
          <w:color w:val="auto"/>
        </w:rPr>
        <w:t xml:space="preserve"> (</w:t>
      </w:r>
      <w:r w:rsidRPr="00636387">
        <w:rPr>
          <w:color w:val="auto"/>
        </w:rPr>
        <w:t>1</w:t>
      </w:r>
      <w:r w:rsidR="00636387">
        <w:rPr>
          <w:color w:val="auto"/>
        </w:rPr>
        <w:t>)</w:t>
      </w:r>
      <w:r w:rsidRPr="00636387">
        <w:rPr>
          <w:color w:val="auto"/>
        </w:rPr>
        <w:t>, 25–37</w:t>
      </w:r>
      <w:r w:rsidR="00636387">
        <w:rPr>
          <w:color w:val="auto"/>
        </w:rPr>
        <w:t xml:space="preserve"> (</w:t>
      </w:r>
      <w:r w:rsidRPr="00636387">
        <w:rPr>
          <w:color w:val="auto"/>
        </w:rPr>
        <w:t>2000).</w:t>
      </w:r>
    </w:p>
    <w:p w14:paraId="56C701B9" w14:textId="1C2E59E8"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 xml:space="preserve">Baqui, M. M., De </w:t>
      </w:r>
      <w:proofErr w:type="spellStart"/>
      <w:r w:rsidRPr="00636387">
        <w:rPr>
          <w:color w:val="auto"/>
        </w:rPr>
        <w:t>Moraes</w:t>
      </w:r>
      <w:proofErr w:type="spellEnd"/>
      <w:r w:rsidRPr="00636387">
        <w:rPr>
          <w:color w:val="auto"/>
        </w:rPr>
        <w:t xml:space="preserve">, N., Milder, R. V., </w:t>
      </w:r>
      <w:proofErr w:type="spellStart"/>
      <w:r w:rsidRPr="00636387">
        <w:rPr>
          <w:color w:val="auto"/>
        </w:rPr>
        <w:t>Pudles</w:t>
      </w:r>
      <w:proofErr w:type="spellEnd"/>
      <w:r w:rsidRPr="00636387">
        <w:rPr>
          <w:color w:val="auto"/>
        </w:rPr>
        <w:t xml:space="preserve">, J. A giant phosphoprotein localized at the </w:t>
      </w:r>
      <w:proofErr w:type="spellStart"/>
      <w:r w:rsidRPr="00636387">
        <w:rPr>
          <w:color w:val="auto"/>
        </w:rPr>
        <w:t>spongiome</w:t>
      </w:r>
      <w:proofErr w:type="spellEnd"/>
      <w:r w:rsidRPr="00636387">
        <w:rPr>
          <w:color w:val="auto"/>
        </w:rPr>
        <w:t xml:space="preserve"> region of </w:t>
      </w:r>
      <w:proofErr w:type="spellStart"/>
      <w:r w:rsidRPr="00636387">
        <w:rPr>
          <w:color w:val="auto"/>
        </w:rPr>
        <w:t>Crithidia</w:t>
      </w:r>
      <w:proofErr w:type="spellEnd"/>
      <w:r w:rsidRPr="00636387">
        <w:rPr>
          <w:color w:val="auto"/>
        </w:rPr>
        <w:t xml:space="preserve"> </w:t>
      </w:r>
      <w:proofErr w:type="spellStart"/>
      <w:r w:rsidRPr="00636387">
        <w:rPr>
          <w:color w:val="auto"/>
        </w:rPr>
        <w:t>luciliae</w:t>
      </w:r>
      <w:proofErr w:type="spellEnd"/>
      <w:r w:rsidRPr="00636387">
        <w:rPr>
          <w:color w:val="auto"/>
        </w:rPr>
        <w:t xml:space="preserve"> </w:t>
      </w:r>
      <w:proofErr w:type="spellStart"/>
      <w:r w:rsidRPr="00636387">
        <w:rPr>
          <w:color w:val="auto"/>
        </w:rPr>
        <w:t>thermophila</w:t>
      </w:r>
      <w:proofErr w:type="spellEnd"/>
      <w:r w:rsidRPr="00636387">
        <w:rPr>
          <w:color w:val="auto"/>
        </w:rPr>
        <w:t xml:space="preserve">. </w:t>
      </w:r>
      <w:r w:rsidR="00636387">
        <w:rPr>
          <w:i/>
          <w:color w:val="auto"/>
        </w:rPr>
        <w:t>Journal of Eukaryotic Microbiology</w:t>
      </w:r>
      <w:r w:rsidRPr="00636387">
        <w:rPr>
          <w:color w:val="auto"/>
        </w:rPr>
        <w:t xml:space="preserve">. </w:t>
      </w:r>
      <w:r w:rsidRPr="00636387">
        <w:rPr>
          <w:b/>
          <w:color w:val="auto"/>
        </w:rPr>
        <w:t>47</w:t>
      </w:r>
      <w:r w:rsidR="00636387">
        <w:rPr>
          <w:color w:val="auto"/>
        </w:rPr>
        <w:t xml:space="preserve"> (</w:t>
      </w:r>
      <w:r w:rsidRPr="00636387">
        <w:rPr>
          <w:color w:val="auto"/>
        </w:rPr>
        <w:t>6</w:t>
      </w:r>
      <w:r w:rsidR="00636387">
        <w:rPr>
          <w:color w:val="auto"/>
        </w:rPr>
        <w:t xml:space="preserve">), </w:t>
      </w:r>
      <w:r w:rsidRPr="00636387">
        <w:rPr>
          <w:color w:val="auto"/>
        </w:rPr>
        <w:t>532-7</w:t>
      </w:r>
      <w:r w:rsidR="00636387">
        <w:rPr>
          <w:color w:val="auto"/>
        </w:rPr>
        <w:t xml:space="preserve"> (</w:t>
      </w:r>
      <w:r w:rsidRPr="00636387">
        <w:rPr>
          <w:color w:val="auto"/>
        </w:rPr>
        <w:t>2000b).</w:t>
      </w:r>
    </w:p>
    <w:p w14:paraId="2B9A0B06" w14:textId="36075098" w:rsidR="00044593" w:rsidRPr="00636387" w:rsidRDefault="002B7AAC">
      <w:pPr>
        <w:numPr>
          <w:ilvl w:val="1"/>
          <w:numId w:val="6"/>
        </w:numPr>
        <w:pBdr>
          <w:top w:val="nil"/>
          <w:left w:val="nil"/>
          <w:bottom w:val="nil"/>
          <w:right w:val="nil"/>
          <w:between w:val="nil"/>
        </w:pBdr>
        <w:ind w:left="0" w:firstLine="0"/>
        <w:rPr>
          <w:color w:val="auto"/>
        </w:rPr>
      </w:pPr>
      <w:r w:rsidRPr="00636387">
        <w:rPr>
          <w:color w:val="auto"/>
        </w:rPr>
        <w:t>Jean-Philippe, J., Paz, S.</w:t>
      </w:r>
      <w:r w:rsidR="00636387">
        <w:rPr>
          <w:color w:val="auto"/>
        </w:rPr>
        <w:t xml:space="preserve">, </w:t>
      </w:r>
      <w:proofErr w:type="spellStart"/>
      <w:r w:rsidRPr="00636387">
        <w:rPr>
          <w:color w:val="auto"/>
        </w:rPr>
        <w:t>Caputi</w:t>
      </w:r>
      <w:proofErr w:type="spellEnd"/>
      <w:r w:rsidRPr="00636387">
        <w:rPr>
          <w:color w:val="auto"/>
        </w:rPr>
        <w:t xml:space="preserve">, M. </w:t>
      </w:r>
      <w:proofErr w:type="spellStart"/>
      <w:r w:rsidRPr="00636387">
        <w:rPr>
          <w:color w:val="auto"/>
        </w:rPr>
        <w:t>hnRNP</w:t>
      </w:r>
      <w:proofErr w:type="spellEnd"/>
      <w:r w:rsidRPr="00636387">
        <w:rPr>
          <w:color w:val="auto"/>
        </w:rPr>
        <w:t xml:space="preserve"> A1: the Swiss army knife of gene expression. </w:t>
      </w:r>
      <w:r w:rsidR="00636387">
        <w:rPr>
          <w:i/>
          <w:color w:val="auto"/>
        </w:rPr>
        <w:t>International Journal of Molecular Sciences</w:t>
      </w:r>
      <w:r w:rsidRPr="00636387">
        <w:rPr>
          <w:i/>
          <w:color w:val="auto"/>
        </w:rPr>
        <w:t>.</w:t>
      </w:r>
      <w:r w:rsidRPr="00636387">
        <w:rPr>
          <w:color w:val="auto"/>
        </w:rPr>
        <w:t xml:space="preserve"> </w:t>
      </w:r>
      <w:r w:rsidRPr="00636387">
        <w:rPr>
          <w:b/>
          <w:color w:val="auto"/>
        </w:rPr>
        <w:t>14</w:t>
      </w:r>
      <w:r w:rsidR="00636387">
        <w:rPr>
          <w:color w:val="auto"/>
        </w:rPr>
        <w:t xml:space="preserve"> (</w:t>
      </w:r>
      <w:r w:rsidRPr="00636387">
        <w:rPr>
          <w:color w:val="auto"/>
        </w:rPr>
        <w:t>9), 18999-19024</w:t>
      </w:r>
      <w:r w:rsidR="00636387">
        <w:rPr>
          <w:color w:val="auto"/>
        </w:rPr>
        <w:t xml:space="preserve"> (</w:t>
      </w:r>
      <w:r w:rsidRPr="00636387">
        <w:rPr>
          <w:color w:val="auto"/>
        </w:rPr>
        <w:t>2013).</w:t>
      </w:r>
    </w:p>
    <w:p w14:paraId="1FE3CAF0" w14:textId="0A7A5BC6" w:rsidR="00044593" w:rsidRPr="00636387" w:rsidRDefault="002B7AAC" w:rsidP="005D4147">
      <w:pPr>
        <w:numPr>
          <w:ilvl w:val="1"/>
          <w:numId w:val="6"/>
        </w:numPr>
        <w:pBdr>
          <w:top w:val="nil"/>
          <w:left w:val="nil"/>
          <w:bottom w:val="nil"/>
          <w:right w:val="nil"/>
          <w:between w:val="nil"/>
        </w:pBdr>
        <w:ind w:left="0" w:firstLine="0"/>
        <w:rPr>
          <w:color w:val="auto"/>
        </w:rPr>
      </w:pPr>
      <w:proofErr w:type="spellStart"/>
      <w:r w:rsidRPr="00636387">
        <w:rPr>
          <w:color w:val="auto"/>
        </w:rPr>
        <w:t>Vidarsson</w:t>
      </w:r>
      <w:proofErr w:type="spellEnd"/>
      <w:r w:rsidRPr="00636387">
        <w:rPr>
          <w:color w:val="auto"/>
        </w:rPr>
        <w:t xml:space="preserve">, G., </w:t>
      </w:r>
      <w:proofErr w:type="spellStart"/>
      <w:r w:rsidRPr="00636387">
        <w:rPr>
          <w:color w:val="auto"/>
        </w:rPr>
        <w:t>Dekkers</w:t>
      </w:r>
      <w:proofErr w:type="spellEnd"/>
      <w:r w:rsidRPr="00636387">
        <w:rPr>
          <w:color w:val="auto"/>
        </w:rPr>
        <w:t>, G.</w:t>
      </w:r>
      <w:r w:rsidR="00636387">
        <w:rPr>
          <w:color w:val="auto"/>
        </w:rPr>
        <w:t xml:space="preserve">, </w:t>
      </w:r>
      <w:proofErr w:type="spellStart"/>
      <w:r w:rsidRPr="00636387">
        <w:rPr>
          <w:color w:val="auto"/>
        </w:rPr>
        <w:t>Rispens</w:t>
      </w:r>
      <w:proofErr w:type="spellEnd"/>
      <w:r w:rsidRPr="00636387">
        <w:rPr>
          <w:color w:val="auto"/>
        </w:rPr>
        <w:t xml:space="preserve">, T. IgG subclasses and allotypes: from structure to effector functions. </w:t>
      </w:r>
      <w:r w:rsidR="00636387">
        <w:rPr>
          <w:i/>
          <w:color w:val="auto"/>
        </w:rPr>
        <w:t>Frontiers in Immunology</w:t>
      </w:r>
      <w:r w:rsidRPr="00636387">
        <w:rPr>
          <w:color w:val="auto"/>
        </w:rPr>
        <w:t xml:space="preserve">. </w:t>
      </w:r>
      <w:r w:rsidRPr="00636387">
        <w:rPr>
          <w:b/>
          <w:color w:val="auto"/>
        </w:rPr>
        <w:t>5</w:t>
      </w:r>
      <w:r w:rsidR="00636387" w:rsidRPr="00636387">
        <w:rPr>
          <w:bCs/>
          <w:color w:val="auto"/>
        </w:rPr>
        <w:t>,</w:t>
      </w:r>
      <w:r w:rsidRPr="00636387">
        <w:rPr>
          <w:b/>
          <w:color w:val="auto"/>
        </w:rPr>
        <w:t xml:space="preserve"> </w:t>
      </w:r>
      <w:r w:rsidRPr="00636387">
        <w:rPr>
          <w:color w:val="auto"/>
        </w:rPr>
        <w:t>520</w:t>
      </w:r>
      <w:r w:rsidR="00636387">
        <w:rPr>
          <w:color w:val="auto"/>
        </w:rPr>
        <w:t xml:space="preserve"> (</w:t>
      </w:r>
      <w:r w:rsidRPr="00636387">
        <w:rPr>
          <w:color w:val="auto"/>
        </w:rPr>
        <w:t>2014).</w:t>
      </w:r>
    </w:p>
    <w:sectPr w:rsidR="00044593" w:rsidRPr="00636387" w:rsidSect="005055BE">
      <w:headerReference w:type="default" r:id="rId8"/>
      <w:footerReference w:type="even" r:id="rId9"/>
      <w:footerReference w:type="default" r:id="rId10"/>
      <w:headerReference w:type="first" r:id="rId11"/>
      <w:footerReference w:type="first" r:id="rId12"/>
      <w:pgSz w:w="11906" w:h="16838"/>
      <w:pgMar w:top="1440" w:right="1440" w:bottom="1440" w:left="1440" w:header="720" w:footer="605"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834F" w14:textId="77777777" w:rsidR="00784225" w:rsidRDefault="00784225">
      <w:r>
        <w:separator/>
      </w:r>
    </w:p>
  </w:endnote>
  <w:endnote w:type="continuationSeparator" w:id="0">
    <w:p w14:paraId="0292AD36" w14:textId="77777777" w:rsidR="00784225" w:rsidRDefault="0078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82E" w14:textId="77777777" w:rsidR="00056566" w:rsidRDefault="00056566">
    <w:pPr>
      <w:pBdr>
        <w:top w:val="nil"/>
        <w:left w:val="nil"/>
        <w:bottom w:val="nil"/>
        <w:right w:val="nil"/>
        <w:between w:val="nil"/>
      </w:pBdr>
      <w:tabs>
        <w:tab w:val="center" w:pos="4680"/>
        <w:tab w:val="right" w:pos="9360"/>
      </w:tabs>
      <w:jc w:val="right"/>
    </w:pPr>
    <w:r>
      <w:fldChar w:fldCharType="begin"/>
    </w:r>
    <w:r>
      <w:instrText>PAGE</w:instrText>
    </w:r>
    <w:r>
      <w:fldChar w:fldCharType="end"/>
    </w:r>
  </w:p>
  <w:p w14:paraId="251B6DAC" w14:textId="77777777" w:rsidR="00056566" w:rsidRDefault="00056566">
    <w:pPr>
      <w:pBdr>
        <w:top w:val="nil"/>
        <w:left w:val="nil"/>
        <w:bottom w:val="nil"/>
        <w:right w:val="nil"/>
        <w:between w:val="nil"/>
      </w:pBdr>
      <w:tabs>
        <w:tab w:val="center" w:pos="4680"/>
        <w:tab w:val="right" w:pos="936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7631" w14:textId="103F222E" w:rsidR="00056566" w:rsidRDefault="00056566">
    <w:pPr>
      <w:pBdr>
        <w:top w:val="nil"/>
        <w:left w:val="nil"/>
        <w:bottom w:val="nil"/>
        <w:right w:val="nil"/>
        <w:between w:val="nil"/>
      </w:pBdr>
      <w:tabs>
        <w:tab w:val="center" w:pos="4680"/>
        <w:tab w:val="right" w:pos="9360"/>
      </w:tabs>
      <w:jc w:val="right"/>
    </w:pPr>
    <w:r>
      <w:fldChar w:fldCharType="begin"/>
    </w:r>
    <w:r>
      <w:instrText>PAGE</w:instrText>
    </w:r>
    <w:r>
      <w:fldChar w:fldCharType="separate"/>
    </w:r>
    <w:r w:rsidR="009F334B">
      <w:rPr>
        <w:noProof/>
      </w:rPr>
      <w:t>1</w:t>
    </w:r>
    <w:r>
      <w:fldChar w:fldCharType="end"/>
    </w:r>
  </w:p>
  <w:p w14:paraId="535D279E" w14:textId="77777777" w:rsidR="00056566" w:rsidRDefault="00056566">
    <w:pPr>
      <w:pBdr>
        <w:top w:val="nil"/>
        <w:left w:val="nil"/>
        <w:bottom w:val="nil"/>
        <w:right w:val="nil"/>
        <w:between w:val="nil"/>
      </w:pBdr>
      <w:tabs>
        <w:tab w:val="center" w:pos="4680"/>
        <w:tab w:val="right" w:pos="9360"/>
      </w:tabs>
      <w:ind w:right="360"/>
    </w:pPr>
  </w:p>
  <w:p w14:paraId="37C5AEDE" w14:textId="77777777" w:rsidR="00056566" w:rsidRDefault="000565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81E5" w14:textId="77777777" w:rsidR="00056566" w:rsidRDefault="00056566">
    <w:pPr>
      <w:pBdr>
        <w:top w:val="nil"/>
        <w:left w:val="nil"/>
        <w:bottom w:val="nil"/>
        <w:right w:val="nil"/>
        <w:between w:val="nil"/>
      </w:pBdr>
      <w:tabs>
        <w:tab w:val="center" w:pos="4680"/>
        <w:tab w:val="right" w:pos="9360"/>
      </w:tabs>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6784" w14:textId="77777777" w:rsidR="00784225" w:rsidRDefault="00784225">
      <w:r>
        <w:separator/>
      </w:r>
    </w:p>
  </w:footnote>
  <w:footnote w:type="continuationSeparator" w:id="0">
    <w:p w14:paraId="1FC97833" w14:textId="77777777" w:rsidR="00784225" w:rsidRDefault="0078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3376" w14:textId="77777777" w:rsidR="00056566" w:rsidRDefault="00056566">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AB0" w14:textId="77777777" w:rsidR="00056566" w:rsidRDefault="00056566">
    <w:pPr>
      <w:pBdr>
        <w:top w:val="nil"/>
        <w:left w:val="nil"/>
        <w:bottom w:val="nil"/>
        <w:right w:val="nil"/>
        <w:between w:val="nil"/>
      </w:pBdr>
      <w:tabs>
        <w:tab w:val="center" w:pos="4680"/>
        <w:tab w:val="right" w:pos="9360"/>
      </w:tabs>
      <w:jc w:val="right"/>
      <w:rPr>
        <w:b/>
        <w:color w:val="1F497D"/>
        <w:sz w:val="32"/>
        <w:szCs w:val="32"/>
      </w:rPr>
    </w:pPr>
    <w:r>
      <w:rPr>
        <w:noProof/>
        <w:lang w:eastAsia="en-US"/>
      </w:rPr>
      <w:drawing>
        <wp:anchor distT="0" distB="0" distL="0" distR="0" simplePos="0" relativeHeight="251658240" behindDoc="0" locked="0" layoutInCell="1" hidden="0" allowOverlap="1" wp14:anchorId="0AE42F86" wp14:editId="6EFFDC2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4FD"/>
    <w:multiLevelType w:val="multilevel"/>
    <w:tmpl w:val="8E56E4C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96154ED"/>
    <w:multiLevelType w:val="multilevel"/>
    <w:tmpl w:val="C3E4B440"/>
    <w:lvl w:ilvl="0">
      <w:start w:val="4"/>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2E3679F8"/>
    <w:multiLevelType w:val="multilevel"/>
    <w:tmpl w:val="BF804CE8"/>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5766A6D"/>
    <w:multiLevelType w:val="multilevel"/>
    <w:tmpl w:val="3B4E9E0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AE39A3"/>
    <w:multiLevelType w:val="multilevel"/>
    <w:tmpl w:val="9E02330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7EE1582"/>
    <w:multiLevelType w:val="multilevel"/>
    <w:tmpl w:val="8BEA1C5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593"/>
    <w:rsid w:val="00044593"/>
    <w:rsid w:val="00044799"/>
    <w:rsid w:val="00056566"/>
    <w:rsid w:val="0006294D"/>
    <w:rsid w:val="000C5441"/>
    <w:rsid w:val="000E6181"/>
    <w:rsid w:val="00144EDC"/>
    <w:rsid w:val="001B7334"/>
    <w:rsid w:val="00251AC9"/>
    <w:rsid w:val="002A2485"/>
    <w:rsid w:val="002A4704"/>
    <w:rsid w:val="002A6BA8"/>
    <w:rsid w:val="002A7BDE"/>
    <w:rsid w:val="002B7AAC"/>
    <w:rsid w:val="002D3514"/>
    <w:rsid w:val="002E103C"/>
    <w:rsid w:val="00304D49"/>
    <w:rsid w:val="0032146E"/>
    <w:rsid w:val="0033255C"/>
    <w:rsid w:val="00357019"/>
    <w:rsid w:val="003F47CF"/>
    <w:rsid w:val="003F7CBF"/>
    <w:rsid w:val="004E01CF"/>
    <w:rsid w:val="004F750F"/>
    <w:rsid w:val="005055BE"/>
    <w:rsid w:val="00555383"/>
    <w:rsid w:val="005A72AD"/>
    <w:rsid w:val="005C5BBC"/>
    <w:rsid w:val="005D4147"/>
    <w:rsid w:val="005E62DC"/>
    <w:rsid w:val="0063331C"/>
    <w:rsid w:val="00636387"/>
    <w:rsid w:val="00683695"/>
    <w:rsid w:val="006E4CBC"/>
    <w:rsid w:val="00741962"/>
    <w:rsid w:val="007739FE"/>
    <w:rsid w:val="00784225"/>
    <w:rsid w:val="007865F3"/>
    <w:rsid w:val="007D0096"/>
    <w:rsid w:val="00846F94"/>
    <w:rsid w:val="008470BC"/>
    <w:rsid w:val="00897363"/>
    <w:rsid w:val="008C167C"/>
    <w:rsid w:val="009376F6"/>
    <w:rsid w:val="00982334"/>
    <w:rsid w:val="00996213"/>
    <w:rsid w:val="009B02EB"/>
    <w:rsid w:val="009F334B"/>
    <w:rsid w:val="00AB1AD3"/>
    <w:rsid w:val="00AB45B0"/>
    <w:rsid w:val="00B00796"/>
    <w:rsid w:val="00B111A6"/>
    <w:rsid w:val="00BC2637"/>
    <w:rsid w:val="00BF2B21"/>
    <w:rsid w:val="00C27D61"/>
    <w:rsid w:val="00C33BB8"/>
    <w:rsid w:val="00D22050"/>
    <w:rsid w:val="00D77EBC"/>
    <w:rsid w:val="00DE0D0F"/>
    <w:rsid w:val="00DE1B86"/>
    <w:rsid w:val="00E74228"/>
    <w:rsid w:val="00FE63B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EBB04"/>
  <w15:docId w15:val="{C685F037-A422-4033-86D5-A90FE1E6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pt-B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5160F"/>
    <w:pPr>
      <w:jc w:val="center"/>
    </w:pPr>
    <w:rPr>
      <w:noProof/>
    </w:rPr>
  </w:style>
  <w:style w:type="character" w:customStyle="1" w:styleId="EndNoteBibliographyTitleChar">
    <w:name w:val="EndNote Bibliography Title Char"/>
    <w:basedOn w:val="DefaultParagraphFont"/>
    <w:link w:val="EndNoteBibliographyTitle"/>
    <w:rsid w:val="0025160F"/>
    <w:rPr>
      <w:rFonts w:ascii="Calibri" w:hAnsi="Calibri" w:cs="Calibri"/>
      <w:noProof/>
      <w:color w:val="000000"/>
      <w:sz w:val="24"/>
      <w:szCs w:val="24"/>
    </w:rPr>
  </w:style>
  <w:style w:type="paragraph" w:customStyle="1" w:styleId="EndNoteBibliography">
    <w:name w:val="EndNote Bibliography"/>
    <w:basedOn w:val="Normal"/>
    <w:link w:val="EndNoteBibliographyChar"/>
    <w:rsid w:val="0025160F"/>
    <w:rPr>
      <w:noProof/>
    </w:rPr>
  </w:style>
  <w:style w:type="character" w:customStyle="1" w:styleId="EndNoteBibliographyChar">
    <w:name w:val="EndNote Bibliography Char"/>
    <w:basedOn w:val="DefaultParagraphFont"/>
    <w:link w:val="EndNoteBibliography"/>
    <w:rsid w:val="0025160F"/>
    <w:rPr>
      <w:rFonts w:ascii="Calibri" w:hAnsi="Calibri" w:cs="Calibri"/>
      <w:noProof/>
      <w:color w:val="000000"/>
      <w:sz w:val="24"/>
      <w:szCs w:val="24"/>
    </w:rPr>
  </w:style>
  <w:style w:type="table" w:styleId="TableGrid">
    <w:name w:val="Table Grid"/>
    <w:basedOn w:val="TableNormal"/>
    <w:uiPriority w:val="59"/>
    <w:rsid w:val="00433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DefaultParagraphFont"/>
    <w:uiPriority w:val="99"/>
    <w:semiHidden/>
    <w:unhideWhenUsed/>
    <w:rsid w:val="000A13FE"/>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17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KqRLIETGmt0Hsch/9Yz9gTbqA==">AMUW2mUNWARmk7P0BvI/WyVLc9JNbpBJpF0BBfuG4nHITuVCCrRjsAS2kegVwWbH7fqPZLvlT57iSz+yH0zn7ypQqMmeJtrmfj5NSZvjtnNC3+AthrkZNbRcNLpiDpJQf5lGtO8VT00YbU8qRfNVtGZgY0nQBwxqEE1SQiMjDYxF1+yZmIGsS7cleO00PdFtXKZP8aeFYNt62en5YBhvl0tMFne6koZrHz5QKi+GrTrCewlqPa7EMf+2jzfUgl6lu9c9p16qFj/yfuFEWRfC7h0De4OPJNEv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Munira Baqui</dc:creator>
  <cp:keywords/>
  <dc:description/>
  <cp:lastModifiedBy>Nam Nguyen</cp:lastModifiedBy>
  <cp:revision>24</cp:revision>
  <dcterms:created xsi:type="dcterms:W3CDTF">2021-05-15T03:49:00Z</dcterms:created>
  <dcterms:modified xsi:type="dcterms:W3CDTF">2021-06-07T16:04:00Z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