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and Expansion of Human Cardiomyocytes from Patient Peripheral Blood Mononuclear Cells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Shiqiao Ye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Xiaoping Wan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Juan Su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Akshar Patel</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Blake Justis</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 Isabelle Deschênes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Ming-Tao Zhao</w:t>
      </w:r>
      <w:r>
        <w:rPr>
          <w:rFonts w:ascii="Calibri" w:hAnsi="Calibri" w:cs="Calibri" w:eastAsia="Calibri"/>
          <w:color w:val="auto"/>
          <w:spacing w:val="0"/>
          <w:position w:val="0"/>
          <w:sz w:val="24"/>
          <w:shd w:fill="auto" w:val="clear"/>
          <w:vertAlign w:val="superscript"/>
        </w:rPr>
        <w:t xml:space="preserve">1,2,5,6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Cardiovascular Research, The Abigail Wexner Research Institute, Nationwide Children’s Hospital, Columbus, OH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Heart Center, Nationwide Children’s Hospital, Columbus, OH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Physiology and Cell Biology, The Ohio State University College of Medicine, Columbus, OH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Anatomy, The Ohio State University College of Medicine, Columbus, OH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MCDB Graduate Program, The Ohio State University, Columbus, OH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Pediatrics, The Ohio State University College of Medicine, Columbus, OH</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Ming-Tao Zhao </w:t>
        <w:tab/>
        <w:t xml:space="preserve">(Mingtao.Zhao@nationwidechildrens.org</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Shiqiao Ye </w:t>
        <w:tab/>
        <w:tab/>
        <w:t xml:space="preserve">(shiqiao.ye@nationwidechildrens.org)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Xiaoping Wan </w:t>
        <w:tab/>
        <w:tab/>
        <w:t xml:space="preserve">(xiaoping.wan@osumc.edu)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Su </w:t>
        <w:tab/>
        <w:tab/>
        <w:t xml:space="preserve">(juansu6@163.com)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Akshar Patel </w:t>
        <w:tab/>
        <w:tab/>
        <w:t xml:space="preserve">(patel.2093@buckeyemail.osu.edu)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Blake Justis </w:t>
        <w:tab/>
        <w:tab/>
        <w:t xml:space="preserve">(justis.5@buckeyemail.osu.edu)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Isabelle Deschenes </w:t>
        <w:tab/>
        <w:t xml:space="preserve">(isabelle.deschenes@osumc.edu)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Ming-Tao Zhao </w:t>
        <w:tab/>
        <w:t xml:space="preserve">(Mingtao.Zhao@nationwidechildrens.org)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peripheral blood mononuclear cells, PBMCs, human induced pluripotent stem cells, iPSCs, cardiac differentiation, iPSC reprogramming, cardiomyocyte expansion.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robustly generate and expand human cardiomyocytes from patient peripheral blood mononuclear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Generating patient-specific cardiomyocytes from a single blood draw has attracted tremendous interest in precision medicine on cardiovascular disease. Cardiac differentiation from human induced pluripotent stem cells (iPSCs) is modulated by defined signaling pathways that are essential for embryonic heart development. Numerous cardiac differentiation methods on 2-D and 3-D platforms have been developed with various efficiencies and cardiomyocyte yield. This has puzzled investigators outside the field as the variety of these methods can be difficult to follow. Here we present a comprehensive protocol that elaborates robust generation and expansion of patient-specific cardiomyocytes from peripheral blood mononuclear cells (PBMCs). We first describe a high-efficiency iPSC reprogramming protocol from a patient’s blood sample using non-integration Sendai virus vectors. We then detail a small molecule-mediated monolayer differentiation method that can robustly produce beating cardiomyocytes from most human iPSC lines. In addition, a scalable cardiomyocyte expansion protocol is introduced using a small molecule (CHIR99021) that could rapidly expand patient-derived cardiomyocytes for industrial- and clinical-grade applications. At the end, detailed protocols for molecular identification and electrophysiological characterization of these iPSC-CMs are depicted. We expect this protocol to be pragmatic for beginners with limited knowledge on cardiovascular development and stem cell biology.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discovery of human induced pluripotent stem cells has revolutionized modern cardiovascular medicine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Human iPSCs are capable of self-renewing and generating all cell types in the heart, including cardiomyocytes, endothelial cells, smooth muscle cells and cardiac fibroblasts. Patient iPSC-derived cardiomyocytes (iPSC-CMs) can serve as indefinite resources for modeling genetically inheritable cardiovascular diseases (CVDs) and testing cardiac safety for new drugs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particular, patient iPSC-CMs are well poised to investigate genetic and molecular etiologies of CVDs that are derived from defects in cardiomyocytes, such as long QT syndrome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dilated cardiomyopathy (DCM)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Combined with CRISPR/Cas9-mediated genome editing, patient iPSC-CMs have opened an unprecedented avenue to understand the complex genetic basis of CVDs including congenital heart defects (CHDs)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Human iPSC-CMs have also exhibited potentials to serve as autologous cell sources for replenishing the damaged myocardium during a heart attack</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recent years, it has become paramount to generate high-quality human iPSC-CMs with defined subtypes (atrial, ventricular and nodal) for cardiac regeneration and drug testing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differentiation from human iPSCs has been greatly advanced in the past decade. Differentiation methods have gone from embryoid body (EB)-based spontaneous differentiation to chemically defined and directed cardiac differentiation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Key signaling molecules essential for embryonic heart development, such as Wnt, BMP, Nodal, and FGF are manipulated to enhance cardiomyocyte differentiation from human iPSCs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Significant advances include sequential modulation of Wnt signaling (activation followed by inhibition) for robust generation of cardiomyocytes from human iPSCs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Chemically defined cardiac differentiation recipes have been explored to facilitate large-scale production of beating cardiomyocytes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which have the potential to be upgraded to industrial and clinical level production. Moreover, robust expansion of early human iPSC-CMs is achieved by exposure to constitutive Wnt activation using a small chemical (CHIR99021)</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Most recently, subtype-specific cardiomyocytes are generated through manipulation of retinoic acid (RA) and Wnt signaling pathways at specific differentiation windows during cardiomyocyte lineage commitment from human iPSCs</w:t>
      </w:r>
      <w:r>
        <w:rPr>
          <w:rFonts w:ascii="Calibri" w:hAnsi="Calibri" w:cs="Calibri" w:eastAsia="Calibri"/>
          <w:color w:val="auto"/>
          <w:spacing w:val="0"/>
          <w:position w:val="0"/>
          <w:sz w:val="24"/>
          <w:shd w:fill="auto" w:val="clear"/>
          <w:vertAlign w:val="superscript"/>
        </w:rPr>
        <w:t xml:space="preserve">18-22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detail a working procedure for robust generation and proliferation of human CMs originating from patient peripheral blood mononuclear cells. We present protocols for 1) reprogramming human PBMCs to iPSCs, 2) robust generation of beating cardiomyocytes from human iPSCs, 3) rapid expansion of early iPSC-CMs, 4) molecular characterization of human iPSC-CMs, and 5) electrophysiological measurement of human iPSC-CMs at the single-cell level by patch clamp. This protocol covers the detailed experimental procedures on converting patient blood cells into beating cardiomyocytes.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protocols and informed consent for human subjects were approved by the Institutional Review Board (IRB) at Nationwide Children’s Hospital.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cell culture media, solutions, and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PBMC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Mix 20 mL of basal PBMC culture media (1x) and 0.52 mL of supplement. Add 20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SCF and FLT3 each (stock concentration: 100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g/mL), 4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IL3, IL6 and EPO each (stock concentration: 100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g/mL) and 200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L-glutamine alternative (100x). Mix them thoroughly. Filter in a sterile hood using a 0.22-</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m filter unit. Name this as Complete Blood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Mix 20 mL of basal PBMC culture media (1x) and 0.52 mL of the Supplement. Add 200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L-glutamine alternative (100x). Mix them thoroughly. Filter using a 0.22-</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m filter unit. Name this as Supplement Blood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complete E8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Mix 500 mL of E8 basal media and 10 mL of E8 supplement (thawed overnight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to make complete E8 media. Equilibrate to room temperature (RT)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iPSC passaging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Add 40 &amp;#956;L of Y-27632 Rock inhibitor (1:5,000 dilution, stock concentration: 10 mM) to 200 mL of complete E8 media. Mix it thoroughly. Equilibrate to RT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cardiomyocyte differentiation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Media I: Mix 500 mL of RPMI1640 with 10 mL of B27 minus insulin supplement (50x).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Media II: Add an appropriate volume of CHIR99021 (GSK3 inhibitor) stock to Media I (final concentration of 6 &amp;#956;M). Mix thoroughly.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Media III: Add an appropriate volume of IWR-1 (Wnt inhibitor) stock to Media I (to a final concentration of 5 &amp;#956;M). Mix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Media IV: Mix 500 mL of RPMI1640 with 10 mL of B27 supplement (50x). Mix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Media V: Mix 500 mL of RPMI1640 (no glucose) with 10 mL of B27 supplement (50x). Mix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 Media VI: Add an appropriate volume of CHIR99021 stock to Media IV (to a final concentration of 2 &amp;#956;M). Mix thoroughly.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Prepare iPSC-CM passaging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Add 10 mL of Knockout Serum Replacement (KSR) to 90 mL of Media IV (KSR final concentration: 10%). Mix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Prepare iPSC-CM freezing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Add 1 mL of DMSO to 9 mL of KSR (final concentrations: 10% DMSO/90% KSR) and mix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Prepare basement membrane matrix medium-coated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 Thaw basement membrane matrix medium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 and aliquot in 1.5 mL tubes. Add 1 mL of this medium to 250 mL of DMEM/F12 media (1:250 dilution) and mix them thoroughly. Apply 2 mL of the diluted solution per well in a 6-well plate and incubate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min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iPSC reprogramming of PBMCs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Separate PBMCs from blood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Collect patient blood samples (~5 mL) and transfer into blood cell separation tubes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Mix by inverting 10x.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Centrifuge at 1,500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Take the tubes out carefully and spray with 70% ethanol. Under a biosafety hood, remove the caps without disturbing the mononuclear cells (buffy layer). PBMCs will be in a whitish layer just under the plasma layer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Collect the whole buffy layer using a 1000 </w:t>
      </w:r>
      <w:r>
        <w:rPr>
          <w:rFonts w:ascii="Calibri" w:hAnsi="Calibri" w:cs="Calibri" w:eastAsia="Calibri"/>
          <w:color w:val="auto"/>
          <w:spacing w:val="0"/>
          <w:position w:val="0"/>
          <w:sz w:val="22"/>
          <w:shd w:fill="FFFF00" w:val="clear"/>
        </w:rPr>
        <w:t xml:space="preserve">&amp;#956;</w:t>
      </w:r>
      <w:r>
        <w:rPr>
          <w:rFonts w:ascii="Calibri" w:hAnsi="Calibri" w:cs="Calibri" w:eastAsia="Calibri"/>
          <w:color w:val="auto"/>
          <w:spacing w:val="0"/>
          <w:position w:val="0"/>
          <w:sz w:val="24"/>
          <w:shd w:fill="FFFF00" w:val="clear"/>
        </w:rPr>
        <w:t xml:space="preserve">L pipette and transfer to a 15 mL conical tube.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Count the cell number using an automated cell counter. Spin the tube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25 min at RT.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Discard the supernatant. Wash with 10 mL of DPBS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free).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Spin the tube at 300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for 15 min at RT.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Remove the supernatant. Resuspend cell pellets in 1 mL of the freezing media (KSR plus 10% DMSO). Adjust cell density to make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vial.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Place PBMC cryovials in a cell freezing container and keep at -80 </w:t>
      </w:r>
      <w:r>
        <w:rPr>
          <w:rFonts w:ascii="Calibri" w:hAnsi="Calibri" w:cs="Calibri" w:eastAsia="Calibri"/>
          <w:color w:val="auto"/>
          <w:spacing w:val="0"/>
          <w:position w:val="0"/>
          <w:sz w:val="22"/>
          <w:shd w:fill="FFFF00" w:val="clear"/>
        </w:rPr>
        <w:t xml:space="preserve">&amp;#176;</w:t>
      </w:r>
      <w:r>
        <w:rPr>
          <w:rFonts w:ascii="Calibri" w:hAnsi="Calibri" w:cs="Calibri" w:eastAsia="Calibri"/>
          <w:color w:val="auto"/>
          <w:spacing w:val="0"/>
          <w:position w:val="0"/>
          <w:sz w:val="24"/>
          <w:shd w:fill="FFFF00" w:val="clear"/>
        </w:rPr>
        <w:t xml:space="preserve">C overnight. Transfer to a liquid nitrogen tank for long-time storage the next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iPSC reprogramming.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Add 3 mL of Supplement Blood Media in a 15 mL conical tube. Thaw PBMCs in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water bath and transfer them to a conical tube. Spin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7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Discard the supernatant. Resuspend PBMCs with Complete Blood Media. Seed them into two wells of a 24 well tissue culture plates (no basement membrane matrix).</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Incubate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overnight. The next day gently remove half of the old media (0.5 ml) and add 0.5 mL of fresh Complete Blood Media.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Change media every other day by refreshing half of the old media.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After a week, aggressively wash the well with 1 mL of Supplement Blood Media and transfer cells into a 15 mL centrifuge tube.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Count the cell number. Take 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and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7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Discard the supernatant. Resuspend cells with 300 </w:t>
      </w:r>
      <w:r>
        <w:rPr>
          <w:rFonts w:ascii="Calibri" w:hAnsi="Calibri" w:cs="Calibri" w:eastAsia="Calibri"/>
          <w:color w:val="auto"/>
          <w:spacing w:val="0"/>
          <w:position w:val="0"/>
          <w:sz w:val="22"/>
          <w:shd w:fill="FFFF00" w:val="clear"/>
        </w:rPr>
        <w:t xml:space="preserve">&amp;#956;</w:t>
      </w:r>
      <w:r>
        <w:rPr>
          <w:rFonts w:ascii="Calibri" w:hAnsi="Calibri" w:cs="Calibri" w:eastAsia="Calibri"/>
          <w:color w:val="auto"/>
          <w:spacing w:val="0"/>
          <w:position w:val="0"/>
          <w:sz w:val="24"/>
          <w:shd w:fill="FFFF00" w:val="clear"/>
        </w:rPr>
        <w:t xml:space="preserve">L of Complete Blood Media. Perform transfection by adding appropriate volume of Sendai virus reprogramming vectors according to the manufacturer’s instructions. Transfer them into one well of a 24-well plate (no basement membrane matrix). Incubate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overnight.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The next day spin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7 min. Remove the supernatant and resuspend in 2 mL of Complete Blood Media. Transfer into one well of a 6 well plate pre-coated with basement membrane matrix. This is Day 1 (D1).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Don’t touch the plate the next day.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w:t>
        <w:tab/>
        <w:t xml:space="preserve">On D3, remove 1 mL of the old media. Add 1 mL of Supplement Blood Media.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Repeat step 2.2.10 on D5.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w:t>
        <w:tab/>
        <w:t xml:space="preserve">On D7, remove 1 mL of the old media. Add 1 mL of complete E8 media.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w:t>
        <w:tab/>
        <w:t xml:space="preserve">On D8, Repeat step 2.2.12.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2.2.14.</w:t>
        <w:tab/>
        <w:t xml:space="preserve">On D9, remove the old media. Add 2 mL of complete E8 media. Completely reprogrammed cells are expected to attach and start forming colonies.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2.2.15.</w:t>
        <w:tab/>
        <w:t xml:space="preserve">Refresh with 2 mL of complete E8 media every day.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2.2.16.</w:t>
        <w:tab/>
        <w:t xml:space="preserve">Around 2 weeks after Sendai virus transduction, large iPSC colonies will appear and be ready for picking.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2.2.17.</w:t>
        <w:tab/>
        <w:t xml:space="preserve">Cut iPSC colonies under a stereomicroscope in the hood and transfer individual colonies to a basement membrane-coated 24well plate pre-loaded with 0.5 mL of iPSC passaging media.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2.2.18.</w:t>
        <w:tab/>
        <w:t xml:space="preserve">Refresh with 0.5 mL of complete E8 media every day until iPSC colonies grow large enough for passaging into a new basement membrane matrix-coated 6-well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Human iPSC maintenance and passaging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When human iPSCs reach over 90% confluency, remove old media. Rinse with 3 mL of DPBS once.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1 mL of 0.5 mM EDTA in DPBS solution. Incubate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5-8 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Remove EDTA by aspiration. Add 1 mL of iPSC passaging media. Manually dislodge iPSCs.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Take 600-900 </w:t>
      </w:r>
      <w:r>
        <w:rPr>
          <w:rFonts w:ascii="Calibri" w:hAnsi="Calibri" w:cs="Calibri" w:eastAsia="Calibri"/>
          <w:color w:val="auto"/>
          <w:spacing w:val="0"/>
          <w:position w:val="0"/>
          <w:sz w:val="22"/>
          <w:shd w:fill="FFFF00" w:val="clear"/>
        </w:rPr>
        <w:t xml:space="preserve">&amp;#956;</w:t>
      </w:r>
      <w:r>
        <w:rPr>
          <w:rFonts w:ascii="Calibri" w:hAnsi="Calibri" w:cs="Calibri" w:eastAsia="Calibri"/>
          <w:color w:val="auto"/>
          <w:spacing w:val="0"/>
          <w:position w:val="0"/>
          <w:sz w:val="24"/>
          <w:shd w:fill="FFFF00" w:val="clear"/>
        </w:rPr>
        <w:t xml:space="preserve">L of single cell suspension and re-plate them onto a basement membrane-coated 6-well plate (dilution: 1:6 to 1:10). Incubate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37 </w:t>
      </w:r>
      <w:r>
        <w:rPr>
          <w:rFonts w:ascii="Calibri" w:hAnsi="Calibri" w:cs="Calibri" w:eastAsia="Calibri"/>
          <w:color w:val="auto"/>
          <w:spacing w:val="0"/>
          <w:position w:val="0"/>
          <w:sz w:val="22"/>
          <w:shd w:fill="FFFF00" w:val="clear"/>
        </w:rPr>
        <w:t xml:space="preserve">&amp;#176;</w:t>
      </w:r>
      <w:r>
        <w:rPr>
          <w:rFonts w:ascii="Calibri" w:hAnsi="Calibri" w:cs="Calibri" w:eastAsia="Calibri"/>
          <w:color w:val="auto"/>
          <w:spacing w:val="0"/>
          <w:position w:val="0"/>
          <w:sz w:val="24"/>
          <w:shd w:fill="FFFF00" w:val="clear"/>
        </w:rPr>
        <w:t xml:space="preserve">C overnight.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Refresh with 2 mL of complete E8 media every day. The iPSC cultures usually reach confluency after 3-4 days.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Chemically defined cardiomyocyte differentiation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Culture human iPSCs in complete E8 media until 95% confluent (3-4 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Remove the old media. Add 2 mL of CM differentiation Media II (6 </w:t>
      </w:r>
      <w:r>
        <w:rPr>
          <w:rFonts w:ascii="Calibri" w:hAnsi="Calibri" w:cs="Calibri" w:eastAsia="Calibri"/>
          <w:color w:val="auto"/>
          <w:spacing w:val="0"/>
          <w:position w:val="0"/>
          <w:sz w:val="22"/>
          <w:shd w:fill="FFFF00" w:val="clear"/>
        </w:rPr>
        <w:t xml:space="preserve">&amp;#956;</w:t>
      </w:r>
      <w:r>
        <w:rPr>
          <w:rFonts w:ascii="Calibri" w:hAnsi="Calibri" w:cs="Calibri" w:eastAsia="Calibri"/>
          <w:color w:val="auto"/>
          <w:spacing w:val="0"/>
          <w:position w:val="0"/>
          <w:sz w:val="24"/>
          <w:shd w:fill="FFFF00" w:val="clear"/>
        </w:rPr>
        <w:t xml:space="preserve">M CHIR in RPMI1640 plus B27 minus insulin supplement) to each well of a 6-well plate. This is D0. Do not touch on D1.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On D2, replace with 2 mL of CM differentiation Media I (RPMI1640 plus B27 minus insulin supplement).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On D3, replace with 2 mL of CM differentiation Media III (5 </w:t>
      </w:r>
      <w:r>
        <w:rPr>
          <w:rFonts w:ascii="Calibri" w:hAnsi="Calibri" w:cs="Calibri" w:eastAsia="Calibri"/>
          <w:color w:val="auto"/>
          <w:spacing w:val="0"/>
          <w:position w:val="0"/>
          <w:sz w:val="22"/>
          <w:shd w:fill="FFFF00" w:val="clear"/>
        </w:rPr>
        <w:t xml:space="preserve">&amp;#956;</w:t>
      </w:r>
      <w:r>
        <w:rPr>
          <w:rFonts w:ascii="Calibri" w:hAnsi="Calibri" w:cs="Calibri" w:eastAsia="Calibri"/>
          <w:color w:val="auto"/>
          <w:spacing w:val="0"/>
          <w:position w:val="0"/>
          <w:sz w:val="24"/>
          <w:shd w:fill="FFFF00" w:val="clear"/>
        </w:rPr>
        <w:t xml:space="preserve">M IWR-1 in RPMI1640 plus B27 minus insulin supplement). Do not touch on D4.</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On D5, replace with 2 mL of CM differentiation Media I.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On D7, replace with 2 mL of CM differentiation Media IV (RPMI1640 plus B27 supplement). Thereafter, refresh the media every other day.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On D11 when contracting cells are observed, replace with 2 mL of CM differentiation Media V (no glucose).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On D13, replace with 2 mL of CM differentiation Media V.</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On D15, replace with 2 mL of CM differentiation Media IV.</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On D17-D21, replace with 2 mL of CM differentiation Media IV every other day.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Passage human iPSC-CMs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Remove old media and rinse cells with 3 mL of DPBS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Apply 1 mL of CM dissociation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each well of a 6-well plate. Incubate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5-8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Mechanically dissociate iPSC-CMs into single cells by vigorous pipetting.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Transfer cells into a 15 mL conical tube. Add 2 mL of CM passaging media (10% KSR in RMPI1640 plus B27 supplement) to neutralize CM dissociation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Spin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Discard the supernatant. Resuspend cells with a desired volume of CM passaging media. Seed them into a basement membrane-coated plate/dish. Human iPSC-CMs resume beating 1-3 days after passaging.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Expansion of human iPSC-CMs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Rinse D10-12 beating iPSC-CMs with 3 mL of DPBS for each well of a 6-well plate once. Add 1 mL of CM dissociation solution (Step 5.2). Incubate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7-10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Mechanically dissociate iPSC-CMs into single cells by vigorous pipetting.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Transfer cells into a 15 mL conical tube. Add 2 mL of CM passaging media to neutralize CM dissociation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Spin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Discard the supernatant. Resuspend cells with an appropriate volume of CM passaging media. Pipette up and down to make single cell suspension. Seed one million of iPSC-CMs into a basement membrane-coated 10 cm dish.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The next day remove old media. Add 10 mL of cardiomyocyte proliferation media (Media VI: 2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M CHIR99021). Change the media every other day.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When iPSC-CMs become confluent after 7-9 days’ culture, repeat the passaging step for further expansion of iPSC-CMs.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 Immunofluorescence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Before immunofluorescence staining, seed iPSC-CMs onto Matrigel-coated coverslips that are placed in a 24 well plate (seeding density: 0.5-1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Maintain iPSC-CMs in culture for at least 4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Wash cells using 1 mL of DPBS once.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Add 0.5 mL of 4% paraformaldehyde (PFA) and incubate for 15 min at RT.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Wash cells using 1 mL of DPBS. Repeat once.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Add 0.5 mL of 0.1% Triton X-100 and incubate for 20 min at RT.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Wash with 1 mL of DPBS twice.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Add 0.5 mL of 0.2% BSA in DPBS (blocking solution). Incubate at RT for 1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Add 200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primary antibody diluted with blocking solution (dilution: 1:400-1:1000) Incubate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Wash cells using 0.5 mL of blocking solution for 3 min with shaking. Repeat twice.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Add 200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secondary antibody diluted in the blocking solution. Incubate at RT for 1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Rinse cells three times with 0.5 mL of DPBS, each for 3 min with shaking.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Counterstain nuclei with DAPI (1:2000 dilution) and incubate for 5 min at RT.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Rinse cells three times with 0.5 mL of DPBS.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Mount cells on the coverslips onto a microscope slide using 5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mounting media. Store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protect from light.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 Flow cytometry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Wash human iPSC-CMs with 3 mL of DPBS once.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Add 1 mL of CM dissociation solution and incubate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7-10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Dislodge cells using a 1,000-</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pipette. Transfer cell suspension to a round FACS tube through a strainer cap. The FACS tube is pre-filled with 1 mL of iPSC-CM passaging media (10% KSR) to neutralize the enzyme activity.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Spin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Remove supernatant without disturbing cell pellet. Add 250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Fixation/Permeabilization solution (see Table of Materials). Incubate for 20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Add 1 mL of Perm/Wash buffer. Vortex briefly and spin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4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Discard the supernatant. Add 100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diluted primary antibodies (1:200-1:500) in 1x Perm/Wash buffer. Vortex briefly and incubate overnight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Wash cells by adding 1 mL of Perm/Wash buffer. Vortex briefly and spin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4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Discard the supernatant. Add 100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diluted secondary antibodies (1:500-1:1,000). Vortex briefly and incubate at RT for 1 h. Protect from light if secondary antibodies are conjugated with light-sensitive fluorescence.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w:t>
        <w:tab/>
        <w:t xml:space="preserve">Wash cells by adding 1 mL of Perm/wash buffer. Vortex briefly and spin at 300g for 4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Discard the supernatant. Resuspend cells with 400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FACS staining buffer (PBS/4% FBS). Store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until loading to a FACS instrument.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9. Real time qPCR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Remove old media in human iPSC-CM culture. Add 500-700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lysis buffer to lysate cells. Incubate for 3 min at RT. Scape cell lysate and transfer to a 1.5-ml RNase-free tube. Proceed to total RNA extraction immediately or store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Isolate total RNA using an RNA extraction kit following the manufacturer’s instruction.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Measure the RNA concentration and assess the quality of total RNA by a spectrophotometer.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Perform reverse transcription reaction using a cDNA synthesis kit. Total volume of RT reaction is 20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including 4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reaction mix (5x), 1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reverse transcriptase,1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g of total RNA and RNase-free water.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Incubate the complete RT reaction mix in a thermal cycler using the following protocol: 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5 min; 46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20 min; 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 min; hold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Dilute cDNA by 1:10 using nuclease-free water. Set up real time qPCR reaction by mixing 1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cDNA template, 1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primers/probe, 10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qPCR master mix and 8 </w:t>
      </w:r>
      <w:r>
        <w:rPr>
          <w:rFonts w:ascii="Calibri" w:hAnsi="Calibri" w:cs="Calibri" w:eastAsia="Calibri"/>
          <w:color w:val="auto"/>
          <w:spacing w:val="0"/>
          <w:position w:val="0"/>
          <w:sz w:val="22"/>
          <w:shd w:fill="auto" w:val="clear"/>
        </w:rPr>
        <w:t xml:space="preserve">&amp;#956;</w:t>
      </w:r>
      <w:r>
        <w:rPr>
          <w:rFonts w:ascii="Calibri" w:hAnsi="Calibri" w:cs="Calibri" w:eastAsia="Calibri"/>
          <w:color w:val="auto"/>
          <w:spacing w:val="0"/>
          <w:position w:val="0"/>
          <w:sz w:val="24"/>
          <w:shd w:fill="auto" w:val="clear"/>
        </w:rPr>
        <w:t xml:space="preserve">L of nuclease-free water.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Run in a real-time PCR system. The cycling protocol is 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2 min (hold), 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10 min (hold), 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15 sec, 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1 min, repeat for 40 cycles.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w:t>
        <w:tab/>
        <w:t xml:space="preserve">Collect C</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values for each gene in each sample. Relative mRNA abundance is calculated by subtracting the C</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value of target gene from the C</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value of a housekeeping gene. Relative gene expression is analyzed by the 2</w:t>
      </w:r>
      <w:r>
        <w:rPr>
          <w:rFonts w:ascii="Calibri" w:hAnsi="Calibri" w:cs="Calibri" w:eastAsia="Calibri"/>
          <w:color w:val="auto"/>
          <w:spacing w:val="0"/>
          <w:position w:val="0"/>
          <w:sz w:val="24"/>
          <w:shd w:fill="auto" w:val="clear"/>
          <w:vertAlign w:val="superscript"/>
        </w:rPr>
        <w:t xml:space="preserve">-&amp;#916;&amp;#916;CT</w:t>
      </w:r>
      <w:r>
        <w:rPr>
          <w:rFonts w:ascii="Calibri" w:hAnsi="Calibri" w:cs="Calibri" w:eastAsia="Calibri"/>
          <w:color w:val="auto"/>
          <w:spacing w:val="0"/>
          <w:position w:val="0"/>
          <w:sz w:val="24"/>
          <w:shd w:fill="auto" w:val="clear"/>
        </w:rPr>
        <w:t xml:space="preserve"> method.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10. Whole-cell patch clamp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Dissociate iPSC-CMs into single cells using CM dissociation solution as previously described.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Seed cells at a low density on basement membrane matrix-coated coverslips. Culture them for 3-4 days in Media IV.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Pull pipettes (resistance 0.9-1.5 M) from borosilicate glass capillaries using a horizontal microelectrode puller.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Incubate cells in Tyrode’s solution (pH=7.35).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Fill pipettes with electrode solution (pH=7.3) composed of the following chemicals: 120 mM aspartic acid, 20 mM KCl, 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mM HEPES, 10 mM NaCl, 5 mM EGTA, 0.3 mM Na-GTP, 14 mM phosphocreatine, 4 mM K-ATP and 2mM creatine phosphokinase.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Place cells in the current clamp mode using a 1.5-2 diastolic threshold 5 ms current pulse at 1 Hz.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Record action potentials (APs) using a microelectrode amplifier and a software-driven acquisition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Human iPSC reprogramming from PBMCs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pre-culture with Complete Blood Media for 7 days, PBMCs become large with visible nuclei and cytoplasm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indicating that they are ready for virus transfection. After transfection with the Sendai virus reprogramming factors, PBMCs will undergo an epigenetic reprogramming process for another week. Typically, we get 30-50 iPSC colonies from the transfection of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PBMCs and the reprogramming efficiency is 0.03%-0.05%. Completely reprogrammed cells will attach and start forming colonies when they are introduced to the complete E8 media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These early iPSC colonies are expanded for another 7 days and then mechanically cut and picked up individually. Each iPSC colony is transferred to one well of a 6-well plate to establish individual iPSC lines. After 4-5 passages, iPSC colonies will become pure with very few differentiated cells around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At this stage, most of the cells in iPSC colonies are OCT4 and NANOG positive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demonstrating their pluripotency. Stable iPSC lines are established by the fifth passage.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Cardiac differentiation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cardiac differentiation protocol is depicted in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Cardiac differentiation is initiated when iPSCs are maintained for at least 10 passages. The degree of iPSC confluency is critical when CHIR99021 is applied. The cell density is more than 90% confluent but not over confluent. If iPSC colonies become too crowded, they will start spontaneous differentiation which will negatively affect the directed cardiomyocyte differentiation efficiency. Beating cardiomyocytes are usually observed after day 12 of differentiation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The date in which the onset of beating occurs varies and is dependent on the iPSC lines in use. After glucose starvation and replating, iPSC-CMs show spontaneous beating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and aligned sarcomere structure with intercalated cardiac troponin T (TNNT2) and &amp;#945;-actinin (</w:t>
      </w:r>
      <w:r>
        <w:rPr>
          <w:rFonts w:ascii="Calibri" w:hAnsi="Calibri" w:cs="Calibri" w:eastAsia="Calibri"/>
          <w:b/>
          <w:color w:val="auto"/>
          <w:spacing w:val="0"/>
          <w:position w:val="0"/>
          <w:sz w:val="24"/>
          <w:shd w:fill="auto" w:val="clear"/>
        </w:rPr>
        <w:t xml:space="preserve">Figures 1G-H</w:t>
      </w:r>
      <w:r>
        <w:rPr>
          <w:rFonts w:ascii="Calibri" w:hAnsi="Calibri" w:cs="Calibri" w:eastAsia="Calibri"/>
          <w:color w:val="auto"/>
          <w:spacing w:val="0"/>
          <w:position w:val="0"/>
          <w:sz w:val="24"/>
          <w:shd w:fill="auto" w:val="clear"/>
        </w:rPr>
        <w:t xml:space="preserve">). In addition, the purity of iPSC-CMs is high, with more than 93% of cells being TNNT2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as shown by FACS analysis (</w:t>
      </w:r>
      <w:r>
        <w:rPr>
          <w:rFonts w:ascii="Calibri" w:hAnsi="Calibri" w:cs="Calibri" w:eastAsia="Calibri"/>
          <w:b/>
          <w:color w:val="auto"/>
          <w:spacing w:val="0"/>
          <w:position w:val="0"/>
          <w:sz w:val="24"/>
          <w:shd w:fill="auto" w:val="clear"/>
        </w:rPr>
        <w:t xml:space="preserve">Figure 1I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iPSC-CMs are relatively immature compared to adult cardiomyocytes, they show ventricular- and atrial-like action potentials measured by whole-cell patch clamp (</w:t>
      </w:r>
      <w:r>
        <w:rPr>
          <w:rFonts w:ascii="Calibri" w:hAnsi="Calibri" w:cs="Calibri" w:eastAsia="Calibri"/>
          <w:b/>
          <w:color w:val="auto"/>
          <w:spacing w:val="0"/>
          <w:position w:val="0"/>
          <w:sz w:val="24"/>
          <w:shd w:fill="auto" w:val="clear"/>
        </w:rPr>
        <w:t xml:space="preserve">Figures 2A,B</w:t>
      </w:r>
      <w:r>
        <w:rPr>
          <w:rFonts w:ascii="Calibri" w:hAnsi="Calibri" w:cs="Calibri" w:eastAsia="Calibri"/>
          <w:color w:val="auto"/>
          <w:spacing w:val="0"/>
          <w:position w:val="0"/>
          <w:sz w:val="24"/>
          <w:shd w:fill="auto" w:val="clear"/>
        </w:rPr>
        <w:t xml:space="preserve">). In a typical cardiac differentiation, day 30 iPSC-CMs are a mixture of ventricular-, atrial-, and nodal-like subtypes, with ventricular CMs accounting for the majority (60%,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using the abovementioned differentiation protocol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Different differentiation protocols yield varying percentages of cardiomyocyte subtypes due to distinct signaling pathways activation during cell lineage determination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Ventricular CMs are labeled with MYL2 (MLC2v,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whereas atrial iPSC-CMs are marked by NR2F2 (COUP-TFII,</w:t>
      </w:r>
      <w:r>
        <w:rPr>
          <w:rFonts w:ascii="Calibri" w:hAnsi="Calibri" w:cs="Calibri" w:eastAsia="Calibri"/>
          <w:b/>
          <w:color w:val="auto"/>
          <w:spacing w:val="0"/>
          <w:position w:val="0"/>
          <w:sz w:val="24"/>
          <w:shd w:fill="auto" w:val="clear"/>
        </w:rPr>
        <w:t xml:space="preserve"> Figure 2E</w:t>
      </w:r>
      <w:r>
        <w:rPr>
          <w:rFonts w:ascii="Calibri" w:hAnsi="Calibri" w:cs="Calibri" w:eastAsia="Calibri"/>
          <w:color w:val="auto"/>
          <w:spacing w:val="0"/>
          <w:position w:val="0"/>
          <w:sz w:val="24"/>
          <w:shd w:fill="auto" w:val="clear"/>
        </w:rPr>
        <w:t xml:space="preserve">). These markers are highly expressed in more mature iPSC-CMs (&amp;gt;D30) rather than those in early stage.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Expansion of iPSC-CMs by Wnt activation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mammals, adult cardiomyocytes do not actively divide for self-renewal. This phenomenon also takes place for human iPSC-CMs. Once mature beyond D30, cell division of iPSC-CMs is a rare event, thus limiting their ability for clinical- and industrial-level mass production. To mimic the developmental environment during embryonic cardiomyocyte proliferation, we activate the Wnt pathway by CHIR99021 to stimulate the multiplication of early iPSC-CMs. D12-14 iPSC-CMs (after purification by glucose deprivation) are seeded at a low density in the presence of 2 &amp;#956;M CHIR99021. Wnt activation stimulates cell division of iPSC-CMs and promotes the expression of cell cycle regulators such as Cyclin D1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which can push the cell cycle to advance through the G1 phase. Interestingly, CHIR99021 enables robust proliferation of early iPSC-CMs for 2 passages compared to the controls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However, the proliferation ability of iPSC-CMs diminishes with extensive passage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which is consistent with the limited and well-controlled cardiac proliferation during embryonic heart development. In addition, it does not appear that CHIR99021 is able to stimulate the expansion of more mature iPSC-CMs when they reach over 30 days of differentiation and develop stable sarcomere structures.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Human iPSC reprogramming and cardiomyocyte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schematic diagram showing the PBMC layer after separation of patient blood samples.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Enlarged PBMCs are ready for transfection.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Early human iPSC colonies.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established iPSC line at passage 5.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Human iPSCs are positive for the pluripotency markers OCT4 (green) and NANOG (red). Nuclei are counterstained by DAPI (blue).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Overview of a cardiomyocyte differentiation protocol. (</w:t>
      </w:r>
      <w:r>
        <w:rPr>
          <w:rFonts w:ascii="Calibri" w:hAnsi="Calibri" w:cs="Calibri" w:eastAsia="Calibri"/>
          <w:b/>
          <w:color w:val="auto"/>
          <w:spacing w:val="0"/>
          <w:position w:val="0"/>
          <w:sz w:val="24"/>
          <w:shd w:fill="auto" w:val="clear"/>
        </w:rPr>
        <w:t xml:space="preserve">G-H</w:t>
      </w:r>
      <w:r>
        <w:rPr>
          <w:rFonts w:ascii="Calibri" w:hAnsi="Calibri" w:cs="Calibri" w:eastAsia="Calibri"/>
          <w:color w:val="auto"/>
          <w:spacing w:val="0"/>
          <w:position w:val="0"/>
          <w:sz w:val="24"/>
          <w:shd w:fill="auto" w:val="clear"/>
        </w:rPr>
        <w:t xml:space="preserve">) Sarcomere structure of iPSC-CMs is revealed by immunofluorescence staining using antibodies against TNNT2 (green) and &amp;#945;-actinin (red). Nuclei are counterstained by DAPI (blue).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FACS analysis of iPSC-CMs using an antibody against TNNT2. Scale bars: 200 &amp;#956;m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50 &amp;#956;m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20 &amp;#956;m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Cardiomyocyte subtypes in human iPSC-CMs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Representative action potential durations for ventricular-like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atrial-like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iPSC-CMs.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percentages of ventricular-, atrial- and nodal-like subtypes in human iPSC-CMs. (</w:t>
      </w:r>
      <w:r>
        <w:rPr>
          <w:rFonts w:ascii="Calibri" w:hAnsi="Calibri" w:cs="Calibri" w:eastAsia="Calibri"/>
          <w:b/>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 D30 iPSC-CMs are stained with antibodies against ventricular cardiomyocyte marker MYL2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atrial marker NR2F2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Cells are simultaneously stained with a TNNT2 antibody. Nuclei are counterstained by DAPI (blue). Scale bars: 50 &amp;#956;m (</w:t>
      </w:r>
      <w:r>
        <w:rPr>
          <w:rFonts w:ascii="Calibri" w:hAnsi="Calibri" w:cs="Calibri" w:eastAsia="Calibri"/>
          <w:b/>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Expansion of human iPSC-CMs by Wnt activation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Percentage of Cyclin D1 positive iPSC-CMs is increased in the presence of CHIR99021. Cells are double stained with antibodies against TNNT2 (red) and Cyclin D1 (green). Nuclei are counterstained by DAPI (blue).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 number fold changes during the expansion of human iPSC-CMs with or without CHIR99021 in the first 3 passages. Y-axis shows the cell number fold changes. CHIR99021 stimulates the robust proliferation of early iPSC-CMs. Scale bars: 50 &amp;#956;m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Beating human iPSC-CMs at day 18 of differentiation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Beating human iPSC-CMs at day 25 after metabolic purification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iPSC reprogramming, it is critical to culture PBMCs for 1 week until they are enlarged with clear nuclei and cytoplasm. Because PBMCs do not proliferate, an appropriate cell number for viral transduction is important for successful iPSC reprogramming. Cell number of PBMCs, multiplicity of infection (MOI) and titer of virus should be considered and adjusted to reach the optimal transduction outcomes. For cardiac differentiation, initial seeding density is critical for iPSCs to reach over 90% confluent on the day when CHIR99021 is administered. On one hand, if iPSCs are less confluent at the time of cardiac differentiation, CHIR99021 will be toxic and lead to substantial cell death. On the other hand, if iPSCs are over confluent, they will undergo spontaneous differentiation which will compromise the efficiency of directed cardiac differentiation. For the expansion of early iPSC-CMs, the timing and cardiomyocyte quality should be taken into account. Early iPSC-CMs can robustly multiply only when the purity of cardiomyocytes is high enough. Existing non-cardiomyocytes in the culture may also proliferate in response to CHIR99021 treatment, which will negatively affect the proliferation of early iPSC-CMs. In addition, it is crucial to stimulate cardiomyocyte expansion by day 20 of differentiation. Once iPSC-CMs pass over day 30, it will be difficult for them to resume robust dividing.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iPSCs were initially derived from dermal and lung fibroblasts via retrovirus-mediated transfection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There are two major issues with these reprogramming methods that prevent the progress in clinical translation of patient iPSCs: 1) the retrovirus integrates into the host genome thus introducing potential genetic mutations; 2) patient-derived fibroblasts require skin biopsies which many patients may decline. In this protocol, we describe a protocol that utilizes commercial non-integration Sendai virus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PBMCs to robustly derive patient iPSCs. These iPSCs are free of exogenous reprogramming vectors and can be maintained with self-renewal and pluripotency indefinitely. In addition, patient blood samples are easily collected in clinical laboratories. Our protocol is versatile and can be used for mass production of patient- and disease-specific iPSCs for large-scale repository and clinical translations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Robust cardiomyocyte differentiation is achieved by sequential modulation of specific signaling pathways during cardiac differentiation from human iPSCs. Key pathways involved in cardiac specification and proliferation include Wnt, BMP, Activin, NOTCH, VEGF and retinoic acid (RA) </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Here we present an efficient cardiac differentiation protocol by sequential modulation of Wnt signaling by small chemicals: first activation by CHIR99021 and then inhibition by IWR-1</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Small chemicals are stable and give consistent differentiation outcomes compared to those using growth factors. Most iPSC-CMs generated by this protocol are ventricular-like cardiomyocytes, mixed with atrial- and nodal-like cells. Precision generation of subtype-specific cardiomyocytes is achieved through fine-tuning later differentiation steps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For example, addition of RA immediately after IWR-1 treatment yields a high percentage of atrial-like cardiomyocytes whereas RA inhibition promotes generation of ventricular-like iPSC-CMs</w:t>
      </w:r>
      <w:r>
        <w:rPr>
          <w:rFonts w:ascii="Calibri" w:hAnsi="Calibri" w:cs="Calibri" w:eastAsia="Calibri"/>
          <w:color w:val="auto"/>
          <w:spacing w:val="0"/>
          <w:position w:val="0"/>
          <w:sz w:val="24"/>
          <w:shd w:fill="auto" w:val="clear"/>
          <w:vertAlign w:val="superscript"/>
        </w:rPr>
        <w:t xml:space="preserve">18,22</w:t>
      </w:r>
      <w:r>
        <w:rPr>
          <w:rFonts w:ascii="Calibri" w:hAnsi="Calibri" w:cs="Calibri" w:eastAsia="Calibri"/>
          <w:color w:val="auto"/>
          <w:spacing w:val="0"/>
          <w:position w:val="0"/>
          <w:sz w:val="24"/>
          <w:shd w:fill="auto" w:val="clear"/>
        </w:rPr>
        <w:t xml:space="preserve">. Wnt signaling activation at a later stage of differentiation promotes the induction of cardiac progenitor cells to nodal-like cardiomyocytes</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which is promising for the generation of patient-specific biological pacemaker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iPSC-CMs are immature and have limited proliferation ability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During embryonic cardiac development, the maturation proceeds while the proliferation diminishes. There is a narrow window when iPSC-CMs can be stimulated for robust proliferation, which is reflective of embryonic cardiomyocyte expansion. Here we use a Wnt activator CHIR99021 to promote the proliferation of early iPSC-CMs for a limited period, which is consistent with a recent report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is speculated that the Wnt signaling pathway affects cardiomyocyte proliferation possibly through the crosstalk with multiple upstream pathways such as NOTCH and Hippo</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NOTCH signaling promotes cardiomyocyte proliferation whereas the Hippo pathway restricts cardiac growth and heart size</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It is still unknown how the interaction between NOTCH and Hippo determines downstream Wnt activity and fine-tunes an appropriate degree of cardiac proliferation. Our protocol has provided an interesting model for cardiomyocyte proliferation to study disease mechanisms of congenital heart defects that are caused by the hypoplasia of ventricular cardiomyocytes, such as hypoplastic left heart syndrome (HLHS) and pulmonary atresia with intact ventricular septum (PA-IVS).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American Heart Association (AHA) Career Development Award 18CDA34110293 (M-T.Z.), Additional Ventures AVIF and SVRF awards (M-T.Z.), National Institutes of Health (NIH/NHLBI) grants 1R01HL124245, </w:t>
      </w:r>
      <w:r>
        <w:rPr>
          <w:rFonts w:ascii="Calibri" w:hAnsi="Calibri" w:cs="Calibri" w:eastAsia="Calibri"/>
          <w:color w:val="auto"/>
          <w:spacing w:val="0"/>
          <w:position w:val="0"/>
          <w:sz w:val="24"/>
          <w:shd w:fill="FFFFFF" w:val="clear"/>
        </w:rPr>
        <w:t xml:space="preserve">1R01HL132520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FFFFFF" w:val="clear"/>
        </w:rPr>
        <w:t xml:space="preserve">R01HL096962 (I.D.)</w:t>
      </w:r>
      <w:r>
        <w:rPr>
          <w:rFonts w:ascii="Calibri" w:hAnsi="Calibri" w:cs="Calibri" w:eastAsia="Calibri"/>
          <w:color w:val="auto"/>
          <w:spacing w:val="0"/>
          <w:position w:val="0"/>
          <w:sz w:val="24"/>
          <w:shd w:fill="auto" w:val="clear"/>
        </w:rPr>
        <w:t xml:space="preserve">. Dr. Ming-Tao Zhao was also supported by startup funds from the Abigail Wexner Research Institute at Nationwide Children’s Hospital.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Takahashi,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Induction of pluripotent stem cells from adult human fibroblasts by defined factors.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(5), 861-872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Induced pluripotent stem cell lines derived from human somatic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(5858), 1917-1920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Sayed, N., Liu, C., Wu, J. C. Translation of Human-Induced Pluripotent Stem Cells: From Clinical Trial in a Dish to Precision Medicine. </w:t>
      </w:r>
      <w:r>
        <w:rPr>
          <w:rFonts w:ascii="Calibri" w:hAnsi="Calibri" w:cs="Calibri" w:eastAsia="Calibri"/>
          <w:i/>
          <w:color w:val="auto"/>
          <w:spacing w:val="0"/>
          <w:position w:val="0"/>
          <w:sz w:val="24"/>
          <w:shd w:fill="auto" w:val="clear"/>
        </w:rPr>
        <w:t xml:space="preserve">Journal of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(18), 2161-2176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Itzhaki,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Modelling the long QT syndrome with induced pluripotent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471</w:t>
      </w:r>
      <w:r>
        <w:rPr>
          <w:rFonts w:ascii="Calibri" w:hAnsi="Calibri" w:cs="Calibri" w:eastAsia="Calibri"/>
          <w:color w:val="auto"/>
          <w:spacing w:val="0"/>
          <w:position w:val="0"/>
          <w:sz w:val="24"/>
          <w:shd w:fill="auto" w:val="clear"/>
        </w:rPr>
        <w:t xml:space="preserve"> (7337), 225-229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Hinson, J. T. et al. HEART DISEASE. Titin mutations in iPS cells define sarcomere insufficiency as a cause of dilated cardiomyopathy.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349</w:t>
      </w:r>
      <w:r>
        <w:rPr>
          <w:rFonts w:ascii="Calibri" w:hAnsi="Calibri" w:cs="Calibri" w:eastAsia="Calibri"/>
          <w:color w:val="auto"/>
          <w:spacing w:val="0"/>
          <w:position w:val="0"/>
          <w:sz w:val="24"/>
          <w:shd w:fill="auto" w:val="clear"/>
        </w:rPr>
        <w:t xml:space="preserve"> (6251), 982-986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Deacon, D.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Combinatorial interactions of genetic variants in human cardiomyopathy. </w:t>
      </w:r>
      <w:r>
        <w:rPr>
          <w:rFonts w:ascii="Calibri" w:hAnsi="Calibri" w:cs="Calibri" w:eastAsia="Calibri"/>
          <w:i/>
          <w:color w:val="auto"/>
          <w:spacing w:val="0"/>
          <w:position w:val="0"/>
          <w:sz w:val="24"/>
          <w:shd w:fill="auto" w:val="clear"/>
        </w:rPr>
        <w:t xml:space="preserve">Nature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147-157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Gifford, 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Oligogenic inheritance of a human heart disease involving a genetic modifier.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(6443), 865-870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Lo Sardo, V. et al. Unveiling the role of the most impactful cardiovascular risk locus through haplotype editing.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(7), 1796-1810 e1720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Liu, Y.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embryonic stem cell-derived cardiomyocytes restore function in infarcted hearts of non-human primates.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 597-605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Zhao, M. T., Shao, N. Y., Garg, V. Subtype-specific cardiomyocytes for precision medicine: where are we now?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822-833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Burridge, P. W., Keller, G., Gold, J. D., Wu, J. C. Production of de novo cardiomyocytes: human pluripotent stem cell differentiation and direct reprogramming.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16-28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Protze, S. I., Lee, J. H., Keller, G. M. Human pluripotent stem cell-derived cardiovascular cells: from developmental biology to therapeutic applications.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311-327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Lian,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Robust cardiomyocyte differentiation from human pluripotent stem cells via temporal modulation of canonical Wnt signaling.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(27), E1848-1857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Zhao, M. T. et al. Molecular and functional resemblance of differentiated cells derived from isogenic human iPSCs and SCNT-derived ESCs.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(52), E11111-E11120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Burridge, P. W. et al. Chemically defined generation of human cardiomyocytes.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855-860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Lian,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Chemically defined, albumin-free human cardiomyocyte generation.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595-596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Buikema, J.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Wnt activation and reduced cell-cell contact synergistically induce massive expansion of functional human ipsc-derived cardiomyocytes.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50-63,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Lee, J. H., Protze, S. I., Laksman, Z., Backx, P. H., Keller, G. M. Human pluripotent stem cell-derived atrial and ventricular cardiomyocytes develop from distinct mesoderm populations.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179-194 e174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Liang, W. et al. Canonical Wnt signaling promotes pacemaker cell specification of cardiac mesodermal cells derived from mouse and human embryonic stem cells.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352-368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Protze, S. I. et al. Sinoatrial node cardiomyocytes derived from human pluripotent cells function as a biological pacemaker.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56-68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Ren, J. et al. Canonical Wnt5b signaling directs outlying Nkx2.5+ mesoderm into pacemaker cardiomyocytes.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(6), 729-743 e725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Zhang,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differentiation of atrial and ventricular myocytes from human embryonic stem cells by alternating retinoid signals.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579-587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Fusaki, N., Ban, H., Nishiyama, A., Saeki, K., Hasegawa, M. Efficient induction of transgene-free human pluripotent stem cells using a vector based on Sendai virus, an RNA virus that does not integrate into the host genome. </w:t>
      </w:r>
      <w:r>
        <w:rPr>
          <w:rFonts w:ascii="Calibri" w:hAnsi="Calibri" w:cs="Calibri" w:eastAsia="Calibri"/>
          <w:i/>
          <w:color w:val="auto"/>
          <w:spacing w:val="0"/>
          <w:position w:val="0"/>
          <w:sz w:val="24"/>
          <w:shd w:fill="auto" w:val="clear"/>
        </w:rPr>
        <w:t xml:space="preserve">Proceedings of the Japan Academy, Seriers B, Physical and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(8), 348-362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Stacey, G. N., Crook, J. M., Hei, D., Ludwig, T. Banking human induced pluripotent stem cells: lessons learned from embryonic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385-388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Karbassi,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Cardiomyocyte maturation: advances in knowledge and implications for regenerative medicine. </w:t>
      </w:r>
      <w:r>
        <w:rPr>
          <w:rFonts w:ascii="Calibri" w:hAnsi="Calibri" w:cs="Calibri" w:eastAsia="Calibri"/>
          <w:i/>
          <w:color w:val="auto"/>
          <w:spacing w:val="0"/>
          <w:position w:val="0"/>
          <w:sz w:val="24"/>
          <w:shd w:fill="auto" w:val="clear"/>
        </w:rPr>
        <w:t xml:space="preserve">Nature Reviews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341-359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Zhao, L., Ben-Yair, R., Burns, C. E., Burns, C. G. Endocardial notch signaling promotes cardiomyocyte proliferation in the regenerating zebrafish heart through Wnt pathway antagonism.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546-554 e545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Heallen, T. R., Kadow, Z. A., Wang, J., Martin, J. F. Determinants of cardiac growth and size.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a037150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Campa, V.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Notch activates cell cycle reentry and progression in quiescent cardiomyocytes.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(1), 129-141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Collesi, C., Zentilin, L., Sinagra, G., Giacca, M. Notch1 signaling stimulates proliferation of immature cardiomyocytes.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(1), 117-128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Heallen, T. et al. Hippo pathway inhibits Wnt signaling to restrain cardiomyocyte proliferation and heart size.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332</w:t>
      </w:r>
      <w:r>
        <w:rPr>
          <w:rFonts w:ascii="Calibri" w:hAnsi="Calibri" w:cs="Calibri" w:eastAsia="Calibri"/>
          <w:color w:val="auto"/>
          <w:spacing w:val="0"/>
          <w:position w:val="0"/>
          <w:sz w:val="24"/>
          <w:shd w:fill="auto" w:val="clear"/>
        </w:rPr>
        <w:t xml:space="preserve"> (6028), 458-461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