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keepNext w:val="true"/>
        <w:spacing w:before="0" w:after="0" w:line="240"/>
        <w:ind w:right="0" w:left="0" w:firstLine="0"/>
        <w:jc w:val="left"/>
        <w:rPr>
          <w:rFonts w:ascii="Calibri" w:hAnsi="Calibri" w:cs="Calibri" w:eastAsia="Calibri"/>
          <w:color w:val="3A3A3A"/>
          <w:spacing w:val="0"/>
          <w:position w:val="0"/>
          <w:sz w:val="24"/>
          <w:shd w:fill="FFFFFF" w:val="clear"/>
        </w:rPr>
      </w:pPr>
      <w:r>
        <w:rPr>
          <w:rFonts w:ascii="Calibri" w:hAnsi="Calibri" w:cs="Calibri" w:eastAsia="Calibri"/>
          <w:color w:val="3A3A3A"/>
          <w:spacing w:val="0"/>
          <w:position w:val="0"/>
          <w:sz w:val="24"/>
          <w:shd w:fill="FFFFFF" w:val="clear"/>
        </w:rPr>
        <w:t xml:space="preserve">In Vivo Calcium Imaging of Mouse Geniculate Ganglion Neuron Responses to Taste Stimuli</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Bryan E. Fowler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Lindsey J. Macpherson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University of Texas at San Antonio, Department of Biology, One UTSA Circle, San Antonio, Texas, USA.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Lindsey J. Macpherson</w:t>
      </w:r>
      <w:r>
        <w:rPr>
          <w:rFonts w:ascii="Calibri" w:hAnsi="Calibri" w:cs="Calibri" w:eastAsia="Calibri"/>
          <w:color w:val="auto"/>
          <w:spacing w:val="0"/>
          <w:position w:val="0"/>
          <w:sz w:val="24"/>
          <w:shd w:fill="auto" w:val="clear"/>
        </w:rPr>
        <w:tab/>
        <w:t xml:space="preserve">(Lindsey.Macpherson@utsa.edu)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Bryan E. Fowler </w:t>
        <w:tab/>
        <w:tab/>
        <w:t xml:space="preserve">(</w:t>
      </w:r>
      <w:r>
        <w:rPr>
          <w:rFonts w:ascii="Calibri" w:hAnsi="Calibri" w:cs="Calibri" w:eastAsia="Calibri"/>
          <w:color w:val="auto"/>
          <w:spacing w:val="0"/>
          <w:position w:val="0"/>
          <w:sz w:val="24"/>
          <w:shd w:fill="auto" w:val="clear"/>
        </w:rPr>
        <w:t xml:space="preserve">Bryan.Fowler@utsa.edu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Lindsey J. Macpherson</w:t>
      </w:r>
      <w:r>
        <w:rPr>
          <w:rFonts w:ascii="Calibri" w:hAnsi="Calibri" w:cs="Calibri" w:eastAsia="Calibri"/>
          <w:color w:val="auto"/>
          <w:spacing w:val="0"/>
          <w:position w:val="0"/>
          <w:sz w:val="24"/>
          <w:shd w:fill="auto" w:val="clear"/>
        </w:rPr>
        <w:tab/>
        <w:t xml:space="preserve">(Lindsey.Macpherson@utsa.edu)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taste, geniculate ganglion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how to expose the geniculate ganglion of a live, anesthetized laboratory mouse and how to use calcium imaging to measure the responses of ensembles of these neurons to taste stimuli, allowing for multiple trials with different stimulants. This allows for in depth comparisons of which neurons respond to which tastants.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last ten years, advances in genetically encoded calcium indicators (GECIs) have promoted a revolution in in vivo functional imaging. Using calcium as a proxy for neuronal activity, these techniques provide a way to monitor the responses of individual cells within large neuronal ensembles to a variety of stimuli in real time. We, and others, have applied these techniques to image the responses of individual geniculate ganglion neurons to taste stimuli applied to the tongues of live anesthetized mice. The geniculate ganglion is comprised of the cell bodies of gustatory neurons innervating the anterior tongue and palate as well as some somatosensory neurons innervating the pinna of the ear. Imaging the taste-evoked responses of individual geniculate ganglion neurons with GCaMP has provided important information about the tuning profiles of these neurons in wild-type mice as well as a way to detect peripheral taste miswiring phenotypes in genetically manipulated mice. Here we demonstrate the surgical procedure to expose the geniculate ganglion, GCaMP fluorescence image acquisition, initial steps for data analysis, and troubleshooting. This technique can be used with transgenically encoded GCaMP, or with AAV-mediated GCaMP expression, and can be modified to image particular genetic subsets of interest (i.e., Cre-mediated GCaMP expression). Overall, in vivo calcium imaging of geniculate ganglion neurons is a powerful technique for monitoring the activity of peripheral gustatory neurons and provides complementary information to more traditional whole-nerve chorda tympani recordings or taste behavior assays.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component of the mammalian peripheral taste system is the geniculate ganglion. In addition to some somatosensory neurons that innervate the pinna of the ear, the geniculate is comprised of the cell bodies of gustatory neurons innervating the anterior tongue and palate. Similar to other peripheral sensory neurons, the geniculate ganglion neurons are pseudo-unipolar with a long axon projecting peripherally to the taste buds, and centrally to the brainstem nucleus of the solitary tract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neurons are activated primarily by the release of ATP by taste receptor cells responding to taste stimuli in the oral cavity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ATP is an essential neurotransmitter for taste signaling, and P2rx receptors expressed by the gustatory ganglion neurons are necessary for their activation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Given that taste receptor cells express specific taste receptors for a particular taste modality (sweet, bitter, salty, umami, or sour), it has been hypothesized that gustatory ganglion neuron responses to taste stimuli would also be narrowly tuned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nerve recordings have shown both the chorda tympani and the greater superior petrosal nerves conduct gustatory signals representing all five taste modalities to the geniculate ganglion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However, this still left questions about the specificity of neuronal responses to a given tastant: if there are taste modality specific neurons, polymodal neurons, or a mixture of both. Single fiber recordings give more information about the activity of individual fibers and their chemical sensitivities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but this methodology is limited to collecting data from small numbers of fibers. Similarly, in vivo electrophysiological recordings of individual rat geniculate ganglion neurons give information about the responses of individual neurons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but still loses the activity of the population and yields relatively few neuron recordings per animal. In order to analyze the response patterns of neuronal ensembles without losing sight of the activity of individual neurons, new techniques needed to be employed.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especially using genetically encoded calcium indicators like GCaMP, has provided this technical breakthrough</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GCaMP uses calcium as a proxy for neuronal activity, increasing green fluorescence as calcium levels within the cell rise. New forms of GCaMP continue to be developed to improve the signal to noise ratio, adjust binding kinetics, and adapt for specialized experiments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GCaMP provides single neuron resolution, unlike whole nerve recording, and can simultaneously measure responses of ensembles of neurons, unlike single fiber or single cell recording. Calcium imaging of the geniculate ganglia has already provided important information about the tuning profiles of these neurons in wild-type mice</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and has identified peripheral taste miswiring phenotypes in genetically manipulated mice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difficulty to applying in vivo calcium imaging techniques to the geniculate ganglion is that it is encapsulated within the bony tympanic bulla. In order to obtain optical access to the geniculate, delicate surgery is required to remove the layers of bones, while keeping the ganglion intact. For that purpose, we have created this guide to help other researchers access the geniculate ganglion and image the GCaMP mediated fluorescent responses of these neurons to taste stimuli in vivo.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Animal protocols were reviewed and approved by the Institutional Animal Care and Use Committees of the University of Texas San Antonio.</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ab/>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Pre-operative setup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Please note that initial setup of equipment is not addressed here, as it will vary based on pump system, microscope, camera, and imaging software used. For setup instructions please refer to instructional materials provided by equipment vendor. For equipment used by the authors, please see the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Ensure liquid flows through all vehicle (water) and tastant lines. If line is blocked disconnect and flush with water. If the line is kinked, massage until liquid flows. Ensure that liquid starts and stops on cue.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Once all lines are confirmed unblocked, run vehicle for 10 s then close all valves.</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Ensure imaging software is ready with all required variables (e.g., trial length, file names, frame rate, etc). Using &amp;#181;Manager, an open-source image acquisition software package, input 200 ms into the field labeled </w:t>
      </w:r>
      <w:r>
        <w:rPr>
          <w:rFonts w:ascii="Calibri" w:hAnsi="Calibri" w:cs="Calibri" w:eastAsia="Calibri"/>
          <w:b/>
          <w:color w:val="auto"/>
          <w:spacing w:val="0"/>
          <w:position w:val="0"/>
          <w:sz w:val="24"/>
          <w:shd w:fill="FFFF00" w:val="clear"/>
        </w:rPr>
        <w:t xml:space="preserve">Exposure Time</w:t>
      </w:r>
      <w:r>
        <w:rPr>
          <w:rFonts w:ascii="Calibri" w:hAnsi="Calibri" w:cs="Calibri" w:eastAsia="Calibri"/>
          <w:color w:val="auto"/>
          <w:spacing w:val="0"/>
          <w:position w:val="0"/>
          <w:sz w:val="24"/>
          <w:shd w:fill="FFFF00" w:val="clear"/>
        </w:rPr>
        <w:t xml:space="preserve"> for a frames per second of 5Hz, select x2 under </w:t>
      </w:r>
      <w:r>
        <w:rPr>
          <w:rFonts w:ascii="Calibri" w:hAnsi="Calibri" w:cs="Calibri" w:eastAsia="Calibri"/>
          <w:b/>
          <w:color w:val="auto"/>
          <w:spacing w:val="0"/>
          <w:position w:val="0"/>
          <w:sz w:val="24"/>
          <w:shd w:fill="FFFF00" w:val="clear"/>
        </w:rPr>
        <w:t xml:space="preserve">binning</w:t>
      </w:r>
      <w:r>
        <w:rPr>
          <w:rFonts w:ascii="Calibri" w:hAnsi="Calibri" w:cs="Calibri" w:eastAsia="Calibri"/>
          <w:color w:val="auto"/>
          <w:spacing w:val="0"/>
          <w:position w:val="0"/>
          <w:sz w:val="24"/>
          <w:shd w:fill="FFFF00" w:val="clear"/>
        </w:rPr>
        <w:t xml:space="preserve">, and press the button labeled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When the video starts, press the button on the left side labeled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 This will result in a 512x512 field of view.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auto" w:val="clear"/>
        </w:rPr>
        <w:t xml:space="preserve">Anesthetizing and </w:t>
      </w:r>
      <w:r>
        <w:rPr>
          <w:rFonts w:ascii="Calibri" w:hAnsi="Calibri" w:cs="Calibri" w:eastAsia="Calibri"/>
          <w:b/>
          <w:color w:val="auto"/>
          <w:spacing w:val="0"/>
          <w:position w:val="0"/>
          <w:sz w:val="24"/>
          <w:shd w:fill="FFFF00" w:val="clear"/>
        </w:rPr>
        <w:t xml:space="preserve">immobilizing the animal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FFFFFF" w:val="clear"/>
        </w:rPr>
        <w:t xml:space="preserve">The following protocol is a terminal procedure optimized for mice of either sex weighing 18-35 g. It is recommended for use with animals between 10 and 12 weeks of age. It may be used with transgenic animals expressing Genetically Encoded Calcium Indicators (GECIs) such as the </w:t>
      </w:r>
      <w:r>
        <w:rPr>
          <w:rFonts w:ascii="Calibri" w:hAnsi="Calibri" w:cs="Calibri" w:eastAsia="Calibri"/>
          <w:color w:val="auto"/>
          <w:spacing w:val="0"/>
          <w:position w:val="0"/>
          <w:sz w:val="24"/>
          <w:shd w:fill="auto" w:val="clear"/>
        </w:rPr>
        <w:t xml:space="preserve">Snap25-GCaMP6s</w:t>
      </w:r>
      <w:r>
        <w:rPr>
          <w:rFonts w:ascii="Calibri" w:hAnsi="Calibri" w:cs="Calibri" w:eastAsia="Calibri"/>
          <w:color w:val="000000"/>
          <w:spacing w:val="0"/>
          <w:position w:val="0"/>
          <w:sz w:val="24"/>
          <w:shd w:fill="FFFFFF" w:val="clear"/>
        </w:rPr>
        <w:t xml:space="preserve">, or animals stereotaxically injected with viral GECIs. Gloves, lab coat, and face mask should be worn for entirety of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auto" w:val="clear"/>
        </w:rPr>
        <w:t xml:space="preserve">Scruff animal and perform an intraperitoneal injection of Ketamine (100 mg/kg) and Xylazine (10 mg/kg). </w:t>
      </w:r>
      <w:r>
        <w:rPr>
          <w:rFonts w:ascii="Calibri" w:hAnsi="Calibri" w:cs="Calibri" w:eastAsia="Calibri"/>
          <w:color w:val="auto"/>
          <w:spacing w:val="0"/>
          <w:position w:val="0"/>
          <w:sz w:val="24"/>
          <w:shd w:fill="FFFF00" w:val="clear"/>
        </w:rPr>
        <w:t xml:space="preserve">Assess the depth of anesthesia via toe pinch before continuing.</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Shave the top of the head and neck.</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Turn on the heating pad and place the animal prone on the pad.</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Apply ointment to the animal’s eyes to avoid drying of the eyes.</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 Make an incision (~1 cm) at the midline of the head to expose the animal’s skull. Remove connective tissue using a sterile swab so that the bare bone is accessible. Use a cotton tipped applicator to ensure the skull is dry.</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 Apply vet bond to the skull. Be sure to cover the exposed skull. Wait for the glue to dry.</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 a Petri dish lid, mix and apply a layer of dental cement to skull. The back end of the cotton tipped applicator used in step 2.5 will work well for this process. Place headpost on top of the dental cement and apply a second layer of dental cement to sandwich the headpost in place on the skull.</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 Let it sit until the dental cement is dry and solid. Break the cotton tipped applicator in half and use the pointed ends to poke the dental cement to test. If the dental cement does not yield to being poked the animal may be turned to a supine position.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Tracheotomy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Make a midline incision ~ 2 cm in the skin of the throat from the sternum to the chin.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Retract the skin and sub-maxillary glands, being sure to fully expose the digastric muscles.</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Find the seam in the paratracheal musculature, separate it with blunt dissection, and retract open.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Carefully cut an opening in the top of the trachea large enough to fit polyethylene tubing (I.D. 0.86 mm, O.D. 1.27 mm).  Do not cut more than halfway through the diameter of the trachea. Insert tubing into the trachea towards the lungs.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Reposition retractors to release paratracheal musculature and retract the submaxillary glands.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Glue paratracheal musculature together over tubing with a minimal amount of veterinary glue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Breaking open the tympanic bulla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Gently tease desired digastric muscle (left or right) up and pull apart the connective tissue. Cut at the anterior end of the muscle, avoiding blood vessels, and pull back posteriorly until clear of the tympanic bulla.</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Tilt the head back slightly to lift the tympanic bulla. Locate the branch of the carotid artery anterior to the posterior insertion point of the digastric muscle. Feel just posterior to this blood vessel for the convex structure of the tympanic bulla.</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Look for a seam in the musculature at this location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two sets of fine forceps, blunt dissect at the seam until the bone of the tympanic bulla is visible. Use retractors to keep a clear view of the tympanic bulla.</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Find the seam running anterior to posterior on the bulla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a surgical probe, poke a hole in the bone at the center of this seam. Use a set of fine end scissors to cut a circular area in the bone, taking care not to cut blood vessels anterior, posterior, and deep beneath the bulla.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Exposing the geniculate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Within this hole is a convex bit of bone, this is the cochlea. Anterior to the cochlea is a muscle, the tensor tympani</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the spring scissors, cut the tensor tympani and remove it.</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Perform a toe pinch if animal responds give ketamine (30 mg/kg).</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Prepare irrigation fluid and a suction line. Using the surgical probe, poke a hole in the cochlear promontory. Immediately irrigate the liquid that flows out and remove it with suction. This liquid will flow more or less continuously from this point and will need to be addressed periodically.</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Enlarge the hole in the cochlea. Take care with the blood vessel encircling the cochlea to the posterior and lateral edge.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Tilt the mouse’s head forward. Locate the hole in the temporal bone beneath what was the cochlea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Take note of the ridge anterior to this hole, this ridge sits directly over the seventh nerve.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Insert a surgical probe into the hole and carefully lift the temporal bone to expose the seventh nerve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Take stock of how much of the seventh nerve is visible and if the geniculate is not fully exposed, tilt the animal’s head back and attempt to pull up bone from anterior to the nerve.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If the ganglion is still not fully visible, pull up more bone from beneath. Be very careful not to place the probe deep beneath the bone as doing this may damage the geniculate.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Run tastant panel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Use suction to remove liquid from over the geniculate. Optionally place an absorbent point to help mitigate seepage and aid in microscope navigation.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Place the animal on absorbent pad under the microscope. Locate the geniculate ganglion: useful landmarks include the hole left in the bulla, the hole in the temporal bone, and the seventh nerve. Using the FITC/GFP filter on the epifluorescence scope, check for individual GCaMP-expressing geniculate ganglion neurons. A 10x objective (workind distance 10mm) will provide sufficient resolution to track the activity of individual cells, but a 20x objective (working distance 12 mm) can also be used.</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Place dispensing needle for tastant line firmly in animal’s mouth. Place a Petri dish below the animal’s mouth to catch fluid.</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Ensure that the camera is viewing the microscope’s field of view. Synchronize start of the video recording with the start of tastant presentation.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During recording, watch live feed for responses, drift, and seepage.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If seepage occurs, suction the liquid until the view of the geniculate is clear and repeat. If drift occurs, check that all parts of the head post are firmly tightened. If no responses occur check that liquid is flowing and that the microscope and camera are focused on the proper location without anything obscuring the field of view.</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4"/>
          <w:shd w:fill="FFFF00" w:val="clear"/>
        </w:rPr>
        <w:t xml:space="preserve">Repeat until desired number of videos have been obtained. Gently ease retractors, then repeat steps 3-6 on the opposite side.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After the desired videos have been obtained for all desired ganglia, euthanize the animal via cervical dislocation.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a transgenic Snap25-GCaMP6s animal was sedated, geniculate ganglia were exposed, and tastant was applied to the tongue while video was recorded. The aim of the experiment was to define which tastants elicited responses from each cell. Tastants (30 mM AceK, 5 mM Quinine, 60 mM NaCl, 50 mM IMP + 1 mM MPG, 50 mM Citric Acid)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were dissolved in DI water and were applied to the tongue for 2 s separated by 13 s of DI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can be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taste stimuli applied to the tongue should result in a rapid, transient increase in GCaMP fluorescence, causing a noticeable change in brightness among responding neurons. The video can be analyzed with a variety of software packages to produce traces displaying the changes in fluorescence over baseline (dF/F) over time of individual regions of interest (such as individual neurons), thereby showing the responses of each cell to the tastant panel. In a successful surgery, in a Snap25-GCaMP6s transgenic line, it is typical to see responses in 20-40 neurons within a single ganglion/field of view. This may change depending on the transgenic line used or if AAV-GCaMP is used instead. Note that baseline fluorescence may be affected by a number of factors, including the expression level of the GCaMP, and possible damage to the cells during the surgery. Changes in fluorescence intensity above a threshold level (typically df/f &amp;gt; 3-fold above the average noise)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is considered a positive response.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timing of stimulus delivery, the time it takes for liquid to flow through the lines should be measured in order to know when a fluid change actually contacts the tongue. To reduce this delay, use a moderate flow rate (5-10 ml/min) and a short length of tubing leading from the perfusion manifold to the oral cavity. Typically, with the stimuli described here, fluorescence starts almost immediately after tastant is applied to the tongue and will begin to fade almost immediately after the tastant is stopped and the oral cavity is washed with vehicle solution. When working with an unknown stimulus it can be helpful to observe the change in fluorescence of a region without responding neurons to compare overall changes in the image.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Surgical exposure of the geniculate ganglion.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the mouse neck cavity post tracheotomy. Arrow is pointing to the digastric muscle lying over the surgical area explored in the rest of the figure.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region under the previously indicated digastric muscle. Arrow indicates the seam in musculature for blunt dissection.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the Tympanic Bulla. Arrow indicates seam in the bone to break with a surgical probe.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surgical area after opening the bulla. Lower left arrow indicates the cochlea, upper arrow points to the tensor tympani. Boxed line indicates area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 of surgical area after cochlea has been broken and the contents removed. White arrow indicates where to place surgical probe referenced in protocol step 5.6.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 image of the exposed geniculate ganglion. Arrow indicates body of the seventh nerve, dashed triangle surrounds the geniculate ganglion. Panels A-B, Scale = 5 mm. Panels C-F, Scale = 1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Responses of geniculate ganglion neurons to tastants using in vivo GCaMP6s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Epifluorescent image of the geniculate ganglion of a Snap25-GCaMP6s transgenic mouse during baseline as water is perfused over the tongue. Dashed lines indicate the approximate boundaries of the geniculate ganglion. The seventh cranial nerve is labeled as such.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Snapshot of the same ganglion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a sweet tastant (AceK 30 mM) is applied to the tongue of the mouse. Notice several individual neurons increase in fluorescence intensity. Dashed line box indicates sweet responding cell used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Traces from five neurons indicating the amplitude of their GCaMP6s mediated fluorescence in response to a panel of tastants comprising sweet (30 mM acesulfame K), bitter (5 mM quinine); salty (60 mM NaCl); umami (50 mM monopotassium glutamate and 1mM inosine monophosphate); and sour (50 mM citric acid). Colored bars show the placement and duration (2 s) of the stimulus over the time course of the experiment. These representative data do not include a response to umami. Individual neurons commonly respond to both bitter and sour stimuli (bottom trace) </w:t>
      </w:r>
      <w:r>
        <w:rPr>
          <w:rFonts w:ascii="Calibri" w:hAnsi="Calibri" w:cs="Calibri" w:eastAsia="Calibri"/>
          <w:color w:val="auto"/>
          <w:spacing w:val="0"/>
          <w:position w:val="0"/>
          <w:sz w:val="24"/>
          <w:shd w:fill="auto" w:val="clear"/>
          <w:vertAlign w:val="superscript"/>
        </w:rPr>
        <w:t xml:space="preserve">16,18,20</w:t>
      </w:r>
      <w:r>
        <w:rPr>
          <w:rFonts w:ascii="Calibri" w:hAnsi="Calibri" w:cs="Calibri" w:eastAsia="Calibri"/>
          <w:color w:val="auto"/>
          <w:spacing w:val="0"/>
          <w:position w:val="0"/>
          <w:sz w:val="24"/>
          <w:shd w:fill="auto" w:val="clear"/>
        </w:rPr>
        <w:t xml:space="preserve">. Panels A-B, Scale = 5 mm. Panel C, horizontal scale bar indicates 6.5 seconds, vertical scale bar indicates threshold of 4% dF/F.</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step-by-step protocol to surgically expose the geniculate ganglion and visually record the activity of its neurons with GCaMP6s. This procedure is very similar to that described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a few notable exceptions. First, the use of a head post allows for easy adjustment of head positioning during surgery. Second, regarding stimulus delivery, the approach by Wu and Dvoryanchikov flows taste stimuli through esophageal tubing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whereas this protocol delivers liquid directly into the mouth with a dispensing needle. Either method can be used to successfully evoke geniculate ganglion neuron responses by stimulating the fungiform and palatal taste buds.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note on maintaining a clear imaging field: after breaking the cochlea, there will be continuous seepage of fluid within the cavity, including directly over the geniculate ganglion. It is also possible that bleeding will obscure the geniculate ganglion. While a small amount of seepage may not be sufficient to prevent imaging, even small amounts of blood can entirely occlude the ganglia. These issues can be addressed in a couple of ways. First, if seepage is relatively minor, it can be removed using a suction line fitted with a blunt dispensing needle between trials. Alternatively, liquid can also be wicked away from the field by carefully placing absorbent points posterior or lateral to the seventh nerve. If the flow is particularly bad, it may be necessary to apply suction to the cavity during imaging. A carefully placed suction line can keep the ganglia clear while being applied to a lateral location, so as to avoid obscuring the ganglia during imaging.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imaging itself can be accomplished using different styles of microscope setups, each with its attendant advantages and limitations. When using an epifluorescence scope</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it is only possible to image the more superficial neurons. Another issue with epifluorescence imaging is that signals from deeper cells will come out as changes in background fluorescence (out of focus light) so be careful with the analysis not to pick up fluorescence changes from other cells in the ROI. For particularly thin structures, such as the geniculate ganglia, these issues may not be problematic. Use of a 2-photon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confocal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can potentially allow for imaging cells in deeper layers.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highlight a few critical steps and ways to troubleshoot common issues. First, it must be noted that analysis will vary considerably depending on the software used. The open-source software, ImageJ provides tools sufficient for preliminary analysis. First, remove small motion artifacts using the Image Stabilizer plugin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Next use ImageJ to calculate the change in fluorescence divided by baseline fluorescence (dF/F).  This can be accomplished using one of many open source macros for ImageJ</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referenced macro provides detailed installation notes. For other macros please refer to their documentation. After correcting for dF/F, utilize the forward and reverse buttons at the bottom of the image stack to observe cell responses to stimuli. Using the lasso tool from the tool bar, select fluorescing cells individually. After selecting a cell use </w:t>
      </w:r>
      <w:r>
        <w:rPr>
          <w:rFonts w:ascii="Calibri" w:hAnsi="Calibri" w:cs="Calibri" w:eastAsia="Calibri"/>
          <w:b/>
          <w:color w:val="auto"/>
          <w:spacing w:val="0"/>
          <w:position w:val="0"/>
          <w:sz w:val="24"/>
          <w:shd w:fill="auto" w:val="clear"/>
        </w:rPr>
        <w:t xml:space="preserve">Image | Stacks | Plot-Z-Axis</w:t>
      </w:r>
      <w:r>
        <w:rPr>
          <w:rFonts w:ascii="Calibri" w:hAnsi="Calibri" w:cs="Calibri" w:eastAsia="Calibri"/>
          <w:color w:val="auto"/>
          <w:spacing w:val="0"/>
          <w:position w:val="0"/>
          <w:sz w:val="24"/>
          <w:shd w:fill="auto" w:val="clear"/>
        </w:rPr>
        <w:t xml:space="preserve">. This will provide sufficient information to determine response profiles and analyze the time related events of each region of interest (ROI). More advanced analysis was long the domain of custom scripts in Matlab, R, etc. However, the popularity of calcium imaging has gradually led to the development of multiple open-source resources for analysis including CaImAn, EZCalcium, and more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imaging is a powerful tool for examining the activity of neural ensembles with single neuron resolution. Because of the geniculate ganglion’s small size, this protocol is especially powerful because the entire ganglion can be visualized within a single field. However, there are some limitations to this technique. In addition to the limitations common to all calcium imaging experiments, the surgical approach described here is invasive and must be carried out under anesthesia. This is a terminal procedure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animal must be euthanized immediately after imaging. Therefore this surgical approach is appropriate for awake/behaving recordings.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few years, researchers have used this technique to study response profiles of the neurons of the geniculate ganglion</w:t>
      </w:r>
      <w:r>
        <w:rPr>
          <w:rFonts w:ascii="Calibri" w:hAnsi="Calibri" w:cs="Calibri" w:eastAsia="Calibri"/>
          <w:color w:val="auto"/>
          <w:spacing w:val="0"/>
          <w:position w:val="0"/>
          <w:sz w:val="24"/>
          <w:shd w:fill="auto" w:val="clear"/>
          <w:vertAlign w:val="superscript"/>
        </w:rPr>
        <w:t xml:space="preserve">16,20,18</w:t>
      </w:r>
      <w:r>
        <w:rPr>
          <w:rFonts w:ascii="Calibri" w:hAnsi="Calibri" w:cs="Calibri" w:eastAsia="Calibri"/>
          <w:color w:val="auto"/>
          <w:spacing w:val="0"/>
          <w:position w:val="0"/>
          <w:sz w:val="24"/>
          <w:shd w:fill="auto" w:val="clear"/>
        </w:rPr>
        <w:t xml:space="preserve">. Recent work has focused on potential genetic markers that could be used to manipulate subpopulations within the ganglia and has shown how transgenic Cre driver lines and Cre-dependent GCaMP can be used to identify the response profiles of these populations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Other work may use GCaMP with photo-activated proteins such as pa-mCherry to first identify and then mark cells activated by tastants to then be used in immunohistochemistry or in situ hybridization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may also be possible to utilize calcium dependent photo-convertible proteins such as CaMPARI to the same effect while using experimental methods very similar to those described here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Regardless of the specific questions and experiments, calcium imaging offers a powerful tool for exploring the response profiles of neurons engaged in any number of activities, and its usefulness in exploring the taste system is only beginning.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report.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S. Humayun for mouse husbandry. Funding for this work has been provided in part by UTSA’s Brain Health Consortium Graduate and Postdoctoral Seed Grant (B.E.F.) and NIH-SC2-GM130411 to L.J.M.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Krimm, R. F. Factors that regulate embryonic gustatory development.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Suppl 3</w:t>
      </w:r>
      <w:r>
        <w:rPr>
          <w:rFonts w:ascii="Calibri" w:hAnsi="Calibri" w:cs="Calibri" w:eastAsia="Calibri"/>
          <w:color w:val="auto"/>
          <w:spacing w:val="0"/>
          <w:position w:val="0"/>
          <w:sz w:val="24"/>
          <w:shd w:fill="auto" w:val="clear"/>
        </w:rPr>
        <w:t xml:space="preserve">, S4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Taruno, A., Matsumoto, I., Ma, Z., Marambaud, P., Foskett, J.K. How do taste cells lacking synapses mediate neurotransmission?  CALHM1, a voltage-gated ATP channel.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1111-1118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Taruno,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Taste transduction and channel synapses in taste buds. </w:t>
      </w:r>
      <w:r>
        <w:rPr>
          <w:rFonts w:ascii="Calibri" w:hAnsi="Calibri" w:cs="Calibri" w:eastAsia="Calibri"/>
          <w:i/>
          <w:color w:val="auto"/>
          <w:spacing w:val="0"/>
          <w:position w:val="0"/>
          <w:sz w:val="24"/>
          <w:shd w:fill="auto" w:val="clear"/>
        </w:rPr>
        <w:t xml:space="preserve">Pflugers Archiv-European Journal of Physiology. </w:t>
      </w:r>
      <w:r>
        <w:rPr>
          <w:rFonts w:ascii="Calibri" w:hAnsi="Calibri" w:cs="Calibri" w:eastAsia="Calibri"/>
          <w:b/>
          <w:color w:val="auto"/>
          <w:spacing w:val="0"/>
          <w:position w:val="0"/>
          <w:sz w:val="24"/>
          <w:shd w:fill="auto" w:val="clear"/>
        </w:rPr>
        <w:t xml:space="preserve">473</w:t>
      </w:r>
      <w:r>
        <w:rPr>
          <w:rFonts w:ascii="Calibri" w:hAnsi="Calibri" w:cs="Calibri" w:eastAsia="Calibri"/>
          <w:color w:val="auto"/>
          <w:spacing w:val="0"/>
          <w:position w:val="0"/>
          <w:sz w:val="24"/>
          <w:shd w:fill="auto" w:val="clear"/>
        </w:rPr>
        <w:t xml:space="preserve">, 3-13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Kinnamon, S. C., Finger, T. E. A taste for ATP: neurotransmission in taste buds. </w:t>
      </w:r>
      <w:r>
        <w:rPr>
          <w:rFonts w:ascii="Calibri" w:hAnsi="Calibri" w:cs="Calibri" w:eastAsia="Calibri"/>
          <w:i/>
          <w:color w:val="auto"/>
          <w:spacing w:val="0"/>
          <w:position w:val="0"/>
          <w:sz w:val="24"/>
          <w:shd w:fill="auto" w:val="clear"/>
        </w:rPr>
        <w:t xml:space="preserve">Frontiers in Cell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264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Chandrashekar, J., Hoon, M. A., Ryba, N. J., Zuker, C. S. The receptors and cells for mammalian taste.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(7117), 288-294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Yarmolinsky, D. A., Zuker, C. S., Ryba, N. J. Common sense about taste: from mammals to insects.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234-244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Ninomiya, Y., Tonosaki, K., Funakoshi, M. Gustatory neural response in the mouse.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(2), 370-373 (1982).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Formaker, B. K., MacKinnon, B. I., Hettinger, T. P., Frank, M. E. Opponent effects of quinine and sucrose on single fiber taste responses of the chorda tympani nerve.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772</w:t>
      </w:r>
      <w:r>
        <w:rPr>
          <w:rFonts w:ascii="Calibri" w:hAnsi="Calibri" w:cs="Calibri" w:eastAsia="Calibri"/>
          <w:color w:val="auto"/>
          <w:spacing w:val="0"/>
          <w:position w:val="0"/>
          <w:sz w:val="24"/>
          <w:shd w:fill="auto" w:val="clear"/>
        </w:rPr>
        <w:t xml:space="preserve"> (1-2), 239-242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Frank, M. The classification of mammalian afferent taste nerve fibers.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53-60 (1974).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Ogawa, H., Yamashita, S., Sato, M. Variation in gustatory nerve fiber discharge pattern with change in stimulus concentration and quality.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443-457 (1974).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Sollars, S. I., Hill, D. L. In vivo recordings from rat geniculate ganglia: taste response properties of individual greater superficial petrosal and chorda tympani neurones.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564</w:t>
      </w:r>
      <w:r>
        <w:rPr>
          <w:rFonts w:ascii="Calibri" w:hAnsi="Calibri" w:cs="Calibri" w:eastAsia="Calibri"/>
          <w:color w:val="auto"/>
          <w:spacing w:val="0"/>
          <w:position w:val="0"/>
          <w:sz w:val="24"/>
          <w:shd w:fill="auto" w:val="clear"/>
        </w:rPr>
        <w:t xml:space="preserve"> (Pt 3), 877-893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Yokota, Y., Bradley, R. M. Geniculate ganglion neurons are multimodal and variable in receptive field characteristics.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147-158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Breza, J. M., Curtis, K. S., Contreras, R. J. Temperature modulates taste responsiveness and stimulates gustatory neurons in the rat geniculate ganglion.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 674-685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T. W. et al.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295-300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Luo, L., Callaway, E. M., Svoboda, K. Genetic dissection of neural circuits: A decade of progress.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865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Barreto, R. P. J., et al. The neural representation of taste quality at the periphery.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517</w:t>
      </w:r>
      <w:r>
        <w:rPr>
          <w:rFonts w:ascii="Calibri" w:hAnsi="Calibri" w:cs="Calibri" w:eastAsia="Calibri"/>
          <w:color w:val="auto"/>
          <w:spacing w:val="0"/>
          <w:position w:val="0"/>
          <w:sz w:val="24"/>
          <w:shd w:fill="auto" w:val="clear"/>
        </w:rPr>
        <w:t xml:space="preserve">, 373-376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Wu, A., Dvoryanchikov, G. Live animal calcium imaging of the geniculate ganglion. </w:t>
      </w:r>
      <w:r>
        <w:rPr>
          <w:rFonts w:ascii="Calibri" w:hAnsi="Calibri" w:cs="Calibri" w:eastAsia="Calibri"/>
          <w:i/>
          <w:color w:val="auto"/>
          <w:spacing w:val="0"/>
          <w:position w:val="0"/>
          <w:sz w:val="24"/>
          <w:shd w:fill="auto" w:val="clear"/>
        </w:rPr>
        <w:t xml:space="preserve">Protocol Exchange.</w:t>
      </w:r>
      <w:r>
        <w:rPr>
          <w:rFonts w:ascii="Calibri" w:hAnsi="Calibri" w:cs="Calibri" w:eastAsia="Calibri"/>
          <w:color w:val="auto"/>
          <w:spacing w:val="0"/>
          <w:position w:val="0"/>
          <w:sz w:val="24"/>
          <w:shd w:fill="auto" w:val="clear"/>
        </w:rPr>
        <w:t xml:space="preserve"> 106,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H., Macpherson, L. J., Parada, C. A., Zuker, C. S., Ryba, N. J. P. Rewiring the taste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(7667), 330-333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Dana,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High-performance calcium sensors for imaging activity in neuronal populations and microcompartments.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649-657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Wu, A., Dvoryanchikov, G., Pereira, E., Chaudhari, N., Roper, S. D. Breadth of tuning in taste afferent neurons varies with stimulus strength.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8171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Yarmolinsky,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Coding and plasticity in the mammalian thermosensory system.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1079-1092,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K. The image stabilizer plugin for ImageJ.</w:t>
      </w:r>
      <w:r>
        <w:rPr>
          <w:rFonts w:ascii="Calibri" w:hAnsi="Calibri" w:cs="Calibri" w:eastAsia="Calibri"/>
          <w:i/>
          <w:color w:val="auto"/>
          <w:spacing w:val="0"/>
          <w:position w:val="0"/>
          <w:sz w:val="24"/>
          <w:shd w:fill="auto" w:val="clear"/>
        </w:rPr>
        <w:t xml:space="preserve">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http://www.cs.cmu.edu/~</w:t>
        </w:r>
      </w:hyperlink>
      <w:r>
        <w:rPr>
          <w:rFonts w:ascii="Calibri" w:hAnsi="Calibri" w:cs="Calibri" w:eastAsia="Calibri"/>
          <w:i/>
          <w:color w:val="auto"/>
          <w:spacing w:val="0"/>
          <w:position w:val="0"/>
          <w:sz w:val="24"/>
          <w:shd w:fill="auto" w:val="clear"/>
        </w:rPr>
        <w:t xml:space="preserve"> kangli/code/Image_Stabilizer. html.</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Ackman, J. dF Over F movie ImageJ Plugin. </w:t>
      </w:r>
      <w:hyperlink xmlns:r="http://schemas.openxmlformats.org/officeDocument/2006/relationships" r:id="docRId1">
        <w:r>
          <w:rPr>
            <w:rFonts w:ascii="Calibri" w:hAnsi="Calibri" w:cs="Calibri" w:eastAsia="Calibri"/>
            <w:i/>
            <w:color w:val="0000FF"/>
            <w:spacing w:val="0"/>
            <w:position w:val="0"/>
            <w:sz w:val="24"/>
            <w:u w:val="single"/>
            <w:shd w:fill="auto" w:val="clear"/>
          </w:rPr>
          <w:t xml:space="preserve">https://gist.github.com/ackman678/5817461</w:t>
        </w:r>
      </w:hyperlink>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Cantu,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EZcalcium: Open-source toolbox for analysis of calcium imaging data.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Giovannucci, A. et al. CaImAn an open source tool for scalable calcium imaging data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Sour sensing from the tongue to the brain.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(2), 392-402 e315,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Lee, D., Kume, M., Holy, T. E. A molecular logic of sensory coding revealed by optical tagging of physiologically-defined neuronal types.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692079,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Moeyaert,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Improved methods for marking active neuron populations.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4440 (2018).</w:t>
      </w:r>
    </w:p>
    <w:p>
      <w:pPr>
        <w:spacing w:before="0" w:after="0" w:line="240"/>
        <w:ind w:right="0" w:left="0" w:firstLine="0"/>
        <w:jc w:val="left"/>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s.cmu.edu/~" Id="docRId0" Type="http://schemas.openxmlformats.org/officeDocument/2006/relationships/hyperlink" /><Relationship TargetMode="External" Target="https://gist.github.com/ackman678/5817461"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