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 Live Cell Imaging During Neuronal Development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Aslihan Terzi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 M. Sabbir Alam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Daniel M. Suter</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Biological Sciences, Purdue University, West Lafayette, IN, 47907,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Purdue Institute for Integrative Neuroscience, Purdue University, West Lafayette, IN, 47907,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Bindley Bioscience Center, Purdue University, West Lafayette, IN, 47907,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Aslihan Terzi (aterzi@purdue.edu)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 M. Sabbir Alam (alam13@purdue.edu)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M. Suter (dsuter@purdue.edu)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 hydrogen peroxide, roGFP2-Orp1, biosensor, RGC, zebrafish, neuronal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use of a genetically encoded hydrogen peroxide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)-biosensor in cultured zebrafish neurons and larvae for assessing the physiological signaling roles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during nervous system development. It can be applied to different cell types and modified with experimental treatments to study reactive oxygen species (ROS) in general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Reactive oxygen species (ROS) are well-established signaling molecules, which are important in normal development, homeostasis, and physiology. Among the different ROS, hydrogen peroxide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best characterized with respect to roles in cellular signaling.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has been implicated during the development in several species. For example, a transient increase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has been detected in zebrafish embryos during the first days following fertilization. Furthermore, depleting an important cellular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source, NADPH oxidase (NOX), impairs nervous system development such as the differentiation, axonal growth, and guidance of retinal ganglion cells (RGCs) both 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vivo and in vitro. Here, we describe a method for imaging intracellular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in cultured zebrafish neurons and whole larvae during development using the genetically encoded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-specific biosensor, roGFP2-Orp1. This probe can be transiently or stably expressed in zebrafish larvae. Furthermore, the ratiometric readout diminishes the probability of detecting artifacts due to differential gene expression or volume effects. First, we demonstrate how to isolate and culture RGCs derived from zebrafish embryos that transiently express roGFP2-Orp1. Then, we use whole larvae to monitor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at the tissue level. The sensor has been validated by the addition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Additionally, this methodology could be used to measure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in specific cell types and tissues by generating transgenic animals with tissue-specific biosensor expression. As zebrafish facilitate genetic and developmental manipulations, the approach demonstrated here could serve as a pipeline to test the role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during neuronal and general embryonic development in vertebrates.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Reactive oxygen species (ROS) signaling regulates development and functioning of the nervous system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 important cellular ROS source are NADPH oxidases (NOX), which are transmembrane proteins generating superoxide and hydrogen peroxide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NOX enzymes are found throughout the central nervous system (CNS), and NOX-derived ROS contribute to neuronal development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Maintenance and differentiation of neural stem cells, establishing neuronal polarity, neurite outgrowth, and synaptic plasticity have been shown to require adequate levels of ROS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On the other hand, uncontrolled production of ROS by NOXes contribute to neurodegenerative disorders including Alzheimer’s Disease, multiple sclerosis, and traumatic brain injury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Hence, production of physiologically relevant ROS is critical to maintaining healthy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of genetically encoded biosensors facilitated the detection of cellular ROS greatly. One important advantage of genetically encoded biosensors is the increased temporal and spatial resolution of the ROS signal, as these sensors can be specifically targeted to distinct locations. Redox-sensitive GFP (roGFP) is one type of such ROS biosensors. The roGFP2-Orp1 variant specifically detects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through its orp1 domain, which is a glutathione peroxiredoxin family protein from yeast</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The oxidation of the Orp1 protein is transferred to roGFP2 to alter its conformation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probe exhibits two excitation peaks near 405 nm and 480 nm, and a single emission peak at 515 nm. Upon oxidation, the fluorescence intensity around excitation peaks changes: while 405 nm excitation increases, 480 nm excitation decreases. Thus, roGFP2-Orp1 is a ratiometric biosensor, and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-levels are detected by the ratio of fluorescence intensities excited at two different wavelengths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Overall, roGFP2-Orp1 is a versatile tool for ROS imaging that can be utilized efficiently in vivo.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(zebrafish) model system has several advantages for applying genetically encoded biosensors. The optical transparency of the embryos and larvae enables non-invasive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imaging. New imaging tools are being developed to achieve higher resolution and deeper penetration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Furthermore, there are established tools for genetic manipulation (ectopic mRNA expression, Tol2 transgenesis, etc.) and genome editing (TALENs, CRISPR/Cas9, etc.), which promotes the generation of transgenic animals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As the zebrafish embryos develop outside of the mother, this system further allows easier access and manipulation of the embryos. For instance, one-cell stage injections and drug treatments can easily be done.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used zebrafish to transiently express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-specific biosensor roGFP2-Orp1 by injecting in vitro-transcribed mRNA. These embryos can be used for both in vitro imaging of cultured neurons and in vivo imaging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We describe a protocol for dissecting and plating retinal ganglion cells (RGCs) from zebrafish embryos followed by assessing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-levels in cultured neurons. Then, we present a method for in vivo imaging of roGFP2-Orp1-expressing embryos and larvae using confocal microscopy. This approach not only allows to determine physiological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-levels but also potential changes occurring in different developmental stages or conditions. Overall, this system provides a reliable method for detecting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live cells and animals to study the role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development, health, and disease.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ethically reviewed and approved by the Purdue Animal Care and Use Committee (PACUC), following NIH guidelines with the protocol 2006002050 approved on 07/24/2020.</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1x E2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100x E2A (500 mL), 500x E2B (100 mL) and 500x E2C (100 mL) solutions by combining all components shown in</w:t>
      </w:r>
      <w:r>
        <w:rPr>
          <w:rFonts w:ascii="Calibri" w:hAnsi="Calibri" w:cs="Calibri" w:eastAsia="Calibri"/>
          <w:b/>
          <w:color w:val="auto"/>
          <w:spacing w:val="0"/>
          <w:position w:val="0"/>
          <w:sz w:val="24"/>
          <w:shd w:fill="auto" w:val="clear"/>
        </w:rPr>
        <w:t xml:space="preserve"> Table 1</w:t>
      </w:r>
      <w:r>
        <w:rPr>
          <w:rFonts w:ascii="Calibri" w:hAnsi="Calibri" w:cs="Calibri" w:eastAsia="Calibri"/>
          <w:color w:val="auto"/>
          <w:spacing w:val="0"/>
          <w:position w:val="0"/>
          <w:sz w:val="24"/>
          <w:shd w:fill="auto" w:val="clear"/>
        </w:rPr>
        <w:t xml:space="preserve">. Autoclave E2A, E2B and E2C solutions. Store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For 1x E2 media: Combine 5 mL of 100x E2A, 1 mL of 500x E2B, and 1 mL of 500x E2C. Bring the volume to 500 mL with sterile water. Adjust the pH to 7.0-7.5.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Prepare 50 mL aliquots of 1x E2 media store at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&amp;#176;C for long-term storage. However, precipitations can occur upon thawing. Make sure precipitation is fully dissolved before using the stock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1x E3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Dissolve the components in 1 L sterile water as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to make 100x stock. Dilute the stock in sterile water to make 1x E3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Add 0.2% methylene blue. For 20 mL of 1x E3 media, add 40 &amp;#181;L of methylene blue.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Make another batch without methylene blue for fluorescent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80x saline stock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Combine all components shown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Add water to make 100 mL solution. Mix until all components are dissolved. Store the solution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Zebrafish cell culture medium (ZFCM+)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Combine all components shown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to make 250 mL media. Adjust the pH to 7.5. Filter media using 0.22 &amp;#181;m filter and store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Zebrafish cell culture medium for imaging (ZFCM-)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Combine all components shown in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to make 250 mL media. Adjust the pH to 7.5. Filter media using 0.22 &amp;#181;m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Make single use aliquots (50 mL batches) to prevent contamination. Keep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Injection molds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Dissolve 1.5% agarose in E3 media.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Pour ~ 25 mL of agarose in a 100 x 15 mm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t xml:space="preserve">Lay down the mold on top of the agarose with a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angle with respect to the surface, and let it float on agarose with a slow motion. This will help avoiding bubbles. Let the agarose cool down and solidify on bench 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1.6.3</w:t>
        <w:tab/>
        <w:t xml:space="preserve">Once completely solidified, remove the mold slowly to prevent breaking of agarose.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Add fresh E3 media, add paraffin film around the dish to prevent spills, and store at 4 &amp;#176;C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and injection of roGFP2-Orp1 mRNA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roGFP2-Orp1 construct was obtained from Dr. Tobias Dick, DKFZ, Germany. It was sub-cloned into the pCS2+ vector in Dr. Qing Deng’s Lab, Purdue University. To prevent degradation by RNase, several precautions must be taken. RNase-free reagents and tubes must be used at all times, gloves must be worn for all steps, and, alternatively, materials and surfaces can be wiped with a cleaning agent for RNase removal.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Linearize the 3-10 &amp;#181;g of pCS2+/roGFP2-Orp1 vector with NotI.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Purify the linearized plasmid with a PCR clean-up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In vitro transcribe the roGFP2-Orp1 mRNA with an in vitro transcription kit according to the instructions provided by the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Capped transcription reaction 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2.3.1.1. Place RNA polymerase and linearized/purified DNA on ice. Vortex 10x reaction buffer and 2x NTP/CAP until they are completely in solution. Store NTP/CAP on ice but keep the buffer at room temperature (RT) while assembling the reaction. Touch-spin all reagents before opening tubes to prevent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2.3.1.2. Set up RNA synthesis reaction in the order indicated below at RT in an RNase-free 0.5 mL centrifuge tube. Final volume of the reaction is 20 &amp;#181;L. Reaction setup is shown in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2.3.1.3. Add 10 &amp;#181;L of ribonucleotide mix, 2x NTP/CAP, and nuclease free water, if needed to the tube. Add 2 &amp;#181;L 10X reaction buffer. Add 1-1.5 &amp;#181;g of linear DNA (up to 6 &amp;#181;L). If needed, add nuclease-free water to make up 20 &amp;#181;L reaction volume.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2.3.1.4. Close the tube, vortex briefly and touch-spin microfuge. Add 2 &amp;#181;L of 10x SP6 enzyme mix. Close with a finger click and touch-spin in a microfuge.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2.3.1.5. Place in 37 &amp;#176;C for 2-2.5 h (can go up to 18 h).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presented experiment overnight 16-18 h incubation at 37 &amp;#176;C was performed for best results.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2.3.1.6. Add 1 &amp;#181;L of DNase to remove DNA template, finger click, touch spin, and incubate at 37 &amp;#176;C for 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RNA recovery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2.3.2.1. Add 25 &amp;#181;L of lithium chloride (LiCl) supplied in the in vitro transcription kit. Place at -20 &amp;#176;C in a non-frost freezer for at least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2.3.2.2. Spin for 25 min at maximum speed in a tabletop centrifuge at 4 &amp;#176;C. Remove and discard supernatant carefully, so as not to disturb pellet. Add 25 &amp;#181;L of cold 75% ethanol and spin for 5 min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2.3.2.3. Remove carefully and discard the supernatant. Let pellet air dry for at least 5 min at RT. Do not let over dry. Add 12 &amp;#181;L of nuclease free Tris-EDTA (TE) buffer (pH 7.0) and keep the sample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2.3.2.4. Measure the RNA concentration with a spectrophotometer. 0.5- 1 &amp;#181;g/&amp;#181;L is usually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2.3.2.5. Prepare 100 ng/&amp;#181;L mRNA in phenol red solution (0.5% phenol red in Dulbecco's phosphate-buffered saline -DPBS) and aliquot for single use (3-5 &amp;#181;L). Store the mRNA aliquots at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Microinjection of mRNA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On the day of injection, use one of the mRNA aliquots and follow the zebrafish embryo injection protocol to inject 1 nL of the mRNA into the one-cell stage embryos through their yolk</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 brief description is provided below.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Breed adult fish and collect embryos as previously described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Pull microinjection needles with pipette puller. Cut the tip of the needles with forceps to create a 10 &amp;#181;m tip opening.</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Align embryos in an injection mold that was described in Step 1.6.</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w:t>
        <w:tab/>
        <w:t xml:space="preserve">Inject 1 nL of the mRNA in phenol red with a glass microinjection pipette.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w:t>
        <w:tab/>
        <w:t xml:space="preserve">Collect embryos and keep them in E3 media.</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2.4.7.    Keep embryos in the 27 &amp;#176;C incubator in E3 media until the desired developmental stage is achieved. Injected embryos can be used for both in vitro (section 3 and section 4) and in vivo imaging (section 5). Embryos expressing roGFP2-Orp1 can be pre-selected prior to experiments with a regular dissection microscope equipped with fluorescent light and a blue/green filter set.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Primary retinal ganglion cell culture derived from zebrafish embryos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protocol is adapted from a previously published method </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 Perform steps 3.1 and 3.2 in a laminar flow hood.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Preparation of coverslips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Prepare 4-6 culture plates in each experiment. Use acid-cleaned coverslips (22 x 22 mm square; 0.16-0.19 mm thickness) that are stored in 100%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Remove one coverslip from the storage container by using forceps and flame it to remove residual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Air dry the coverslip completely by placing it at an angle inside a 35-mm culture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Prepare Poly-D-Lysine working solution (1x) by diluting 10x stock (5 mg/mL) in sterile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Apply 100 &amp;#181;L of 0.5 mg/mL PDL to the center of each coverslip and avoid spreading of the solution to the edges.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Incubate the PDL on coverslips for 20-30 min at room temperature (RT). Make sure the PDL does not dry out.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Wash the PDL with 0.5 mL sterile water. Let the plates dry completely.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Prepare laminin working solution (1x) by diluting 50x stock (1 mg/mL) in 1x PBS.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w:t>
        <w:tab/>
        <w:t xml:space="preserve">Apply 100 &amp;#181;L of 20 &amp;#181;g/mL laminin in PBS to the center of each coverslip and avoid the spread of solution to the edges.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3.1.10.</w:t>
        <w:tab/>
        <w:t xml:space="preserve">Incubate the plates at 37 &amp;#176;C in a humidified incubator for 2-6 h. Avoid drying of the laminin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Embryo dissection and plating RGCs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Prepare and label four 35-mm tissue culture dishes and fill with 4 mL of: 70% ethanol, “E2 media 1”, “E2 media 2”, “E2 media 3” on the day of dissection. Keep the dishes in the fridge until dissections.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When zebrafish embryos are 34 hours post fertilization (hpf), take the culture dishes coated with laminin out of the incubator and wash the coverslips three times with 0.5 mL of 1x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After the final wash, add 4 mL of ZFCM(+) media to each culture dish and avoid drying the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Retrieve the prepared culture dishes from Step 3.2.1. Let them equilibrate to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Fill 4-6 PCR tubes with 15 &amp;#181;L of ZFCM(+) media. One tube is needed to prepare RGCs from 4 eyes to be plated onto one coverslip.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Retrieve zebrafish embryos from the incubator and immerse embryos in 35 mm tissue culture dish containing 70% ethanol for 5-10 s to sterilize.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Using a transfer pipette, transfer embryos to E2 Media 1 dish containing sterile E2 media to wash excess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w:t>
        <w:tab/>
        <w:t xml:space="preserve">Transfer embryos to E2 Media 2 dish and remove their chorions with sharp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3.2.9.</w:t>
        <w:tab/>
        <w:t xml:space="preserve">Transfer embryos to final E2 Media 3 dish to perform dissections.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3.2.10.</w:t>
        <w:tab/>
        <w:t xml:space="preserve">Using a pair of fine forceps, dissect out the retinas as previously described </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w:t>
        <w:tab/>
        <w:t xml:space="preserve">Position and hold embryos anterior to their yolk with one of the forceps and remove the tail posterior to the yolk sac with the other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3.2.12.</w:t>
        <w:tab/>
        <w:t xml:space="preserve">Grab the neck with forceps and take off the head to expose brain and eyes to the E2 media. Avoid cutting the yolk sac.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3.2.13.</w:t>
        <w:tab/>
        <w:t xml:space="preserve">With the tip of fine forceps, gently roll the eyes off from the head, while holding the cranial tissue down with the second forceps. Keep eyes isolated from the adjacent tissue debris.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3.2.14.</w:t>
        <w:tab/>
        <w:t xml:space="preserve">Transfer four eyes to one of the previously-prepared tubes containing ZFCM(+).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3.2.15.</w:t>
        <w:tab/>
        <w:t xml:space="preserve">Gently titrate up and down with the P20 pipette and a yellow tip about 45 times to dissociate cells. Avoid any air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3.2.16.</w:t>
        <w:tab/>
        <w:t xml:space="preserve">Transfer the ZFCM(+) with dissociated cells to the center of the coverslip. Repeat steps 10-12 for additional coverslips.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3.2.17.</w:t>
        <w:tab/>
        <w:t xml:space="preserve">Maintain cultures on benchtop at 22 &amp;#176;C on a polystyrene foam rack to absorb vibrations.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3.2.18.</w:t>
        <w:tab/>
        <w:t xml:space="preserve">Perform imaging 6-24 h after plating.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Use transfer pipette to translocate embryos to different culture dishes. Change the pipette for each solution to prevent carrying over ethanol (Steps 6-8).</w:t>
      </w: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In vitro ROS imaging of cultured RGC neurons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On the day of imaging (typically 6-24 h after cell plating), check cells under microscope to validate growth of RGC axons.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For live-cell imaging, transfer coverslips from culture dish to a live cell imaging chamber. In this case a custom-made open chamber, which has been previously described was used</w:t>
      </w:r>
      <w:r>
        <w:rPr>
          <w:rFonts w:ascii="Calibri" w:hAnsi="Calibri" w:cs="Calibri" w:eastAsia="Calibri"/>
          <w:color w:val="auto"/>
          <w:spacing w:val="0"/>
          <w:position w:val="0"/>
          <w:sz w:val="24"/>
          <w:shd w:fill="FFFF00" w:val="clear"/>
          <w:vertAlign w:val="superscript"/>
        </w:rPr>
        <w:t xml:space="preserve">23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Set up microscope for imaging. Use an inverted microscope equipped with a differential interference contrast (DIC) objective, OG590 long-pass red filter, and an EM-CCD camera.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Before imaging, replace the ZFCM(+) medium with ZFCM(-).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Once cells are positioned with 10x objective, acquire images at 60x magnification using a high NA oil immersion objective. Use an additional 1.5x magnification.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First, acquire DIC images. Then, image roGFP2-Orp1 using an appropriate filter set. Excite roGFP2-Orp1 with 405/20 and 480/30 nm excitation filters sequentially and acquire images with 535/30 nm emission filter after emission light has passed the dichroic mirror 505DCXR.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After taking the first set of images, exchange media with media containing different treatment solutions. Media should be changed every 30 min of imaging to avoid pH and osmolarity changes.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In vivo ROS imaging of developing embryos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For in vivo imaging, keep embryos in E3 media containing 0.003% Phenylthiourea (PTU) without methylene blue from 22-24 hpf. Exchange media and remove dead embryos on a daily basis.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r>
      <w:r>
        <w:rPr>
          <w:rFonts w:ascii="Calibri" w:hAnsi="Calibri" w:cs="Calibri" w:eastAsia="Calibri"/>
          <w:color w:val="auto"/>
          <w:spacing w:val="0"/>
          <w:position w:val="0"/>
          <w:sz w:val="24"/>
          <w:shd w:fill="auto" w:val="clear"/>
        </w:rPr>
        <w:t xml:space="preserve">At the desired age, anesthetize embryos in 0.016% tricaine. </w:t>
      </w:r>
      <w:r>
        <w:rPr>
          <w:rFonts w:ascii="Calibri" w:hAnsi="Calibri" w:cs="Calibri" w:eastAsia="Calibri"/>
          <w:color w:val="auto"/>
          <w:spacing w:val="0"/>
          <w:position w:val="0"/>
          <w:sz w:val="24"/>
          <w:shd w:fill="FFFF00" w:val="clear"/>
        </w:rPr>
        <w:t xml:space="preserve"> Mount anesthetized embryos in 1% low-melting agarose on 35-mm glass bottom culture dishes. Embryos can be oriented dorsally, ventrally or laterally, depending on the region of interest for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After agarose solidifies, fill the dishes with E3 media without methylene blue/0.016% tricaine.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Set up the microscope for imaging. Use an inverted laser scanning confocal microscope. Alternatively, use an upright confocal microscope equipped with a water immersion lens to image embryos mounted on top of an agarose drop.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Excite roGFP2-Orp1 with 405 nm and 488 nm excitation filters sequentially and acquire corresponding images with emission filters in the range of 515-535 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Acquire z-stacks with 5 &amp;#181;m section thickness through the desired part of the embryos. Embryos can be kept for imaging at later stages of development.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After imaging, remove embryos from agarose with fine forceps and keep in the incubator until desired age in methylene blue-free media with PTU.</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Image analysis and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Measurement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based on 405/480 ratio values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Use a suitable software for image analysis. ImageJ software was used here for image analysis and 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Open DIC, 405/535 and 480/535 images in ImageJ software by either dragging the files or clicking </w:t>
      </w:r>
      <w:r>
        <w:rPr>
          <w:rFonts w:ascii="Calibri" w:hAnsi="Calibri" w:cs="Calibri" w:eastAsia="Calibri"/>
          <w:b/>
          <w:color w:val="auto"/>
          <w:spacing w:val="0"/>
          <w:position w:val="0"/>
          <w:sz w:val="24"/>
          <w:shd w:fill="auto" w:val="clear"/>
        </w:rPr>
        <w:t xml:space="preserve">File | Open</w:t>
      </w:r>
      <w:r>
        <w:rPr>
          <w:rFonts w:ascii="Calibri" w:hAnsi="Calibri" w:cs="Calibri" w:eastAsia="Calibri"/>
          <w:color w:val="auto"/>
          <w:spacing w:val="0"/>
          <w:position w:val="0"/>
          <w:sz w:val="24"/>
          <w:shd w:fill="auto" w:val="clear"/>
        </w:rPr>
        <w:t xml:space="preserve">. If not already done, convert images to 32-bit by clicking </w:t>
      </w:r>
      <w:r>
        <w:rPr>
          <w:rFonts w:ascii="Calibri" w:hAnsi="Calibri" w:cs="Calibri" w:eastAsia="Calibri"/>
          <w:b/>
          <w:color w:val="auto"/>
          <w:spacing w:val="0"/>
          <w:position w:val="0"/>
          <w:sz w:val="24"/>
          <w:shd w:fill="auto" w:val="clear"/>
        </w:rPr>
        <w:t xml:space="preserve">Image | Type | 32-bit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Define region of interest (ROI) with free hand tool from the control bar (cell body, growth cone, retina, etc.). Open the ROI manager by clicking </w:t>
      </w:r>
      <w:r>
        <w:rPr>
          <w:rFonts w:ascii="Calibri" w:hAnsi="Calibri" w:cs="Calibri" w:eastAsia="Calibri"/>
          <w:b/>
          <w:color w:val="auto"/>
          <w:spacing w:val="0"/>
          <w:position w:val="0"/>
          <w:sz w:val="24"/>
          <w:shd w:fill="auto" w:val="clear"/>
        </w:rPr>
        <w:t xml:space="preserve">Analyze | Tools | ROI Manager</w:t>
      </w:r>
      <w:r>
        <w:rPr>
          <w:rFonts w:ascii="Calibri" w:hAnsi="Calibri" w:cs="Calibri" w:eastAsia="Calibri"/>
          <w:color w:val="auto"/>
          <w:spacing w:val="0"/>
          <w:position w:val="0"/>
          <w:sz w:val="24"/>
          <w:shd w:fill="auto" w:val="clear"/>
        </w:rPr>
        <w:t xml:space="preserve">. Click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ROI Manager</w:t>
      </w:r>
      <w:r>
        <w:rPr>
          <w:rFonts w:ascii="Calibri" w:hAnsi="Calibri" w:cs="Calibri" w:eastAsia="Calibri"/>
          <w:color w:val="auto"/>
          <w:spacing w:val="0"/>
          <w:position w:val="0"/>
          <w:sz w:val="24"/>
          <w:shd w:fill="auto" w:val="clear"/>
        </w:rPr>
        <w:t xml:space="preserve"> tab to add the defined ROI.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Draw a region close to ROI and add as background ROI. Measure average background values by selecting the ROI and clicking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from the ROI manager tab.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6.1.5</w:t>
        <w:tab/>
        <w:t xml:space="preserve">Note the average intensity values from the measurement. Subtract the value of average background from the fluorescent images by clicking</w:t>
      </w:r>
      <w:r>
        <w:rPr>
          <w:rFonts w:ascii="Calibri" w:hAnsi="Calibri" w:cs="Calibri" w:eastAsia="Calibri"/>
          <w:b/>
          <w:color w:val="auto"/>
          <w:spacing w:val="0"/>
          <w:position w:val="0"/>
          <w:sz w:val="24"/>
          <w:shd w:fill="auto" w:val="clear"/>
        </w:rPr>
        <w:t xml:space="preserve"> Process | Math | Subtract</w:t>
      </w:r>
      <w:r>
        <w:rPr>
          <w:rFonts w:ascii="Calibri" w:hAnsi="Calibri" w:cs="Calibri" w:eastAsia="Calibri"/>
          <w:color w:val="auto"/>
          <w:spacing w:val="0"/>
          <w:position w:val="0"/>
          <w:sz w:val="24"/>
          <w:shd w:fill="auto" w:val="clear"/>
        </w:rPr>
        <w:t xml:space="preserve">. Perform this step for both 405/535 and 480/535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6.1.6</w:t>
        <w:tab/>
        <w:t xml:space="preserve">Add value of “1” to 480/535 fluorescent image to eliminate “0” values by clicking </w:t>
      </w:r>
      <w:r>
        <w:rPr>
          <w:rFonts w:ascii="Calibri" w:hAnsi="Calibri" w:cs="Calibri" w:eastAsia="Calibri"/>
          <w:b/>
          <w:color w:val="auto"/>
          <w:spacing w:val="0"/>
          <w:position w:val="0"/>
          <w:sz w:val="24"/>
          <w:shd w:fill="auto" w:val="clear"/>
        </w:rPr>
        <w:t xml:space="preserve">Process | Math | Add </w:t>
      </w:r>
      <w:r>
        <w:rPr>
          <w:rFonts w:ascii="Calibri" w:hAnsi="Calibri" w:cs="Calibri" w:eastAsia="Calibri"/>
          <w:color w:val="auto"/>
          <w:spacing w:val="0"/>
          <w:position w:val="0"/>
          <w:sz w:val="24"/>
          <w:shd w:fill="auto" w:val="clear"/>
        </w:rPr>
        <w:t xml:space="preserve">function prior to ratio calculation.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6.1.7</w:t>
        <w:tab/>
        <w:t xml:space="preserve">Click </w:t>
      </w:r>
      <w:r>
        <w:rPr>
          <w:rFonts w:ascii="Calibri" w:hAnsi="Calibri" w:cs="Calibri" w:eastAsia="Calibri"/>
          <w:b/>
          <w:color w:val="auto"/>
          <w:spacing w:val="0"/>
          <w:position w:val="0"/>
          <w:sz w:val="24"/>
          <w:shd w:fill="auto" w:val="clear"/>
        </w:rPr>
        <w:t xml:space="preserve">Process | Image Calculator | Divide</w:t>
      </w:r>
      <w:r>
        <w:rPr>
          <w:rFonts w:ascii="Calibri" w:hAnsi="Calibri" w:cs="Calibri" w:eastAsia="Calibri"/>
          <w:color w:val="auto"/>
          <w:spacing w:val="0"/>
          <w:position w:val="0"/>
          <w:sz w:val="24"/>
          <w:shd w:fill="auto" w:val="clear"/>
        </w:rPr>
        <w:t xml:space="preserve"> function in ImageJ to divide 405/535 image by 480/535 image pixel-by-pixel. Select 405/535 image to be divided by 480/535 image. Select a 32-bit output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6.1.8</w:t>
        <w:tab/>
        <w:t xml:space="preserve">Apply ROI to ratio image by first clicking the ratio image and then the ROI in the ROI manager 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6.1.9</w:t>
        <w:tab/>
        <w:t xml:space="preserve">Measure average ratio values of 405/535 image to 480/535 image by clicking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in the ROI manager tab.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6.1.10</w:t>
        <w:tab/>
        <w:t xml:space="preserve">Do steps 6.1.2-6.1.9 for as many samples as possible to perform the appropriate 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Displaying ratio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is to subtract the background outside the specimen and apply a color look-up table to the image.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Once the ratio image has been created in ImageJ in step 6.1.7., create a 32-bit black image by clicking </w:t>
      </w:r>
      <w:r>
        <w:rPr>
          <w:rFonts w:ascii="Calibri" w:hAnsi="Calibri" w:cs="Calibri" w:eastAsia="Calibri"/>
          <w:b/>
          <w:color w:val="auto"/>
          <w:spacing w:val="0"/>
          <w:position w:val="0"/>
          <w:sz w:val="24"/>
          <w:shd w:fill="auto" w:val="clear"/>
        </w:rPr>
        <w:t xml:space="preserve">File | New | Image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Apply the ROI you would like to display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for to the new image by first clicking the new image and then the ROI from the ROI manager tab.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Create a mask by clicking </w:t>
      </w:r>
      <w:r>
        <w:rPr>
          <w:rFonts w:ascii="Calibri" w:hAnsi="Calibri" w:cs="Calibri" w:eastAsia="Calibri"/>
          <w:b/>
          <w:color w:val="auto"/>
          <w:spacing w:val="0"/>
          <w:position w:val="0"/>
          <w:sz w:val="24"/>
          <w:shd w:fill="auto" w:val="clear"/>
        </w:rPr>
        <w:t xml:space="preserve">Edit | Selection | Create Mask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t xml:space="preserve">Divide mask image by 255 to adjust ROI value to “1” and background values will be “0”. Click </w:t>
      </w:r>
      <w:r>
        <w:rPr>
          <w:rFonts w:ascii="Calibri" w:hAnsi="Calibri" w:cs="Calibri" w:eastAsia="Calibri"/>
          <w:b/>
          <w:color w:val="auto"/>
          <w:spacing w:val="0"/>
          <w:position w:val="0"/>
          <w:sz w:val="24"/>
          <w:shd w:fill="auto" w:val="clear"/>
        </w:rPr>
        <w:t xml:space="preserve">Process | Math | Divide</w:t>
      </w:r>
      <w:r>
        <w:rPr>
          <w:rFonts w:ascii="Calibri" w:hAnsi="Calibri" w:cs="Calibri" w:eastAsia="Calibri"/>
          <w:color w:val="auto"/>
          <w:spacing w:val="0"/>
          <w:position w:val="0"/>
          <w:sz w:val="24"/>
          <w:shd w:fill="auto" w:val="clear"/>
        </w:rPr>
        <w:t xml:space="preserve"> and type 255.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6.2.5.</w:t>
        <w:tab/>
        <w:t xml:space="preserve">Multiply mask with the ratio image by clicking </w:t>
      </w:r>
      <w:r>
        <w:rPr>
          <w:rFonts w:ascii="Calibri" w:hAnsi="Calibri" w:cs="Calibri" w:eastAsia="Calibri"/>
          <w:b/>
          <w:color w:val="auto"/>
          <w:spacing w:val="0"/>
          <w:position w:val="0"/>
          <w:sz w:val="24"/>
          <w:shd w:fill="auto" w:val="clear"/>
        </w:rPr>
        <w:t xml:space="preserve">Process | Image Calculator | Multiply</w:t>
      </w:r>
      <w:r>
        <w:rPr>
          <w:rFonts w:ascii="Calibri" w:hAnsi="Calibri" w:cs="Calibri" w:eastAsia="Calibri"/>
          <w:color w:val="auto"/>
          <w:spacing w:val="0"/>
          <w:position w:val="0"/>
          <w:sz w:val="24"/>
          <w:shd w:fill="auto" w:val="clear"/>
        </w:rPr>
        <w:t xml:space="preserve"> function. This will result in a gray-scale ratio image showing only the ROI.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6.2.6.</w:t>
        <w:tab/>
        <w:t xml:space="preserve">Change look up table to “Fire” by clicking </w:t>
      </w:r>
      <w:r>
        <w:rPr>
          <w:rFonts w:ascii="Calibri" w:hAnsi="Calibri" w:cs="Calibri" w:eastAsia="Calibri"/>
          <w:b/>
          <w:color w:val="auto"/>
          <w:spacing w:val="0"/>
          <w:position w:val="0"/>
          <w:sz w:val="24"/>
          <w:shd w:fill="auto" w:val="clear"/>
        </w:rPr>
        <w:t xml:space="preserve">Image | Look up Tables | Fire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multiplication factor can be applied to all images for better visualization of the ratio by clicking</w:t>
      </w:r>
      <w:r>
        <w:rPr>
          <w:rFonts w:ascii="Calibri" w:hAnsi="Calibri" w:cs="Calibri" w:eastAsia="Calibri"/>
          <w:b/>
          <w:color w:val="auto"/>
          <w:spacing w:val="0"/>
          <w:position w:val="0"/>
          <w:sz w:val="24"/>
          <w:shd w:fill="auto" w:val="clear"/>
        </w:rPr>
        <w:t xml:space="preserve"> Process | Image | Multiply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6.2.7.</w:t>
        <w:tab/>
        <w:t xml:space="preserve">Convert the ratio image to 8-bit by clicking </w:t>
      </w:r>
      <w:r>
        <w:rPr>
          <w:rFonts w:ascii="Calibri" w:hAnsi="Calibri" w:cs="Calibri" w:eastAsia="Calibri"/>
          <w:b/>
          <w:color w:val="auto"/>
          <w:spacing w:val="0"/>
          <w:position w:val="0"/>
          <w:sz w:val="24"/>
          <w:shd w:fill="auto" w:val="clear"/>
        </w:rPr>
        <w:t xml:space="preserve">Image | Type | 8-bit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6.2.8.</w:t>
        <w:tab/>
        <w:t xml:space="preserve">Add calibration bar by clicking </w:t>
      </w:r>
      <w:r>
        <w:rPr>
          <w:rFonts w:ascii="Calibri" w:hAnsi="Calibri" w:cs="Calibri" w:eastAsia="Calibri"/>
          <w:b/>
          <w:color w:val="auto"/>
          <w:spacing w:val="0"/>
          <w:position w:val="0"/>
          <w:sz w:val="24"/>
          <w:shd w:fill="auto" w:val="clear"/>
        </w:rPr>
        <w:t xml:space="preserve">Analyze | Tools | Calibration Bar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Cultured zebrafish RGCs extend axons within 1d. A representative 405/480 ratio image of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-biosensor is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cell body, axon, and growth cones are clearly visible in individual neurons. These neurons can be subjected to different treatments over time to monitor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changes. We previously found that adding 100 &amp;#181;M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culture media increases the ratio values, showing that real-time changes can be detected with this system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can also be determined in whole zebrafish embryos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As the mRNA is injected during the one-cell stage, all tissues express the roGFP2-Orp1 biosensor.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we show the head region of zebrafish larvae at two different time points, focusing on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levels in the retina, as an example. We have previously shown that addition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increases the ratio values in real time, while addition of the reducing agent DTT reverses this effect in vivo</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Here, we measured the basal levels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the same zebrafish embryos at 2 dpf and 5 dpf. At 2 dpf, the ratio values were significantly lower than at 5 dpf (p&amp;lt;0.0001;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Furthermore, each animal showed a different level of increase in their retinal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content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and excitation spectra of roGFP2-Orp1.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Oxidant transfer occurs between Orp1 and roGFP2 in response to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leading to conformational changes in roGFP2.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excitation spectra of the roGFP2-Orp1 exhibits two excitation peaks at 405 nm and 480 nm and single emission peak at 515 nm. Upon oxidation by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405 nm excitation increases while 480 nm excitation decreases. This results in ratiometric readout for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presence. The figure has been modified from Bilan and Belousov (2017)</w:t>
      </w:r>
      <w:r>
        <w:rPr>
          <w:rFonts w:ascii="Calibri" w:hAnsi="Calibri" w:cs="Calibri" w:eastAsia="Calibri"/>
          <w:color w:val="auto"/>
          <w:spacing w:val="0"/>
          <w:position w:val="0"/>
          <w:sz w:val="24"/>
          <w:shd w:fill="auto" w:val="clear"/>
          <w:vertAlign w:val="superscript"/>
        </w:rPr>
        <w:t xml:space="preserve">16 </w:t>
      </w:r>
      <w:r>
        <w:rPr>
          <w:rFonts w:ascii="Calibri" w:hAnsi="Calibri" w:cs="Calibri" w:eastAsia="Calibri"/>
          <w:color w:val="auto"/>
          <w:spacing w:val="0"/>
          <w:position w:val="0"/>
          <w:sz w:val="24"/>
          <w:shd w:fill="auto" w:val="clear"/>
        </w:rPr>
        <w:t xml:space="preserve">and Morgan et al. (2011)</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Outline of the experimental approach.</w:t>
      </w:r>
      <w:r>
        <w:rPr>
          <w:rFonts w:ascii="Calibri" w:hAnsi="Calibri" w:cs="Calibri" w:eastAsia="Calibri"/>
          <w:color w:val="auto"/>
          <w:spacing w:val="0"/>
          <w:position w:val="0"/>
          <w:sz w:val="24"/>
          <w:shd w:fill="auto" w:val="clear"/>
        </w:rPr>
        <w:t xml:space="preserve"> Briefly, after embryo collection, roGFP2-Orp1 mRNA is injected into the yolk of one-cell stage zebrafish embryos. Developing embryos can be used for both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vitro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vivo imaging.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GFP-positive embryos are used to dissect retinas for RGC collection at 34 hpf. Dissociated RGCs are plated on PDL/laminin-coated coverslips in ZFCM (+) media. Growth cone imaging can be conducted as RGCs extend their axons after 6-24 h of plating. Cells can be subjected to different treatments to measure the potential changes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-levels. Here, we measured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-levels in the growth cones of RGCs (red).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GFP positive embryos are used for in vivo imaging. At the desired age, embryos can be anesthetized and mounted on 35 mm glass bottom dishes for confocal imaging. Here, embryos are mounted ventrally for retinal imaging. Schematic shows retinal development in zebrafish. RGCs form ganglion cell layer (GCL), which is the innermost layer in retina. RGC axons develop into optic nerve to cross midline, forming optic chiasm. Then, RGC axons grow dorsally to make synapses in the optic tectum in the midbrain.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Injection mold images.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plastic mold that is used to make injection plates. The mold has six ramps, one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one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beveled side for holding embryos in place.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injection plate after the agarose solidified and mold is removed. Scale bars = 1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imaging in cultured zebrafish RGCs with roGFP2-Orp1.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405/480 nm ratio images of cultured RGC neurons from 34 hpf old zebrafish embryos. Neuron on the left was treated with serum-free control medium and neuron on the right was treated with 100 &amp;#181;M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30 min. Scale bar =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Bar graphs showing the average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in the wild type zebrafish RGC growth cones before and after treatment with either control or 100 &amp;#181;M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data were normalized to control treatment. Data are shown mean &amp;plusmn; SEM. Number of growth cones are shown in parentheses for each group. Two-tailed Wilcoxon matched-pairs signed rank test; **p = 0.0009. The figure has been modified from our previous publication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In vivo</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imaging in zebrafish larvae with roGFP2-Orp1.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DIC and 405/480 nm ratio images of 2 and 5 dpf zebrafish larvae. ROI is defined as retina (yellow lines) to measure ratio values. The same larvae were analyzed at 2 and 5 dpf. Scale bars =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Measurement of average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in retinas of 2 and 5 dpf zebrafish. At 5 dpf,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-levels are increased significantly in the retina compared to 2 dpf.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Line graph of measurements of individual fish. Each animal exhibits an increase in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-levels in their retina from 2 to 5 dpf.  Data are shown as mean &amp;plusmn; SEM. Number of larvae analyzed are shown in parentheses for each group. Two-tailed Wilcoxon matched-pairs signed rank test, ****p&amp;lt;0.0001.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LEGENDS: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Components of 1x E2 media for zebrafish cell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Components of 100x E3 media for maintaining zebrafish embryos.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Components of 80x saline solution for zebrafish cell culture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Components of zebrafish cell culture medium with serum and antibiotics.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Components of zebrafish cell culture medium without serum and antibiotics for in vitro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 Reaction setup for roGFP2-Orp1 mRNA in vitro transcription.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critical steps that needs attention throughout this protocol. We believe considering these points will improve the experimental flow. For primary RGC culture, the sterility of the ZFCM(-) is very important, since this culture media does not contain antibiotics and contamination can occur before or during imaging. To avoid it, we advise to prepare and use ZFCM(-) only inside a biosafety cabinet and make fresh ZFCM(-) media regularly (Step 1.5). In addition, laminin stocks should be kept at -80 &amp;#176;C. Thawed laminin should be stored at 4 &amp;#176;C at all times. Do not keep laminin solutions at room temperature or refreeze, as it decreases the neurite outgrowth promoting activity of the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Dissecting zebrafish retina at the proper time is important to yield enough RGCs that extend axons. Zebrafish RGCs are born at 28 hpf and extend axons out of retina starting 32-36 hpf. Therefore, it is critical to plate RGCs after 28 hpf, preferably between 32-36 hpf, to allow for full differentiation of RGCs. Cultures prepared at earlier time points may not yield enough RGCs or will yield RGCs that may not extend axons within 24 hours after plating. It is highly recommended to change the ZFCM(-) media when imaging for more than 30 min. As this media lacks phenol red, pH changes are not visible and may need to be considered. Exchange media very carefully to avoid dislodging neurons during the process (Step 4.7).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Changing the media to E3 with PTU but without methylene blue is necessary by 24 hpf. PTU prevents pigmentation for enhanced larval transparency required for in vivo fluorescence imaging; however, earlier treatment with PTU can cause developmental defects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Methylene blue is removed from E3 media to reduce autofluorescence, mainly originating from the yolk (Step 5.1).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allows cytoplasmic detection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However, subcellular compartmentalization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contributes to local signaling, and cytoplasmic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-levels may not provide sufficient information on specific signaling roles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 roGFP2-Orp1 is a genetically encoded biosensor, it can be targeted for tissue-specific expression (e.g., neurons, astrocytes, glial cells, etc.) or specific subcellular locations (e.g., plasma membrane, mitochondria, nucleus, etc.). As roGFP2-Orp1 is a GFP-based biosensor, the combination with other fluorescent probes is limited to emission wavelengths outside the green spectrum. Since GFP is widely used as transgenesis marker, utilization of GFP-based biosensors can be limited. To address this challenge, red-fluorescent proteins for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-detection have been developed recently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Furthermore, roGFP2-Orp1 is transiently expressed in the method presented here. Hence, the mRNA and protein expression will decay over time. We were still able to detect the signal in 5 dpf larvae; however, transgenic fish lines need to be established for stable expression of the biosensor throughout development and into adulthood.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dye-based assays are available for detecting intracellular ROS (e.g., H2DCF-DA), or specifically,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(PF6-AM)</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Using a genetically encoded biosensor, such as roGFP2-Orp1, has several advantages over dye-based methods. First, it allows detection of both transient changes in oxidative status because of reversibility as well as at specific subcellular locations. Hence, the dynamic changes are well monitored with high degree of spatial resolution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Second, it generally exhibits less toxicity to cells or tissues when compared to dye molecules. Finally, the biosensor can be further genetically manipulated to meet the needs of specific experiments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roGFP2-Orp1 is a ratiometric biosensor, since it has two excitation and one emission peak. Upon interaction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405 nm excitation increases, and 480 nm excitation decreases. Hence, the readout is the ratio of the intensity values acquired by 405 and 480 nm excitation, respectively. Because this probe is ratiometric, application of a second probe becomes unnecessary to correct for potential volume effects. Furthermore, since this probe involves only expression of one polypeptide, it does not suffer from potential problems of differential expression of more than one protein, such as in the case of intermolecular Fluorescence Resonance Energy Transfer (FRET).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roGFP2-Orp1 is a versatile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probe to study ROS production and signaling. In live cells, this probe exhibits dynamic range of 4.8 (around 4 in transgenic zebrafish embryos)</w:t>
      </w:r>
      <w:r>
        <w:rPr>
          <w:rFonts w:ascii="Calibri" w:hAnsi="Calibri" w:cs="Calibri" w:eastAsia="Calibri"/>
          <w:color w:val="auto"/>
          <w:spacing w:val="0"/>
          <w:position w:val="0"/>
          <w:sz w:val="24"/>
          <w:shd w:fill="auto" w:val="clear"/>
          <w:vertAlign w:val="superscript"/>
        </w:rPr>
        <w:t xml:space="preserve">15,32</w:t>
      </w:r>
      <w:r>
        <w:rPr>
          <w:rFonts w:ascii="Calibri" w:hAnsi="Calibri" w:cs="Calibri" w:eastAsia="Calibri"/>
          <w:color w:val="auto"/>
          <w:spacing w:val="0"/>
          <w:position w:val="0"/>
          <w:sz w:val="24"/>
          <w:shd w:fill="auto" w:val="clear"/>
        </w:rPr>
        <w:t xml:space="preserve">. However, the redox state of roGFP2-Orp1 is subject to alterations by endogenous thioredoxin and glutaredoxin systems; hence, more sensitive probes were developed by replacing Orp1 with another yeast peroxiredoxin, Tsa2</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While roGFP2-Orp1 is useful to detect changes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 zebrafish embryos, the sensitivity is mostly limited to higher concentrations of exogenously applied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24,31</w:t>
      </w:r>
      <w:r>
        <w:rPr>
          <w:rFonts w:ascii="Calibri" w:hAnsi="Calibri" w:cs="Calibri" w:eastAsia="Calibri"/>
          <w:color w:val="auto"/>
          <w:spacing w:val="0"/>
          <w:position w:val="0"/>
          <w:sz w:val="24"/>
          <w:shd w:fill="auto" w:val="clear"/>
        </w:rPr>
        <w:t xml:space="preserve">, or to potent stimuli. For instance, slit2 treatment increased the roGFP2-Orp1 signal in wild type RGCs, but not in </w:t>
      </w:r>
      <w:r>
        <w:rPr>
          <w:rFonts w:ascii="Calibri" w:hAnsi="Calibri" w:cs="Calibri" w:eastAsia="Calibri"/>
          <w:i/>
          <w:color w:val="auto"/>
          <w:spacing w:val="0"/>
          <w:position w:val="0"/>
          <w:sz w:val="24"/>
          <w:shd w:fill="auto" w:val="clear"/>
        </w:rPr>
        <w:t xml:space="preserve">nox2</w:t>
      </w:r>
      <w:r>
        <w:rPr>
          <w:rFonts w:ascii="Calibri" w:hAnsi="Calibri" w:cs="Calibri" w:eastAsia="Calibri"/>
          <w:color w:val="auto"/>
          <w:spacing w:val="0"/>
          <w:position w:val="0"/>
          <w:sz w:val="24"/>
          <w:shd w:fill="auto" w:val="clear"/>
        </w:rPr>
        <w:t xml:space="preserve"> mutant RGCs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On the other hand, there was no difference in basal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between wildtype and </w:t>
      </w:r>
      <w:r>
        <w:rPr>
          <w:rFonts w:ascii="Calibri" w:hAnsi="Calibri" w:cs="Calibri" w:eastAsia="Calibri"/>
          <w:i/>
          <w:color w:val="auto"/>
          <w:spacing w:val="0"/>
          <w:position w:val="0"/>
          <w:sz w:val="24"/>
          <w:shd w:fill="auto" w:val="clear"/>
        </w:rPr>
        <w:t xml:space="preserve">nox2</w:t>
      </w:r>
      <w:r>
        <w:rPr>
          <w:rFonts w:ascii="Calibri" w:hAnsi="Calibri" w:cs="Calibri" w:eastAsia="Calibri"/>
          <w:color w:val="auto"/>
          <w:spacing w:val="0"/>
          <w:position w:val="0"/>
          <w:sz w:val="24"/>
          <w:shd w:fill="auto" w:val="clear"/>
        </w:rPr>
        <w:t xml:space="preserve"> mutant RGCs and 2 dpf embryos</w:t>
      </w:r>
      <w:r>
        <w:rPr>
          <w:rFonts w:ascii="Calibri" w:hAnsi="Calibri" w:cs="Calibri" w:eastAsia="Calibri"/>
          <w:color w:val="auto"/>
          <w:spacing w:val="0"/>
          <w:position w:val="0"/>
          <w:sz w:val="24"/>
          <w:shd w:fill="auto" w:val="clear"/>
          <w:vertAlign w:val="superscript"/>
        </w:rPr>
        <w:t xml:space="preserve">24,35</w:t>
      </w:r>
      <w:r>
        <w:rPr>
          <w:rFonts w:ascii="Calibri" w:hAnsi="Calibri" w:cs="Calibri" w:eastAsia="Calibri"/>
          <w:color w:val="auto"/>
          <w:spacing w:val="0"/>
          <w:position w:val="0"/>
          <w:sz w:val="24"/>
          <w:shd w:fill="auto" w:val="clear"/>
        </w:rPr>
        <w:t xml:space="preserve">. Hence, to detect basal levels or small changes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higher sensitivity probes will be needed.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HyPer is another widely used genetically encoded and ratiometric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-specific biosensor</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 sensitivities of both probes are similar; however, roGFP2-Orp1 exhibited slower responsiveness to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changes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Therefore, precise detection of real-time changes might require HyPer instead of roGFP2-Orp1. Whereas initial HyPer versions are affected by pH changes, roGFP2-Orp1 is not</w:t>
      </w:r>
      <w:r>
        <w:rPr>
          <w:rFonts w:ascii="Calibri" w:hAnsi="Calibri" w:cs="Calibri" w:eastAsia="Calibri"/>
          <w:color w:val="auto"/>
          <w:spacing w:val="0"/>
          <w:position w:val="0"/>
          <w:sz w:val="24"/>
          <w:shd w:fill="auto" w:val="clear"/>
          <w:vertAlign w:val="superscript"/>
        </w:rPr>
        <w:t xml:space="preserve">16,36</w:t>
      </w:r>
      <w:r>
        <w:rPr>
          <w:rFonts w:ascii="Calibri" w:hAnsi="Calibri" w:cs="Calibri" w:eastAsia="Calibri"/>
          <w:color w:val="auto"/>
          <w:spacing w:val="0"/>
          <w:position w:val="0"/>
          <w:sz w:val="24"/>
          <w:shd w:fill="auto" w:val="clear"/>
        </w:rPr>
        <w:t xml:space="preserve">.  Hence, it is critical to include a pH control probe (SypHer3s) while using HyPer</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 most recent HyPer probe, HyPer7, overcame many of the drawbacks of existing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probes: HyPer7 has a higher pH stability, increased brightness, faster kinetics and higher dynamic range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Furthermore, HyPer7 is validated both in vitro and in vivo, showing the subcellular compartmentalization and monitoring real time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changes in zebrafish embryos during wound healing</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methodology presented here can be expanded to study the role of ROS signaling both in vitro and in vivo. roGFP2-Orp1 expressing neurons can be subjected to different treatments to study their effect on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signaling. For instance, we showed that RGCs respond to changes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in real time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suggesting that the biosensor can detect immediate changes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However, determining absolute intracellular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concentrations would require extensive calibration of the system. The detection limit of the biosensor is also unclear. Additionally, the detailed spatial distribution of the biosensor in the cell is not completely known, which could interfere with the interpretation of the results. Furthermore, determining the exact location signal from roGFP2-Orp1 could reveal whether there is site-specific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production that contributes to localized intracellular signaling.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Creating transgenic fish expressing roGFP2-Orp1 has numerous advantages. The biosensor can be expressed ubiquitously, or under a tissue-specific promoter for studying cell-specific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signaling by using Tol2 transgenesis in zebrafish</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The role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development can be studied by ubiquitous expression of the biosensor. For instance, transgenic zebrafish embryos can be monitored to assess changes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and how these changes contribute to different developmental stages. On the other hand, tissue-specific expression of the roGFP2-Orp1 focuses on the effects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production in cells or tissues of interest. Tissue or cell-specific promoters can be used to drive expression of roGFP2-Orp1 in specific cells. Furthermore, the Gal4/UAS system can be used for sparse labeling of individual neurons. Hence, this approach allows detecting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at a cellular resolution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vivo. Finally, stable transgenic lines can be used for high-throughput drug screening that involves ROS signaling and oxidative stress in zebrafish embryos.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declare that they have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Institutes of Health (Grant R01NS117701), National Science Foundation (Grant 1146944-IOS), the Indiana Traumatic Spinal Cord and Brain Injury Research Fund (Grant 20000289), the Purdue Research Foundation (Grant 209911), and the Office of the Executive Vice President for Research and Partnerships at Purdue University (Grant 210362). We thank Dr. Cory J. Weaver and Haley Roeder for establishing zebrafish RGC culture protocol. We thank Haley Roeder additionally for providing the data of Figure 4. We thank Leah Biasi and Kenny Nguyen for the help with RGC culture. We thank Gentry Lee for editing the text. We thank Dr. Tobias Dick for providing roGFP2-Orp1 and Dr. Qing Deng for pCS2+ vector containing roGFP2-Orp1. Figure 3 is created with Biorender.com.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B&amp;#243;rquez, D. A. et al. Dissecting the role of redox signaling in neuronal development.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 </w:t>
      </w:r>
      <w:r>
        <w:rPr>
          <w:rFonts w:ascii="Calibri" w:hAnsi="Calibri" w:cs="Calibri" w:eastAsia="Calibri"/>
          <w:color w:val="auto"/>
          <w:spacing w:val="0"/>
          <w:position w:val="0"/>
          <w:sz w:val="24"/>
          <w:shd w:fill="auto" w:val="clear"/>
        </w:rPr>
        <w:t xml:space="preserve">(4), 506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Bedard, K., Krause, K.-H. The NOX family of ROS-generating NADPH oxidases: Physiology and pathophysiology.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 </w:t>
      </w:r>
      <w:r>
        <w:rPr>
          <w:rFonts w:ascii="Calibri" w:hAnsi="Calibri" w:cs="Calibri" w:eastAsia="Calibri"/>
          <w:color w:val="auto"/>
          <w:spacing w:val="0"/>
          <w:position w:val="0"/>
          <w:sz w:val="24"/>
          <w:shd w:fill="auto" w:val="clear"/>
        </w:rPr>
        <w:t xml:space="preserve">(1), 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Weaver, C. J., Leung, Y. F., Suter, D. M. Expression dynamics of NADPH oxidases during early zebrafish development.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524 </w:t>
      </w:r>
      <w:r>
        <w:rPr>
          <w:rFonts w:ascii="Calibri" w:hAnsi="Calibri" w:cs="Calibri" w:eastAsia="Calibri"/>
          <w:color w:val="auto"/>
          <w:spacing w:val="0"/>
          <w:position w:val="0"/>
          <w:sz w:val="24"/>
          <w:shd w:fill="auto" w:val="clear"/>
        </w:rPr>
        <w:t xml:space="preserve">(10), 2130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Terzi, A., Suter, D. M. The role of NADPH oxidases in neuronal development.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Infanger, D. W., Sharma, R. V., Davisson, R. L. NADPH oxidases of the brain: Distribution, regulation, and function. </w:t>
      </w:r>
      <w:r>
        <w:rPr>
          <w:rFonts w:ascii="Calibri" w:hAnsi="Calibri" w:cs="Calibri" w:eastAsia="Calibri"/>
          <w:i/>
          <w:color w:val="auto"/>
          <w:spacing w:val="0"/>
          <w:position w:val="0"/>
          <w:sz w:val="24"/>
          <w:shd w:fill="auto" w:val="clear"/>
        </w:rPr>
        <w:t xml:space="preserve">Antioxidants &amp;amp; Redox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(9-10), 1583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Coyoy, A., Olguin-Albuerne, M., Martinez-Briseno, P., Moran, J. Role of reactive oxygen species and NADPH-oxidase in the development of rat cerebellum. </w:t>
      </w:r>
      <w:r>
        <w:rPr>
          <w:rFonts w:ascii="Calibri" w:hAnsi="Calibri" w:cs="Calibri" w:eastAsia="Calibri"/>
          <w:i/>
          <w:color w:val="auto"/>
          <w:spacing w:val="0"/>
          <w:position w:val="0"/>
          <w:sz w:val="24"/>
          <w:shd w:fill="auto" w:val="clear"/>
        </w:rPr>
        <w:t xml:space="preserve">Neurochemistry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 </w:t>
      </w:r>
      <w:r>
        <w:rPr>
          <w:rFonts w:ascii="Calibri" w:hAnsi="Calibri" w:cs="Calibri" w:eastAsia="Calibri"/>
          <w:color w:val="auto"/>
          <w:spacing w:val="0"/>
          <w:position w:val="0"/>
          <w:sz w:val="24"/>
          <w:shd w:fill="auto" w:val="clear"/>
        </w:rPr>
        <w:t xml:space="preserve">(7), 998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Le Belle, J. E. et al. Proliferative neural stem cells have high endogenous ROS levels that regulate self-renewal and neurogenesis in a PI3K/Akt-dependant manner.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Nayernia, Z. et al. Decreased neural precursor cell pool in NADPH oxidase 2-deficiency: from mouse brain to neural differentiation of patient derived iPSC. </w:t>
      </w:r>
      <w:r>
        <w:rPr>
          <w:rFonts w:ascii="Calibri" w:hAnsi="Calibri" w:cs="Calibri" w:eastAsia="Calibri"/>
          <w:i/>
          <w:color w:val="auto"/>
          <w:spacing w:val="0"/>
          <w:position w:val="0"/>
          <w:sz w:val="24"/>
          <w:shd w:fill="auto" w:val="clear"/>
        </w:rPr>
        <w:t xml:space="preserve">Redox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Wilson, C., Nunez, M. T., Gonz&amp;#225;lez-Billault, C. Contribution of NADPH oxidase to the establishment of hippocampal neuronal polarity in culture.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 </w:t>
      </w:r>
      <w:r>
        <w:rPr>
          <w:rFonts w:ascii="Calibri" w:hAnsi="Calibri" w:cs="Calibri" w:eastAsia="Calibri"/>
          <w:color w:val="auto"/>
          <w:spacing w:val="0"/>
          <w:position w:val="0"/>
          <w:sz w:val="24"/>
          <w:shd w:fill="auto" w:val="clear"/>
        </w:rPr>
        <w:t xml:space="preserve">(16), 2989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2995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Munnamalai, V. et al. Bidirectional interactions between Nox2-type NADPH oxidase and the F-actin cytoskeleton in neuronal growth cones.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 </w:t>
      </w:r>
      <w:r>
        <w:rPr>
          <w:rFonts w:ascii="Calibri" w:hAnsi="Calibri" w:cs="Calibri" w:eastAsia="Calibri"/>
          <w:color w:val="auto"/>
          <w:spacing w:val="0"/>
          <w:position w:val="0"/>
          <w:sz w:val="24"/>
          <w:shd w:fill="auto" w:val="clear"/>
        </w:rPr>
        <w:t xml:space="preserve">(4), 526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Kishida, K. T. et al. Synaptic plasticity deficits and mild memory impairments in mouse models of chronic granulomatous disease.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(15), 5908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5920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Ravelli, K. G. et al. Nox2-dependent neuroinflammation in an EAE model of multiple sclerosis. </w:t>
      </w:r>
      <w:r>
        <w:rPr>
          <w:rFonts w:ascii="Calibri" w:hAnsi="Calibri" w:cs="Calibri" w:eastAsia="Calibri"/>
          <w:i/>
          <w:color w:val="auto"/>
          <w:spacing w:val="0"/>
          <w:position w:val="0"/>
          <w:sz w:val="24"/>
          <w:shd w:fill="auto" w:val="clear"/>
        </w:rPr>
        <w:t xml:space="preserve">Translational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Park, L. et al. Nox2-derived radicals contribute to neurovascular and behavioral dysfunction in mice overexpressing the amyloid precursor protein.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 </w:t>
      </w:r>
      <w:r>
        <w:rPr>
          <w:rFonts w:ascii="Calibri" w:hAnsi="Calibri" w:cs="Calibri" w:eastAsia="Calibri"/>
          <w:color w:val="auto"/>
          <w:spacing w:val="0"/>
          <w:position w:val="0"/>
          <w:sz w:val="24"/>
          <w:shd w:fill="auto" w:val="clear"/>
        </w:rPr>
        <w:t xml:space="preserve">(4), 1347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Schiavone, S., Neri, M., Trabace, L., Turillazzi, E. The NADPH oxidase NOX2 mediates loss of parvalbumin interneurons in traumatic brain injury: Human autoptic immunohistochemical evidence.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(1), 8752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Gutscher, M. et al. Proximity-based protein thiol oxidation by H2O2-scavenging peroxidases.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 </w:t>
      </w:r>
      <w:r>
        <w:rPr>
          <w:rFonts w:ascii="Calibri" w:hAnsi="Calibri" w:cs="Calibri" w:eastAsia="Calibri"/>
          <w:color w:val="auto"/>
          <w:spacing w:val="0"/>
          <w:position w:val="0"/>
          <w:sz w:val="24"/>
          <w:shd w:fill="auto" w:val="clear"/>
        </w:rPr>
        <w:t xml:space="preserve">(46), 31532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31540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Bilan, D. S., Belousov, V. V. New tools for redox biology: from imaging to manipulation.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Abu-Siniyeh, A., Al-Zyoud, W. Highlights on selected microscopy techniques to study zebrafish developmental biology. </w:t>
      </w:r>
      <w:r>
        <w:rPr>
          <w:rFonts w:ascii="Calibri" w:hAnsi="Calibri" w:cs="Calibri" w:eastAsia="Calibri"/>
          <w:i/>
          <w:color w:val="auto"/>
          <w:spacing w:val="0"/>
          <w:position w:val="0"/>
          <w:sz w:val="24"/>
          <w:shd w:fill="auto" w:val="clear"/>
        </w:rPr>
        <w:t xml:space="preserve">Laboratory Animal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(1), 12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Sassen, W. A., Koster, R. W. A molecular toolbox for genetic manipulation of zebrafish. </w:t>
      </w:r>
      <w:r>
        <w:rPr>
          <w:rFonts w:ascii="Calibri" w:hAnsi="Calibri" w:cs="Calibri" w:eastAsia="Calibri"/>
          <w:i/>
          <w:color w:val="auto"/>
          <w:spacing w:val="0"/>
          <w:position w:val="0"/>
          <w:sz w:val="24"/>
          <w:shd w:fill="auto" w:val="clear"/>
        </w:rPr>
        <w:t xml:space="preserve">Advances in Genomics and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Rosen, J. N., Sweeney, M. F., Mably, J. D. Microinjection of zebrafish embryos to analyze gene function.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(25), e1115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Avdesh, A. et al. Regular care and maintenance of a Zebrafish (Danio rerio) laboratory: An introduction.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(69), e4196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Chen, Z. et al. Primary neuron culture for nerve growth and axon guidance studies in Zebrafish (Danio rerio).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(3), e57539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Zhang, L., Leung, Y. F. Microdissection of zebrafish embryonic eye tissues.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(40), e2028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Suter, D. M. Live cell imaging of neuronal growth cone motility and duidance in vitro. </w:t>
      </w:r>
      <w:r>
        <w:rPr>
          <w:rFonts w:ascii="Calibri" w:hAnsi="Calibri" w:cs="Calibri" w:eastAsia="Calibri"/>
          <w:i/>
          <w:color w:val="auto"/>
          <w:spacing w:val="0"/>
          <w:position w:val="0"/>
          <w:sz w:val="24"/>
          <w:shd w:fill="auto" w:val="clear"/>
        </w:rPr>
        <w:t xml:space="preserve">Cell Migration: Methods in Molecular Biology.</w:t>
      </w:r>
      <w:r>
        <w:rPr>
          <w:rFonts w:ascii="Calibri" w:hAnsi="Calibri" w:cs="Calibri" w:eastAsia="Calibri"/>
          <w:color w:val="auto"/>
          <w:spacing w:val="0"/>
          <w:position w:val="0"/>
          <w:sz w:val="24"/>
          <w:shd w:fill="auto" w:val="clear"/>
        </w:rPr>
        <w:t xml:space="preserve">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Weaver, C. J. et al. nox2/cybb deficiency affects zebrafish retinotectal connectivity.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(26), 5854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5871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Morgan, B., Sobotta, M. C., Dick, T. P. Measuring EGSH and H2O2 with roGFP2-based redox probes. </w:t>
      </w:r>
      <w:r>
        <w:rPr>
          <w:rFonts w:ascii="Calibri" w:hAnsi="Calibri" w:cs="Calibri" w:eastAsia="Calibri"/>
          <w:i/>
          <w:color w:val="auto"/>
          <w:spacing w:val="0"/>
          <w:position w:val="0"/>
          <w:sz w:val="24"/>
          <w:shd w:fill="auto" w:val="clear"/>
        </w:rPr>
        <w:t xml:space="preserve">Free Radical Biology and Medicine.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1943-1951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tab/>
        <w:t xml:space="preserve">Li, Z. et al. Phenylthiourea specifically reduces zebrafish eye size.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(6), e40132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Ermakova, Y. G. et al. Red fluorescent genetically encoded indicator for intracellular hydrogen peroxide.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5222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Oparka, M. et al. Quantifying ROS levels using CM-H2DCFDA and HyPer.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Dickinson, B. C., Peltier, J., Stone, D., Schaffer, D. V., Chang, C. J. Nox2 redox signaling maintains essential cell populations in the brain.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(2), 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Cannon, M. B., Remington, S. J. Redox-sensitive green fluorescent protein: Probes for dynamic intracellular redox responses. A review.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476</w:t>
      </w:r>
      <w:r>
        <w:rPr>
          <w:rFonts w:ascii="Calibri" w:hAnsi="Calibri" w:cs="Calibri" w:eastAsia="Calibri"/>
          <w:color w:val="auto"/>
          <w:spacing w:val="0"/>
          <w:position w:val="0"/>
          <w:sz w:val="24"/>
          <w:shd w:fill="auto" w:val="clear"/>
        </w:rPr>
        <w:t xml:space="preserve">,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Meyer, A. J., Dick, T. P. Fluorescent protein-based redox probes. </w:t>
      </w:r>
      <w:r>
        <w:rPr>
          <w:rFonts w:ascii="Calibri" w:hAnsi="Calibri" w:cs="Calibri" w:eastAsia="Calibri"/>
          <w:i/>
          <w:color w:val="auto"/>
          <w:spacing w:val="0"/>
          <w:position w:val="0"/>
          <w:sz w:val="24"/>
          <w:shd w:fill="auto" w:val="clear"/>
        </w:rPr>
        <w:t xml:space="preserve">Antioxidants &amp;amp; Redox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(5), 621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Panieri, E., Millia, C., Santoro, M.M. Real-time quantification of subcellular H2O2 and glutathione redox potential in living cardiovascular tissues.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189-200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Breus, O., Dickmeis, T. Genetically encoded thiol redox-sensors in the zebrafish model: Lessons for embryonic development and regeneration. </w:t>
      </w:r>
      <w:r>
        <w:rPr>
          <w:rFonts w:ascii="Calibri" w:hAnsi="Calibri" w:cs="Calibri" w:eastAsia="Calibri"/>
          <w:i/>
          <w:color w:val="auto"/>
          <w:spacing w:val="0"/>
          <w:position w:val="0"/>
          <w:sz w:val="24"/>
          <w:shd w:fill="auto" w:val="clear"/>
        </w:rPr>
        <w:t xml:space="preserve">Biological Chemistry.</w:t>
      </w:r>
      <w:r>
        <w:rPr>
          <w:rFonts w:ascii="Calibri" w:hAnsi="Calibri" w:cs="Calibri" w:eastAsia="Calibri"/>
          <w:color w:val="auto"/>
          <w:spacing w:val="0"/>
          <w:position w:val="0"/>
          <w:sz w:val="24"/>
          <w:shd w:fill="auto" w:val="clear"/>
        </w:rPr>
        <w:t xml:space="preserve"> Online ahead of print (2020).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Morgan, B. et al. Real-time monitoring of basal H2O2 levels with peroxiredoxin-based probes.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(6), 437-443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Terzi, A., Roeder, H., Weaver, C. J., Suter, D.M. Neuronal NADPH oxidase 2 regulates growth cone guidance downstream of slit2/robo2. </w:t>
      </w:r>
      <w:r>
        <w:rPr>
          <w:rFonts w:ascii="Calibri" w:hAnsi="Calibri" w:cs="Calibri" w:eastAsia="Calibri"/>
          <w:i/>
          <w:color w:val="auto"/>
          <w:spacing w:val="0"/>
          <w:position w:val="0"/>
          <w:sz w:val="24"/>
          <w:shd w:fill="auto" w:val="clear"/>
        </w:rPr>
        <w:t xml:space="preserve">Developmental Neurobiology</w:t>
      </w:r>
      <w:r>
        <w:rPr>
          <w:rFonts w:ascii="Calibri" w:hAnsi="Calibri" w:cs="Calibri" w:eastAsia="Calibri"/>
          <w:color w:val="auto"/>
          <w:spacing w:val="0"/>
          <w:position w:val="0"/>
          <w:sz w:val="24"/>
          <w:shd w:fill="auto" w:val="clear"/>
        </w:rPr>
        <w:t xml:space="preserve">. Online ahead of print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Bilan, D. S., Belousov, V. V. HyPer family probes: State of the art. </w:t>
      </w:r>
      <w:r>
        <w:rPr>
          <w:rFonts w:ascii="Calibri" w:hAnsi="Calibri" w:cs="Calibri" w:eastAsia="Calibri"/>
          <w:i/>
          <w:color w:val="auto"/>
          <w:spacing w:val="0"/>
          <w:position w:val="0"/>
          <w:sz w:val="24"/>
          <w:shd w:fill="auto" w:val="clear"/>
        </w:rPr>
        <w:t xml:space="preserve">Antioxidants &amp;amp; Redox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(13), 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Ermankova, Y. G. et al. SypHer3s: a genetically encoded fluorescent ratiometric probe with enhanced brightness and an improved dynamic range. </w:t>
      </w:r>
      <w:r>
        <w:rPr>
          <w:rFonts w:ascii="Calibri" w:hAnsi="Calibri" w:cs="Calibri" w:eastAsia="Calibri"/>
          <w:i/>
          <w:color w:val="auto"/>
          <w:spacing w:val="0"/>
          <w:position w:val="0"/>
          <w:sz w:val="24"/>
          <w:shd w:fill="auto" w:val="clear"/>
        </w:rPr>
        <w:t xml:space="preserve">Chemistry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(23), 2898-2901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Pak, V. V. et al. Ultrasensitive genetically encoded indicator for hydrogen peroxide identifies roles for the oxidant in cell migration and mitochondrial function.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(3), 642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Kwan, K. M. et al. The Tol2kit: A multisite gateway-based construction Kit for Tol2 transposon transgenesis constructs.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236 </w:t>
      </w:r>
      <w:r>
        <w:rPr>
          <w:rFonts w:ascii="Calibri" w:hAnsi="Calibri" w:cs="Calibri" w:eastAsia="Calibri"/>
          <w:color w:val="auto"/>
          <w:spacing w:val="0"/>
          <w:position w:val="0"/>
          <w:sz w:val="24"/>
          <w:shd w:fill="auto" w:val="clear"/>
        </w:rPr>
        <w:t xml:space="preserve">(11), 3088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3099 (2007).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