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E834E" w14:textId="77777777" w:rsidR="00191A79" w:rsidRPr="005E4FAB" w:rsidRDefault="00191A79" w:rsidP="00376F01">
      <w:pPr>
        <w:pBdr>
          <w:top w:val="nil"/>
          <w:left w:val="nil"/>
          <w:bottom w:val="nil"/>
          <w:right w:val="nil"/>
          <w:between w:val="nil"/>
        </w:pBdr>
      </w:pPr>
      <w:r w:rsidRPr="005E4FAB">
        <w:rPr>
          <w:b/>
        </w:rPr>
        <w:t>TITLE:</w:t>
      </w:r>
      <w:r w:rsidRPr="005E4FAB">
        <w:t xml:space="preserve">  </w:t>
      </w:r>
    </w:p>
    <w:p w14:paraId="72272796" w14:textId="6763E1C2" w:rsidR="00191A79" w:rsidRPr="005E4FAB" w:rsidRDefault="00191A79" w:rsidP="00376F01">
      <w:r w:rsidRPr="005E4FAB">
        <w:t xml:space="preserve">ROS </w:t>
      </w:r>
      <w:r w:rsidR="00FC7BBF" w:rsidRPr="005E4FAB">
        <w:t>L</w:t>
      </w:r>
      <w:r w:rsidRPr="005E4FAB">
        <w:t xml:space="preserve">ive </w:t>
      </w:r>
      <w:r w:rsidR="00FC7BBF" w:rsidRPr="005E4FAB">
        <w:t>C</w:t>
      </w:r>
      <w:r w:rsidRPr="005E4FAB">
        <w:t xml:space="preserve">ell </w:t>
      </w:r>
      <w:r w:rsidR="00FC7BBF" w:rsidRPr="005E4FAB">
        <w:t>I</w:t>
      </w:r>
      <w:r w:rsidRPr="005E4FAB">
        <w:t xml:space="preserve">maging </w:t>
      </w:r>
      <w:r w:rsidR="00FC7BBF" w:rsidRPr="005E4FAB">
        <w:t>D</w:t>
      </w:r>
      <w:r w:rsidRPr="005E4FAB">
        <w:t xml:space="preserve">uring </w:t>
      </w:r>
      <w:r w:rsidR="00FC7BBF" w:rsidRPr="005E4FAB">
        <w:t>N</w:t>
      </w:r>
      <w:r w:rsidRPr="005E4FAB">
        <w:t xml:space="preserve">euronal </w:t>
      </w:r>
      <w:r w:rsidR="00FC7BBF" w:rsidRPr="005E4FAB">
        <w:t>D</w:t>
      </w:r>
      <w:r w:rsidRPr="005E4FAB">
        <w:t>evelopment</w:t>
      </w:r>
    </w:p>
    <w:p w14:paraId="6326A65E" w14:textId="77777777" w:rsidR="00191A79" w:rsidRPr="005E4FAB" w:rsidRDefault="00191A79" w:rsidP="00376F01">
      <w:pPr>
        <w:rPr>
          <w:b/>
        </w:rPr>
      </w:pPr>
    </w:p>
    <w:p w14:paraId="5CC94E2C" w14:textId="77777777" w:rsidR="00191A79" w:rsidRPr="005E4FAB" w:rsidRDefault="00191A79" w:rsidP="00376F01">
      <w:r w:rsidRPr="005E4FAB">
        <w:rPr>
          <w:b/>
        </w:rPr>
        <w:t xml:space="preserve">AUTHORS AND AFFILIATIONS: </w:t>
      </w:r>
    </w:p>
    <w:p w14:paraId="7EC659E6" w14:textId="41E5070A" w:rsidR="00191A79" w:rsidRPr="005E4FAB" w:rsidRDefault="00191A79" w:rsidP="00376F01">
      <w:pPr>
        <w:rPr>
          <w:vertAlign w:val="superscript"/>
        </w:rPr>
      </w:pPr>
      <w:r w:rsidRPr="005E4FAB">
        <w:t>Aslihan Terzi</w:t>
      </w:r>
      <w:r w:rsidR="00EE2D38" w:rsidRPr="005E4FAB">
        <w:rPr>
          <w:vertAlign w:val="superscript"/>
        </w:rPr>
        <w:t>1</w:t>
      </w:r>
      <w:r w:rsidRPr="005E4FAB">
        <w:rPr>
          <w:vertAlign w:val="superscript"/>
        </w:rPr>
        <w:t>,</w:t>
      </w:r>
      <w:r w:rsidR="00EE2D38" w:rsidRPr="005E4FAB">
        <w:rPr>
          <w:vertAlign w:val="superscript"/>
        </w:rPr>
        <w:t>2</w:t>
      </w:r>
      <w:r w:rsidRPr="005E4FAB">
        <w:t xml:space="preserve">, </w:t>
      </w:r>
      <w:r w:rsidR="00873283" w:rsidRPr="005E4FAB">
        <w:t>S</w:t>
      </w:r>
      <w:r w:rsidR="00EE2D38" w:rsidRPr="005E4FAB">
        <w:t xml:space="preserve">. </w:t>
      </w:r>
      <w:r w:rsidR="00873283" w:rsidRPr="005E4FAB">
        <w:t>M</w:t>
      </w:r>
      <w:r w:rsidR="00EE2D38" w:rsidRPr="005E4FAB">
        <w:t>.</w:t>
      </w:r>
      <w:r w:rsidR="00873283" w:rsidRPr="005E4FAB">
        <w:t xml:space="preserve"> </w:t>
      </w:r>
      <w:r w:rsidRPr="005E4FAB">
        <w:t>Sabbir Alam</w:t>
      </w:r>
      <w:r w:rsidR="00EE2D38" w:rsidRPr="005E4FAB">
        <w:rPr>
          <w:vertAlign w:val="superscript"/>
        </w:rPr>
        <w:t>1</w:t>
      </w:r>
      <w:r w:rsidRPr="005E4FAB">
        <w:rPr>
          <w:vertAlign w:val="superscript"/>
        </w:rPr>
        <w:t>,</w:t>
      </w:r>
      <w:r w:rsidR="00EE2D38" w:rsidRPr="005E4FAB">
        <w:rPr>
          <w:vertAlign w:val="superscript"/>
        </w:rPr>
        <w:t>2</w:t>
      </w:r>
      <w:r w:rsidR="00EE2D38" w:rsidRPr="005E4FAB">
        <w:t>,</w:t>
      </w:r>
      <w:r w:rsidRPr="005E4FAB">
        <w:t xml:space="preserve"> Daniel M. Suter</w:t>
      </w:r>
      <w:r w:rsidR="00EE2D38" w:rsidRPr="005E4FAB">
        <w:rPr>
          <w:vertAlign w:val="superscript"/>
        </w:rPr>
        <w:t>1,2,3</w:t>
      </w:r>
    </w:p>
    <w:p w14:paraId="1A73C557" w14:textId="77777777" w:rsidR="00191A79" w:rsidRPr="005E4FAB" w:rsidRDefault="00191A79" w:rsidP="00376F01">
      <w:pPr>
        <w:rPr>
          <w:vertAlign w:val="superscript"/>
        </w:rPr>
      </w:pPr>
    </w:p>
    <w:p w14:paraId="66666CF3" w14:textId="0CCB1944" w:rsidR="00191A79" w:rsidRPr="005E4FAB" w:rsidRDefault="00EE2D38" w:rsidP="00376F01">
      <w:r w:rsidRPr="005E4FAB">
        <w:rPr>
          <w:vertAlign w:val="superscript"/>
        </w:rPr>
        <w:t>1</w:t>
      </w:r>
      <w:r w:rsidR="00191A79" w:rsidRPr="005E4FAB">
        <w:t>Department of Biological Sciences, Purdue University, West Lafayette, IN, 47907, USA</w:t>
      </w:r>
    </w:p>
    <w:p w14:paraId="026E9806" w14:textId="0EC07025" w:rsidR="00191A79" w:rsidRPr="005E4FAB" w:rsidRDefault="00EE2D38" w:rsidP="00376F01">
      <w:r w:rsidRPr="005E4FAB">
        <w:rPr>
          <w:vertAlign w:val="superscript"/>
        </w:rPr>
        <w:t>2</w:t>
      </w:r>
      <w:r w:rsidR="00191A79" w:rsidRPr="005E4FAB">
        <w:t xml:space="preserve">Purdue Institute for Integrative Neuroscience, Purdue University, West Lafayette, IN, 47907, USA </w:t>
      </w:r>
    </w:p>
    <w:p w14:paraId="67CAC750" w14:textId="42CB4F25" w:rsidR="00191A79" w:rsidRPr="005E4FAB" w:rsidRDefault="00EE2D38" w:rsidP="00376F01">
      <w:r w:rsidRPr="005E4FAB">
        <w:rPr>
          <w:vertAlign w:val="superscript"/>
        </w:rPr>
        <w:t>3</w:t>
      </w:r>
      <w:r w:rsidR="00191A79" w:rsidRPr="005E4FAB">
        <w:t>Bindley Bioscience Center, Purdue University, West Lafayette, IN, 47907, USA</w:t>
      </w:r>
    </w:p>
    <w:p w14:paraId="694D3D8D" w14:textId="6AEEAA3C" w:rsidR="00191A79" w:rsidRPr="005E4FAB" w:rsidRDefault="00191A79" w:rsidP="00376F01"/>
    <w:p w14:paraId="61059FB4" w14:textId="755788C5" w:rsidR="00AC06E2" w:rsidRPr="005E4FAB" w:rsidRDefault="00AC06E2" w:rsidP="00376F01">
      <w:r w:rsidRPr="005E4FAB">
        <w:t xml:space="preserve">Email Addresses of Co-Authors: </w:t>
      </w:r>
    </w:p>
    <w:p w14:paraId="533F33DF" w14:textId="23EBAADF" w:rsidR="00191A79" w:rsidRPr="005E4FAB" w:rsidRDefault="00FC7BBF" w:rsidP="00376F01">
      <w:r w:rsidRPr="005E4FAB">
        <w:t>Aslihan Terzi (</w:t>
      </w:r>
      <w:hyperlink r:id="rId8" w:history="1">
        <w:r w:rsidRPr="005E4FAB">
          <w:rPr>
            <w:rStyle w:val="Hyperlink"/>
            <w:color w:val="auto"/>
          </w:rPr>
          <w:t>aterzi@purdue.edu</w:t>
        </w:r>
      </w:hyperlink>
      <w:r w:rsidRPr="005E4FAB">
        <w:t>)</w:t>
      </w:r>
    </w:p>
    <w:p w14:paraId="3AB5D032" w14:textId="34A4DF4B" w:rsidR="00191A79" w:rsidRPr="005E4FAB" w:rsidRDefault="00FC7BBF" w:rsidP="00376F01">
      <w:r w:rsidRPr="005E4FAB">
        <w:t>S. M. Sabbir Alam (</w:t>
      </w:r>
      <w:hyperlink r:id="rId9" w:history="1">
        <w:r w:rsidRPr="005E4FAB">
          <w:rPr>
            <w:rStyle w:val="Hyperlink"/>
            <w:color w:val="auto"/>
          </w:rPr>
          <w:t>alam13@purdue.edu</w:t>
        </w:r>
      </w:hyperlink>
      <w:r w:rsidRPr="005E4FAB">
        <w:t>)</w:t>
      </w:r>
    </w:p>
    <w:p w14:paraId="3417087A" w14:textId="17FE6B99" w:rsidR="00AC06E2" w:rsidRPr="005E4FAB" w:rsidRDefault="00AC06E2" w:rsidP="00376F01"/>
    <w:p w14:paraId="16727D5D" w14:textId="77A39766" w:rsidR="00AC06E2" w:rsidRPr="005E4FAB" w:rsidRDefault="00AC06E2" w:rsidP="00376F01">
      <w:r w:rsidRPr="005E4FAB">
        <w:t xml:space="preserve">Corresponding Author: </w:t>
      </w:r>
    </w:p>
    <w:p w14:paraId="6C00F45D" w14:textId="0BA6C7F1" w:rsidR="00191A79" w:rsidRPr="005E4FAB" w:rsidRDefault="00FC7BBF" w:rsidP="00376F01">
      <w:r w:rsidRPr="005E4FAB">
        <w:t>Daniel M. Suter (</w:t>
      </w:r>
      <w:hyperlink r:id="rId10" w:history="1">
        <w:r w:rsidRPr="005E4FAB">
          <w:rPr>
            <w:rStyle w:val="Hyperlink"/>
            <w:color w:val="auto"/>
          </w:rPr>
          <w:t>dsuter@purdue.edu</w:t>
        </w:r>
      </w:hyperlink>
      <w:r w:rsidRPr="005E4FAB">
        <w:t>)</w:t>
      </w:r>
      <w:r w:rsidR="00191A79" w:rsidRPr="005E4FAB">
        <w:t xml:space="preserve"> </w:t>
      </w:r>
    </w:p>
    <w:p w14:paraId="7BAB8AB1" w14:textId="77777777" w:rsidR="00191A79" w:rsidRPr="005E4FAB" w:rsidRDefault="00191A79" w:rsidP="00376F01"/>
    <w:p w14:paraId="7EF4B2B1" w14:textId="77777777" w:rsidR="00191A79" w:rsidRPr="005E4FAB" w:rsidRDefault="00191A79" w:rsidP="00376F01">
      <w:pPr>
        <w:pBdr>
          <w:top w:val="nil"/>
          <w:left w:val="nil"/>
          <w:bottom w:val="nil"/>
          <w:right w:val="nil"/>
          <w:between w:val="nil"/>
        </w:pBdr>
      </w:pPr>
      <w:r w:rsidRPr="005E4FAB">
        <w:rPr>
          <w:b/>
        </w:rPr>
        <w:t>KEYWORDS:</w:t>
      </w:r>
      <w:r w:rsidRPr="005E4FAB">
        <w:t xml:space="preserve"> </w:t>
      </w:r>
    </w:p>
    <w:p w14:paraId="76FE383B" w14:textId="4459CE34" w:rsidR="00191A79" w:rsidRPr="005E4FAB" w:rsidRDefault="00191A79" w:rsidP="00376F01">
      <w:r w:rsidRPr="005E4FAB">
        <w:t xml:space="preserve">ROS, hydrogen peroxide, </w:t>
      </w:r>
      <w:r w:rsidR="00857136" w:rsidRPr="005E4FAB">
        <w:t>roGFP2-Orp1</w:t>
      </w:r>
      <w:r w:rsidRPr="005E4FAB">
        <w:t>, biosensor, RGC, zebrafish, neur</w:t>
      </w:r>
      <w:r w:rsidR="00F63833" w:rsidRPr="005E4FAB">
        <w:t>on</w:t>
      </w:r>
      <w:r w:rsidRPr="005E4FAB">
        <w:t>al development</w:t>
      </w:r>
    </w:p>
    <w:p w14:paraId="11C03376" w14:textId="77777777" w:rsidR="00191A79" w:rsidRPr="005E4FAB" w:rsidRDefault="00191A79" w:rsidP="00376F01">
      <w:pPr>
        <w:pBdr>
          <w:top w:val="nil"/>
          <w:left w:val="nil"/>
          <w:bottom w:val="nil"/>
          <w:right w:val="nil"/>
          <w:between w:val="nil"/>
        </w:pBdr>
      </w:pPr>
    </w:p>
    <w:p w14:paraId="1582EB72" w14:textId="77777777" w:rsidR="00191A79" w:rsidRPr="005E4FAB" w:rsidRDefault="00191A79" w:rsidP="00376F01">
      <w:r w:rsidRPr="005E4FAB">
        <w:rPr>
          <w:b/>
        </w:rPr>
        <w:t>SUMMARY:</w:t>
      </w:r>
      <w:r w:rsidRPr="005E4FAB">
        <w:t xml:space="preserve"> </w:t>
      </w:r>
    </w:p>
    <w:p w14:paraId="403F4FE8" w14:textId="1386071A" w:rsidR="00191A79" w:rsidRPr="005E4FAB" w:rsidRDefault="00191A79" w:rsidP="00376F01">
      <w:r w:rsidRPr="005E4FAB">
        <w:t xml:space="preserve">This protocol describes </w:t>
      </w:r>
      <w:r w:rsidR="00FC7BBF" w:rsidRPr="005E4FAB">
        <w:t>the use of</w:t>
      </w:r>
      <w:r w:rsidR="00BF376C">
        <w:t xml:space="preserve"> a </w:t>
      </w:r>
      <w:r w:rsidRPr="005E4FAB">
        <w:t>genetically encoded hydrogen peroxide (H</w:t>
      </w:r>
      <w:r w:rsidRPr="005E4FAB">
        <w:rPr>
          <w:vertAlign w:val="subscript"/>
        </w:rPr>
        <w:t>2</w:t>
      </w:r>
      <w:r w:rsidRPr="005E4FAB">
        <w:t>O</w:t>
      </w:r>
      <w:r w:rsidRPr="005E4FAB">
        <w:rPr>
          <w:vertAlign w:val="subscript"/>
        </w:rPr>
        <w:t>2</w:t>
      </w:r>
      <w:r w:rsidRPr="005E4FAB">
        <w:t>)-biosensor in cultured zebrafish neurons and larvae for assessing the physiological signaling roles of H</w:t>
      </w:r>
      <w:r w:rsidRPr="005E4FAB">
        <w:rPr>
          <w:vertAlign w:val="subscript"/>
        </w:rPr>
        <w:t>2</w:t>
      </w:r>
      <w:r w:rsidRPr="005E4FAB">
        <w:t>O</w:t>
      </w:r>
      <w:r w:rsidRPr="005E4FAB">
        <w:rPr>
          <w:vertAlign w:val="subscript"/>
        </w:rPr>
        <w:t>2</w:t>
      </w:r>
      <w:r w:rsidRPr="005E4FAB">
        <w:t xml:space="preserve"> during nervous system development. It can be applied to different cell types and modified with experimental treatments to study reactive oxygen species (ROS) in general development.</w:t>
      </w:r>
    </w:p>
    <w:p w14:paraId="57E94FFF" w14:textId="77777777" w:rsidR="00191A79" w:rsidRPr="005E4FAB" w:rsidRDefault="00191A79" w:rsidP="00376F01"/>
    <w:p w14:paraId="2CAEC5E0" w14:textId="77777777" w:rsidR="00191A79" w:rsidRPr="005E4FAB" w:rsidRDefault="00191A79" w:rsidP="00376F01">
      <w:r w:rsidRPr="005E4FAB">
        <w:rPr>
          <w:b/>
        </w:rPr>
        <w:t>ABSTRACT:</w:t>
      </w:r>
      <w:r w:rsidRPr="005E4FAB">
        <w:t xml:space="preserve"> </w:t>
      </w:r>
    </w:p>
    <w:p w14:paraId="74305629" w14:textId="5F328F66" w:rsidR="00191A79" w:rsidRPr="005E4FAB" w:rsidRDefault="00191A79" w:rsidP="00376F01">
      <w:r w:rsidRPr="005E4FAB">
        <w:t>Reactive oxygen species (ROS) are well-established signaling molecules, which are important in normal development, homeostasis, and physiology. Among the different ROS, hydrogen peroxide (H</w:t>
      </w:r>
      <w:r w:rsidRPr="005E4FAB">
        <w:rPr>
          <w:vertAlign w:val="subscript"/>
        </w:rPr>
        <w:t>2</w:t>
      </w:r>
      <w:r w:rsidRPr="005E4FAB">
        <w:t>O</w:t>
      </w:r>
      <w:r w:rsidRPr="005E4FAB">
        <w:rPr>
          <w:vertAlign w:val="subscript"/>
        </w:rPr>
        <w:t>2</w:t>
      </w:r>
      <w:r w:rsidRPr="005E4FAB">
        <w:t>) is best characterized with respect to roles in cellular signaling. H</w:t>
      </w:r>
      <w:r w:rsidRPr="005E4FAB">
        <w:rPr>
          <w:vertAlign w:val="subscript"/>
        </w:rPr>
        <w:t>2</w:t>
      </w:r>
      <w:r w:rsidRPr="005E4FAB">
        <w:t>O</w:t>
      </w:r>
      <w:r w:rsidRPr="005E4FAB">
        <w:rPr>
          <w:vertAlign w:val="subscript"/>
        </w:rPr>
        <w:t>2</w:t>
      </w:r>
      <w:r w:rsidRPr="005E4FAB">
        <w:t xml:space="preserve"> has been implicated during </w:t>
      </w:r>
      <w:r w:rsidR="001733F0">
        <w:t xml:space="preserve">the </w:t>
      </w:r>
      <w:r w:rsidRPr="005E4FAB">
        <w:t xml:space="preserve">development in </w:t>
      </w:r>
      <w:r w:rsidR="001733F0" w:rsidRPr="005E4FAB">
        <w:t>several</w:t>
      </w:r>
      <w:r w:rsidRPr="005E4FAB">
        <w:t xml:space="preserve"> species. For example, a transient increase in H</w:t>
      </w:r>
      <w:r w:rsidRPr="005E4FAB">
        <w:rPr>
          <w:vertAlign w:val="subscript"/>
        </w:rPr>
        <w:t>2</w:t>
      </w:r>
      <w:r w:rsidRPr="005E4FAB">
        <w:t>O</w:t>
      </w:r>
      <w:r w:rsidRPr="005E4FAB">
        <w:rPr>
          <w:vertAlign w:val="subscript"/>
        </w:rPr>
        <w:t>2</w:t>
      </w:r>
      <w:r w:rsidRPr="005E4FAB">
        <w:t xml:space="preserve"> has been detected in zebrafish embryos during the first days following fertilization. Furthermore, depleting an important cellular H</w:t>
      </w:r>
      <w:r w:rsidRPr="005E4FAB">
        <w:rPr>
          <w:vertAlign w:val="subscript"/>
        </w:rPr>
        <w:t>2</w:t>
      </w:r>
      <w:r w:rsidRPr="005E4FAB">
        <w:t>O</w:t>
      </w:r>
      <w:r w:rsidRPr="005E4FAB">
        <w:rPr>
          <w:vertAlign w:val="subscript"/>
        </w:rPr>
        <w:t>2</w:t>
      </w:r>
      <w:r w:rsidRPr="005E4FAB">
        <w:t xml:space="preserve"> source, NADPH oxidase (NOX), impairs nervous system development such as the differentiation, axonal growth</w:t>
      </w:r>
      <w:r w:rsidR="00933326">
        <w:t>,</w:t>
      </w:r>
      <w:r w:rsidRPr="005E4FAB">
        <w:t xml:space="preserve"> and guidance of retinal ganglion cells (RGCs) both </w:t>
      </w:r>
      <w:r w:rsidRPr="00933326">
        <w:rPr>
          <w:iCs/>
        </w:rPr>
        <w:t>in</w:t>
      </w:r>
      <w:r w:rsidRPr="005E4FAB">
        <w:rPr>
          <w:i/>
        </w:rPr>
        <w:t xml:space="preserve"> </w:t>
      </w:r>
      <w:r w:rsidRPr="00933326">
        <w:rPr>
          <w:iCs/>
        </w:rPr>
        <w:t>vivo and in vitro</w:t>
      </w:r>
      <w:r w:rsidRPr="005E4FAB">
        <w:t>. Here, we describe a method for imaging intracellular H</w:t>
      </w:r>
      <w:r w:rsidRPr="005E4FAB">
        <w:rPr>
          <w:vertAlign w:val="subscript"/>
        </w:rPr>
        <w:t>2</w:t>
      </w:r>
      <w:r w:rsidRPr="005E4FAB">
        <w:t>O</w:t>
      </w:r>
      <w:r w:rsidRPr="005E4FAB">
        <w:rPr>
          <w:vertAlign w:val="subscript"/>
        </w:rPr>
        <w:t>2</w:t>
      </w:r>
      <w:r w:rsidRPr="005E4FAB">
        <w:t xml:space="preserve"> levels in cultured zebrafish neurons and whole larvae during development using the genetically encoded H</w:t>
      </w:r>
      <w:r w:rsidRPr="005E4FAB">
        <w:rPr>
          <w:vertAlign w:val="subscript"/>
        </w:rPr>
        <w:t>2</w:t>
      </w:r>
      <w:r w:rsidRPr="005E4FAB">
        <w:t>O</w:t>
      </w:r>
      <w:r w:rsidRPr="005E4FAB">
        <w:rPr>
          <w:vertAlign w:val="subscript"/>
        </w:rPr>
        <w:t>2</w:t>
      </w:r>
      <w:r w:rsidRPr="005E4FAB">
        <w:t xml:space="preserve">-specific biosensor, </w:t>
      </w:r>
      <w:r w:rsidR="002A2E83" w:rsidRPr="005E4FAB">
        <w:t>roGFP2-Orp1</w:t>
      </w:r>
      <w:r w:rsidRPr="005E4FAB">
        <w:t xml:space="preserve">. This probe can be transiently or stably expressed in zebrafish larvae. Furthermore, the ratiometric readout diminishes the probability of detecting artifacts due to differential gene expression or volume effects. First, we demonstrate how to isolate and culture RGCs derived from zebrafish embryos that transiently express </w:t>
      </w:r>
      <w:r w:rsidR="002A2E83" w:rsidRPr="005E4FAB">
        <w:t>roGFP2-Orp1</w:t>
      </w:r>
      <w:r w:rsidRPr="005E4FAB">
        <w:t>. Then, we use whole larvae to monitor H</w:t>
      </w:r>
      <w:r w:rsidRPr="005E4FAB">
        <w:rPr>
          <w:vertAlign w:val="subscript"/>
        </w:rPr>
        <w:t>2</w:t>
      </w:r>
      <w:r w:rsidRPr="005E4FAB">
        <w:t>O</w:t>
      </w:r>
      <w:r w:rsidRPr="005E4FAB">
        <w:rPr>
          <w:vertAlign w:val="subscript"/>
        </w:rPr>
        <w:t>2</w:t>
      </w:r>
      <w:r w:rsidRPr="005E4FAB">
        <w:t xml:space="preserve"> levels at the tissue level. The sensor has been validated by the addition of H</w:t>
      </w:r>
      <w:r w:rsidRPr="005E4FAB">
        <w:rPr>
          <w:vertAlign w:val="subscript"/>
        </w:rPr>
        <w:t>2</w:t>
      </w:r>
      <w:r w:rsidRPr="005E4FAB">
        <w:t>O</w:t>
      </w:r>
      <w:r w:rsidRPr="005E4FAB">
        <w:rPr>
          <w:vertAlign w:val="subscript"/>
        </w:rPr>
        <w:t>2</w:t>
      </w:r>
      <w:r w:rsidRPr="005E4FAB">
        <w:t>. Additionally, this methodology could be used to measure H</w:t>
      </w:r>
      <w:r w:rsidRPr="005E4FAB">
        <w:rPr>
          <w:vertAlign w:val="subscript"/>
        </w:rPr>
        <w:t>2</w:t>
      </w:r>
      <w:r w:rsidRPr="005E4FAB">
        <w:t>O</w:t>
      </w:r>
      <w:r w:rsidRPr="005E4FAB">
        <w:rPr>
          <w:vertAlign w:val="subscript"/>
        </w:rPr>
        <w:t>2</w:t>
      </w:r>
      <w:r w:rsidRPr="005E4FAB">
        <w:t xml:space="preserve"> levels in specific cell types and tissues by generating transgenic animals with tissue-specific biosensor expression. </w:t>
      </w:r>
      <w:r w:rsidRPr="005E4FAB">
        <w:lastRenderedPageBreak/>
        <w:t>As zebrafish facilitate genetic and developmental manipulations, the approach demonstrated here could serve as a pipeline to test the role of H</w:t>
      </w:r>
      <w:r w:rsidRPr="005E4FAB">
        <w:rPr>
          <w:vertAlign w:val="subscript"/>
        </w:rPr>
        <w:t>2</w:t>
      </w:r>
      <w:r w:rsidRPr="005E4FAB">
        <w:t>O</w:t>
      </w:r>
      <w:r w:rsidRPr="005E4FAB">
        <w:rPr>
          <w:vertAlign w:val="subscript"/>
        </w:rPr>
        <w:t>2</w:t>
      </w:r>
      <w:r w:rsidRPr="005E4FAB">
        <w:t xml:space="preserve"> during neuronal and </w:t>
      </w:r>
      <w:r w:rsidR="00F63833" w:rsidRPr="005E4FAB">
        <w:t xml:space="preserve">general </w:t>
      </w:r>
      <w:r w:rsidRPr="005E4FAB">
        <w:t>embryonic development in vertebrates.</w:t>
      </w:r>
    </w:p>
    <w:p w14:paraId="7D666378" w14:textId="77777777" w:rsidR="00191A79" w:rsidRPr="005E4FAB" w:rsidRDefault="00191A79" w:rsidP="00376F01"/>
    <w:p w14:paraId="5C02E71B" w14:textId="77777777" w:rsidR="00191A79" w:rsidRPr="005E4FAB" w:rsidRDefault="00191A79" w:rsidP="00376F01">
      <w:r w:rsidRPr="005E4FAB">
        <w:rPr>
          <w:b/>
        </w:rPr>
        <w:t>INTRODUCTION:</w:t>
      </w:r>
      <w:r w:rsidRPr="005E4FAB">
        <w:t xml:space="preserve">  </w:t>
      </w:r>
    </w:p>
    <w:p w14:paraId="30B423F9" w14:textId="789A0937" w:rsidR="00191A79" w:rsidRPr="005E4FAB" w:rsidRDefault="00191A79" w:rsidP="00376F01">
      <w:r w:rsidRPr="005E4FAB">
        <w:t>R</w:t>
      </w:r>
      <w:r w:rsidR="007111AD" w:rsidRPr="005E4FAB">
        <w:t>eactive oxygen species (ROS)</w:t>
      </w:r>
      <w:r w:rsidRPr="005E4FAB">
        <w:t xml:space="preserve"> signaling regulates development and functioning of the nervous system</w:t>
      </w:r>
      <w:r w:rsidRPr="005E4FAB">
        <w:rPr>
          <w:noProof/>
          <w:vertAlign w:val="superscript"/>
        </w:rPr>
        <w:t>1</w:t>
      </w:r>
      <w:r w:rsidRPr="005E4FAB">
        <w:t>. An important cellular ROS source are NADPH oxidases (NOX), which are transmembrane proteins generating superoxide and hydrogen peroxide (H</w:t>
      </w:r>
      <w:r w:rsidRPr="005E4FAB">
        <w:rPr>
          <w:vertAlign w:val="subscript"/>
        </w:rPr>
        <w:t>2</w:t>
      </w:r>
      <w:r w:rsidRPr="005E4FAB">
        <w:t>O</w:t>
      </w:r>
      <w:r w:rsidRPr="005E4FAB">
        <w:rPr>
          <w:vertAlign w:val="subscript"/>
        </w:rPr>
        <w:t>2</w:t>
      </w:r>
      <w:r w:rsidRPr="005E4FAB">
        <w:t>)</w:t>
      </w:r>
      <w:r w:rsidRPr="005E4FAB">
        <w:rPr>
          <w:noProof/>
          <w:vertAlign w:val="superscript"/>
        </w:rPr>
        <w:t>2</w:t>
      </w:r>
      <w:r w:rsidRPr="005E4FAB">
        <w:t>. NOX enzymes are found throughout the central nervous system (CNS), and NOX-derived ROS contribute to neuronal development</w:t>
      </w:r>
      <w:r w:rsidRPr="005E4FAB">
        <w:rPr>
          <w:noProof/>
          <w:vertAlign w:val="superscript"/>
        </w:rPr>
        <w:t>3–6</w:t>
      </w:r>
      <w:r w:rsidRPr="005E4FAB">
        <w:t>. Maintenance and differentiation of neural stem cells, establishing neuronal polarity, neurite outgrowth, and synaptic plasticity have been shown to require adequate levels of ROS</w:t>
      </w:r>
      <w:r w:rsidRPr="005E4FAB">
        <w:rPr>
          <w:noProof/>
          <w:vertAlign w:val="superscript"/>
        </w:rPr>
        <w:t>7–11</w:t>
      </w:r>
      <w:r w:rsidRPr="005E4FAB">
        <w:t>. On the other hand, uncontrolled production of ROS by NOXes contribute to neurodegenerative disorders including Alzheimer’s Disease, multiple sclerosis, and traumatic brain injury</w:t>
      </w:r>
      <w:r w:rsidRPr="005E4FAB">
        <w:rPr>
          <w:noProof/>
          <w:vertAlign w:val="superscript"/>
        </w:rPr>
        <w:t>12–14</w:t>
      </w:r>
      <w:r w:rsidRPr="005E4FAB">
        <w:t>. Hence, production of physiologically relevant ROS is critical to maintain</w:t>
      </w:r>
      <w:r w:rsidR="009E11DA" w:rsidRPr="005E4FAB">
        <w:t>ing</w:t>
      </w:r>
      <w:r w:rsidRPr="005E4FAB">
        <w:t xml:space="preserve"> healthy conditions.</w:t>
      </w:r>
    </w:p>
    <w:p w14:paraId="09D4E3FF" w14:textId="77777777" w:rsidR="00191A79" w:rsidRPr="005E4FAB" w:rsidRDefault="00191A79" w:rsidP="00376F01"/>
    <w:p w14:paraId="473B6DA0" w14:textId="3D77951A" w:rsidR="00191A79" w:rsidRPr="005E4FAB" w:rsidRDefault="00191A79" w:rsidP="00376F01">
      <w:r w:rsidRPr="005E4FAB">
        <w:t>Development of genetically encoded biosensors facilitated the detection of cellular ROS greatly. One important advantage of genetically encoded biosensors is the increased temporal and spatial resolution of the ROS signal, as these sensors can be specifically targeted to distinct locations. Redox-sensitive GFP (</w:t>
      </w:r>
      <w:proofErr w:type="spellStart"/>
      <w:r w:rsidRPr="005E4FAB">
        <w:t>roGFP</w:t>
      </w:r>
      <w:proofErr w:type="spellEnd"/>
      <w:r w:rsidRPr="005E4FAB">
        <w:t>) is one type of such ROS biosensors</w:t>
      </w:r>
      <w:r w:rsidR="00C62E51">
        <w:t>.</w:t>
      </w:r>
      <w:r w:rsidRPr="005E4FAB">
        <w:t xml:space="preserve"> </w:t>
      </w:r>
      <w:r w:rsidR="00C62E51">
        <w:t>T</w:t>
      </w:r>
      <w:r w:rsidRPr="005E4FAB">
        <w:t xml:space="preserve">he </w:t>
      </w:r>
      <w:r w:rsidR="002A2E83" w:rsidRPr="005E4FAB">
        <w:t>roGFP2-Orp1</w:t>
      </w:r>
      <w:r w:rsidRPr="005E4FAB">
        <w:t xml:space="preserve"> variant specifically detects H</w:t>
      </w:r>
      <w:r w:rsidRPr="005E4FAB">
        <w:rPr>
          <w:vertAlign w:val="subscript"/>
        </w:rPr>
        <w:t>2</w:t>
      </w:r>
      <w:r w:rsidRPr="005E4FAB">
        <w:t>O</w:t>
      </w:r>
      <w:r w:rsidRPr="005E4FAB">
        <w:rPr>
          <w:vertAlign w:val="subscript"/>
        </w:rPr>
        <w:t>2</w:t>
      </w:r>
      <w:r w:rsidRPr="005E4FAB">
        <w:t xml:space="preserve"> through its orp1 domain</w:t>
      </w:r>
      <w:r w:rsidR="00D037D0" w:rsidRPr="005E4FAB">
        <w:t xml:space="preserve">, which is a </w:t>
      </w:r>
      <w:r w:rsidR="004C09C3" w:rsidRPr="005E4FAB">
        <w:t xml:space="preserve">glutathione </w:t>
      </w:r>
      <w:r w:rsidR="00D037D0" w:rsidRPr="005E4FAB">
        <w:t xml:space="preserve">peroxiredoxin </w:t>
      </w:r>
      <w:r w:rsidR="004C09C3" w:rsidRPr="005E4FAB">
        <w:t xml:space="preserve">family protein </w:t>
      </w:r>
      <w:r w:rsidR="00D037D0" w:rsidRPr="005E4FAB">
        <w:t>from yeast</w:t>
      </w:r>
      <w:r w:rsidRPr="005E4FAB">
        <w:rPr>
          <w:noProof/>
          <w:vertAlign w:val="superscript"/>
        </w:rPr>
        <w:t>15,16</w:t>
      </w:r>
      <w:r w:rsidRPr="005E4FAB">
        <w:t xml:space="preserve">. </w:t>
      </w:r>
      <w:r w:rsidR="00D037D0" w:rsidRPr="005E4FAB">
        <w:t xml:space="preserve">The oxidation of </w:t>
      </w:r>
      <w:r w:rsidR="004C09C3" w:rsidRPr="005E4FAB">
        <w:t xml:space="preserve">the </w:t>
      </w:r>
      <w:r w:rsidR="00057372" w:rsidRPr="005E4FAB">
        <w:t>O</w:t>
      </w:r>
      <w:r w:rsidR="00D037D0" w:rsidRPr="005E4FAB">
        <w:t>rp1 protein is transferred to roGFP2 to alter its conformation (</w:t>
      </w:r>
      <w:r w:rsidR="00D037D0" w:rsidRPr="005E4FAB">
        <w:rPr>
          <w:b/>
          <w:bCs/>
        </w:rPr>
        <w:t>Figure 1A</w:t>
      </w:r>
      <w:r w:rsidR="00D037D0" w:rsidRPr="005E4FAB">
        <w:t>). The probe exhibits two excitation peaks near 405 nm and 480 nm, and a single emission peak at 5</w:t>
      </w:r>
      <w:r w:rsidR="006A1C13" w:rsidRPr="005E4FAB">
        <w:t>1</w:t>
      </w:r>
      <w:r w:rsidR="00D037D0" w:rsidRPr="005E4FAB">
        <w:t>5 nm. Upon oxidation, the fluorescen</w:t>
      </w:r>
      <w:r w:rsidR="00057372" w:rsidRPr="005E4FAB">
        <w:t>ce</w:t>
      </w:r>
      <w:r w:rsidR="00D037D0" w:rsidRPr="005E4FAB">
        <w:t xml:space="preserve"> intensity around excitation peaks changes</w:t>
      </w:r>
      <w:r w:rsidR="00057372" w:rsidRPr="005E4FAB">
        <w:t>:</w:t>
      </w:r>
      <w:r w:rsidR="00D037D0" w:rsidRPr="005E4FAB">
        <w:t xml:space="preserve"> while 405 nm excitation increases, 480 nm excitation decreases. Thus</w:t>
      </w:r>
      <w:r w:rsidRPr="005E4FAB">
        <w:t xml:space="preserve">, </w:t>
      </w:r>
      <w:r w:rsidR="002A2E83" w:rsidRPr="005E4FAB">
        <w:t>roGFP2-Orp1</w:t>
      </w:r>
      <w:r w:rsidRPr="005E4FAB">
        <w:t xml:space="preserve"> is a ratiometric biosensor</w:t>
      </w:r>
      <w:r w:rsidR="004C09C3" w:rsidRPr="005E4FAB">
        <w:t>,</w:t>
      </w:r>
      <w:r w:rsidR="00D037D0" w:rsidRPr="005E4FAB">
        <w:t xml:space="preserve"> and </w:t>
      </w:r>
      <w:r w:rsidRPr="005E4FAB">
        <w:t>H</w:t>
      </w:r>
      <w:r w:rsidRPr="005E4FAB">
        <w:rPr>
          <w:vertAlign w:val="subscript"/>
        </w:rPr>
        <w:t>2</w:t>
      </w:r>
      <w:r w:rsidRPr="005E4FAB">
        <w:t>O</w:t>
      </w:r>
      <w:r w:rsidRPr="005E4FAB">
        <w:rPr>
          <w:vertAlign w:val="subscript"/>
        </w:rPr>
        <w:t>2</w:t>
      </w:r>
      <w:r w:rsidRPr="005E4FAB">
        <w:t xml:space="preserve">-levels are detected by the ratio of fluorescence intensities excited at two different wavelengths </w:t>
      </w:r>
      <w:r w:rsidR="005167A5" w:rsidRPr="005E4FAB">
        <w:t>(</w:t>
      </w:r>
      <w:r w:rsidR="005167A5" w:rsidRPr="005E4FAB">
        <w:rPr>
          <w:b/>
          <w:bCs/>
        </w:rPr>
        <w:t>Figure 1</w:t>
      </w:r>
      <w:r w:rsidR="00D037D0" w:rsidRPr="005E4FAB">
        <w:rPr>
          <w:b/>
          <w:bCs/>
        </w:rPr>
        <w:t>B</w:t>
      </w:r>
      <w:r w:rsidR="005167A5" w:rsidRPr="005E4FAB">
        <w:t>)</w:t>
      </w:r>
      <w:r w:rsidRPr="005E4FAB">
        <w:t xml:space="preserve">. Overall, </w:t>
      </w:r>
      <w:r w:rsidR="002A2E83" w:rsidRPr="005E4FAB">
        <w:t>roGFP2-Orp1</w:t>
      </w:r>
      <w:r w:rsidRPr="005E4FAB">
        <w:t xml:space="preserve"> is a versatile tool for ROS imaging that can be utilized efficiently</w:t>
      </w:r>
      <w:r w:rsidR="00C62E51">
        <w:t xml:space="preserve"> </w:t>
      </w:r>
      <w:r w:rsidR="00C62E51" w:rsidRPr="00933326">
        <w:rPr>
          <w:iCs/>
        </w:rPr>
        <w:t>in vivo</w:t>
      </w:r>
      <w:r w:rsidRPr="005E4FAB">
        <w:t>.</w:t>
      </w:r>
    </w:p>
    <w:p w14:paraId="5FE8C0C1" w14:textId="76675998" w:rsidR="005167A5" w:rsidRPr="005E4FAB" w:rsidRDefault="005167A5" w:rsidP="00376F01"/>
    <w:p w14:paraId="75E51E11" w14:textId="2309E4D7" w:rsidR="005167A5" w:rsidRPr="005E4FAB" w:rsidRDefault="005167A5" w:rsidP="00376F01">
      <w:r w:rsidRPr="005E4FAB">
        <w:t xml:space="preserve">[Place </w:t>
      </w:r>
      <w:r w:rsidRPr="005E4FAB">
        <w:rPr>
          <w:b/>
          <w:bCs/>
        </w:rPr>
        <w:t>Figure 1</w:t>
      </w:r>
      <w:r w:rsidRPr="005E4FAB">
        <w:t xml:space="preserve"> here]</w:t>
      </w:r>
    </w:p>
    <w:p w14:paraId="4DE9719C" w14:textId="77777777" w:rsidR="00191A79" w:rsidRPr="005E4FAB" w:rsidRDefault="00191A79" w:rsidP="00376F01"/>
    <w:p w14:paraId="0FB84963" w14:textId="2EC8B999" w:rsidR="00191A79" w:rsidRPr="005E4FAB" w:rsidRDefault="00191A79" w:rsidP="00376F01">
      <w:r w:rsidRPr="005E4FAB">
        <w:t xml:space="preserve">The </w:t>
      </w:r>
      <w:r w:rsidRPr="005E4FAB">
        <w:rPr>
          <w:i/>
          <w:iCs/>
        </w:rPr>
        <w:t>Danio rerio</w:t>
      </w:r>
      <w:r w:rsidRPr="005E4FAB">
        <w:t xml:space="preserve"> (zebrafish) model system has several advantages for applying genetically encoded biosensors. The optical transparency of the embryos and larvae enables non-invasive </w:t>
      </w:r>
      <w:r w:rsidRPr="00D2672D">
        <w:rPr>
          <w:iCs/>
        </w:rPr>
        <w:t>in vivo</w:t>
      </w:r>
      <w:r w:rsidRPr="005E4FAB">
        <w:rPr>
          <w:i/>
        </w:rPr>
        <w:t xml:space="preserve"> </w:t>
      </w:r>
      <w:r w:rsidRPr="005E4FAB">
        <w:t>imaging. New imaging tools are being developed to achieve higher resolution and deeper penetration</w:t>
      </w:r>
      <w:r w:rsidRPr="005E4FAB">
        <w:rPr>
          <w:noProof/>
          <w:vertAlign w:val="superscript"/>
        </w:rPr>
        <w:t>17</w:t>
      </w:r>
      <w:r w:rsidRPr="005E4FAB">
        <w:t>. Furthermore, there are established tools for genetic manipulation (ectopic mRNA expression, Tol2 transgenesis, etc.) and genome editing (TALENs, CRISPR/Cas9, etc.), which promotes the generation of transgenic animals</w:t>
      </w:r>
      <w:r w:rsidRPr="005E4FAB">
        <w:rPr>
          <w:noProof/>
          <w:vertAlign w:val="superscript"/>
        </w:rPr>
        <w:t>18</w:t>
      </w:r>
      <w:r w:rsidRPr="005E4FAB">
        <w:t>. As the zebrafish embryos develop outside of the mother, this system further allows easier access and manipulation of the embryos. For instance, one-cell stage injections and drug treatments can easily be done.</w:t>
      </w:r>
    </w:p>
    <w:p w14:paraId="2BE41B08" w14:textId="77777777" w:rsidR="00191A79" w:rsidRPr="005E4FAB" w:rsidRDefault="00191A79" w:rsidP="00376F01"/>
    <w:p w14:paraId="68EDC0FE" w14:textId="69ED5D01" w:rsidR="00191A79" w:rsidRPr="005E4FAB" w:rsidRDefault="00191A79" w:rsidP="00376F01">
      <w:r w:rsidRPr="005E4FAB">
        <w:t>Here, we used zebrafish to transiently express the H</w:t>
      </w:r>
      <w:r w:rsidRPr="005E4FAB">
        <w:rPr>
          <w:vertAlign w:val="subscript"/>
        </w:rPr>
        <w:t>2</w:t>
      </w:r>
      <w:r w:rsidRPr="005E4FAB">
        <w:t>O</w:t>
      </w:r>
      <w:r w:rsidRPr="005E4FAB">
        <w:rPr>
          <w:vertAlign w:val="subscript"/>
        </w:rPr>
        <w:t>2</w:t>
      </w:r>
      <w:r w:rsidRPr="005E4FAB">
        <w:t xml:space="preserve">-specific biosensor </w:t>
      </w:r>
      <w:r w:rsidR="002A2E83" w:rsidRPr="005E4FAB">
        <w:t>roGFP2-Orp1</w:t>
      </w:r>
      <w:r w:rsidRPr="005E4FAB">
        <w:t xml:space="preserve"> by injecting </w:t>
      </w:r>
      <w:r w:rsidRPr="00933326">
        <w:rPr>
          <w:iCs/>
        </w:rPr>
        <w:t>in vitro</w:t>
      </w:r>
      <w:r w:rsidRPr="005E4FAB">
        <w:t xml:space="preserve">-transcribed mRNA. These embryos can be used for both </w:t>
      </w:r>
      <w:r w:rsidRPr="00933326">
        <w:rPr>
          <w:iCs/>
        </w:rPr>
        <w:t>in vitro</w:t>
      </w:r>
      <w:r w:rsidRPr="005E4FAB">
        <w:t xml:space="preserve"> imaging of cultured neurons and </w:t>
      </w:r>
      <w:r w:rsidRPr="00933326">
        <w:rPr>
          <w:iCs/>
        </w:rPr>
        <w:t>in vivo</w:t>
      </w:r>
      <w:r w:rsidRPr="005E4FAB">
        <w:t xml:space="preserve"> imaging (</w:t>
      </w:r>
      <w:r w:rsidRPr="00933326">
        <w:rPr>
          <w:b/>
          <w:bCs/>
        </w:rPr>
        <w:t xml:space="preserve">Figure </w:t>
      </w:r>
      <w:r w:rsidR="00242F76" w:rsidRPr="00933326">
        <w:rPr>
          <w:b/>
          <w:bCs/>
        </w:rPr>
        <w:t>2</w:t>
      </w:r>
      <w:r w:rsidR="00F44E14" w:rsidRPr="005415B2">
        <w:t>)</w:t>
      </w:r>
      <w:r w:rsidRPr="005415B2">
        <w:t>.</w:t>
      </w:r>
      <w:r w:rsidRPr="005E4FAB">
        <w:t xml:space="preserve"> We describe a protocol for dissecting and plating retinal ganglion cells (RGCs) from zebrafish embryos followed by assessing H</w:t>
      </w:r>
      <w:r w:rsidRPr="005E4FAB">
        <w:rPr>
          <w:vertAlign w:val="subscript"/>
        </w:rPr>
        <w:t>2</w:t>
      </w:r>
      <w:r w:rsidRPr="005E4FAB">
        <w:t>O</w:t>
      </w:r>
      <w:r w:rsidRPr="005E4FAB">
        <w:rPr>
          <w:vertAlign w:val="subscript"/>
        </w:rPr>
        <w:t>2</w:t>
      </w:r>
      <w:r w:rsidRPr="005E4FAB">
        <w:t xml:space="preserve">-levels in cultured </w:t>
      </w:r>
      <w:r w:rsidRPr="005E4FAB">
        <w:lastRenderedPageBreak/>
        <w:t xml:space="preserve">neurons. Then, we present a method for </w:t>
      </w:r>
      <w:r w:rsidRPr="00933326">
        <w:rPr>
          <w:iCs/>
        </w:rPr>
        <w:t>in vivo ima</w:t>
      </w:r>
      <w:r w:rsidRPr="005E4FAB">
        <w:t xml:space="preserve">ging of </w:t>
      </w:r>
      <w:r w:rsidR="002A2E83" w:rsidRPr="005E4FAB">
        <w:t>roGFP2-Orp1</w:t>
      </w:r>
      <w:r w:rsidRPr="005E4FAB">
        <w:t>-expressing embryos and larvae using confocal microscopy. This approach not only allows to determine physiological H</w:t>
      </w:r>
      <w:r w:rsidRPr="005E4FAB">
        <w:rPr>
          <w:vertAlign w:val="subscript"/>
        </w:rPr>
        <w:t>2</w:t>
      </w:r>
      <w:r w:rsidRPr="005E4FAB">
        <w:t>O</w:t>
      </w:r>
      <w:r w:rsidRPr="005E4FAB">
        <w:rPr>
          <w:vertAlign w:val="subscript"/>
        </w:rPr>
        <w:t>2</w:t>
      </w:r>
      <w:r w:rsidRPr="005E4FAB">
        <w:t>-levels but also potential changes occurring in different developmental stages or conditions. Overall, this system provides a reliable method for detecting H</w:t>
      </w:r>
      <w:r w:rsidRPr="005E4FAB">
        <w:rPr>
          <w:vertAlign w:val="subscript"/>
        </w:rPr>
        <w:t>2</w:t>
      </w:r>
      <w:r w:rsidRPr="005E4FAB">
        <w:t>O</w:t>
      </w:r>
      <w:r w:rsidRPr="005E4FAB">
        <w:rPr>
          <w:vertAlign w:val="subscript"/>
        </w:rPr>
        <w:t>2</w:t>
      </w:r>
      <w:r w:rsidRPr="005E4FAB">
        <w:t xml:space="preserve"> in live cells and animals to study the role of H</w:t>
      </w:r>
      <w:r w:rsidRPr="005E4FAB">
        <w:rPr>
          <w:vertAlign w:val="subscript"/>
        </w:rPr>
        <w:t>2</w:t>
      </w:r>
      <w:r w:rsidRPr="005E4FAB">
        <w:t>O</w:t>
      </w:r>
      <w:r w:rsidRPr="005E4FAB">
        <w:rPr>
          <w:vertAlign w:val="subscript"/>
        </w:rPr>
        <w:t>2</w:t>
      </w:r>
      <w:r w:rsidRPr="005E4FAB">
        <w:t xml:space="preserve"> in development, health, and disease.</w:t>
      </w:r>
    </w:p>
    <w:p w14:paraId="0411CE3B" w14:textId="3AF0E8DA" w:rsidR="00191A79" w:rsidRDefault="00191A79" w:rsidP="00376F01">
      <w:r w:rsidRPr="005E4FAB">
        <w:tab/>
      </w:r>
    </w:p>
    <w:p w14:paraId="323D2291" w14:textId="77777777" w:rsidR="00242F76" w:rsidRPr="00933326" w:rsidRDefault="00242F76" w:rsidP="00242F76">
      <w:pPr>
        <w:pBdr>
          <w:top w:val="nil"/>
          <w:left w:val="nil"/>
          <w:bottom w:val="nil"/>
          <w:right w:val="nil"/>
          <w:between w:val="nil"/>
        </w:pBdr>
        <w:rPr>
          <w:bCs/>
        </w:rPr>
      </w:pPr>
      <w:r w:rsidRPr="00933326">
        <w:rPr>
          <w:bCs/>
        </w:rPr>
        <w:t>[</w:t>
      </w:r>
      <w:r w:rsidRPr="00933326">
        <w:t xml:space="preserve">Place </w:t>
      </w:r>
      <w:r w:rsidRPr="00933326">
        <w:rPr>
          <w:b/>
          <w:bCs/>
        </w:rPr>
        <w:t>Figure 2</w:t>
      </w:r>
      <w:r w:rsidRPr="00933326">
        <w:t xml:space="preserve"> here</w:t>
      </w:r>
      <w:r w:rsidRPr="00933326">
        <w:rPr>
          <w:bCs/>
        </w:rPr>
        <w:t>]</w:t>
      </w:r>
    </w:p>
    <w:p w14:paraId="4721D0DB" w14:textId="77777777" w:rsidR="00242F76" w:rsidRPr="005E4FAB" w:rsidRDefault="00242F76" w:rsidP="00376F01"/>
    <w:p w14:paraId="3A216DDF" w14:textId="77777777" w:rsidR="00191A79" w:rsidRPr="005E4FAB" w:rsidRDefault="00191A79" w:rsidP="00376F01">
      <w:bookmarkStart w:id="0" w:name="_Hlk59021868"/>
      <w:r w:rsidRPr="005E4FAB">
        <w:rPr>
          <w:b/>
        </w:rPr>
        <w:t>PROTOCOL:</w:t>
      </w:r>
      <w:r w:rsidRPr="005E4FAB">
        <w:t xml:space="preserve"> </w:t>
      </w:r>
    </w:p>
    <w:p w14:paraId="7F0237E5" w14:textId="16975534" w:rsidR="00191A79" w:rsidRDefault="00191A79" w:rsidP="00376F01">
      <w:r w:rsidRPr="005E4FAB">
        <w:t>All animal experiments were ethically reviewed and approved by the Purdue Animal Care and Use Committee (PACUC), following NIH guidelines with the protocol 2006002050 approved on 07/24/2020.</w:t>
      </w:r>
    </w:p>
    <w:p w14:paraId="46AC73BF" w14:textId="77777777" w:rsidR="005E4FAB" w:rsidRPr="005E4FAB" w:rsidRDefault="005E4FAB" w:rsidP="00376F01"/>
    <w:p w14:paraId="13275B3C" w14:textId="5A4AF087" w:rsidR="00191A79" w:rsidRPr="005E4FAB" w:rsidRDefault="00191A79" w:rsidP="00376F01">
      <w:pPr>
        <w:pStyle w:val="Heading1"/>
        <w:spacing w:before="0" w:after="0"/>
        <w:rPr>
          <w:sz w:val="24"/>
          <w:szCs w:val="24"/>
        </w:rPr>
      </w:pPr>
      <w:r w:rsidRPr="005E4FAB">
        <w:rPr>
          <w:sz w:val="24"/>
          <w:szCs w:val="24"/>
        </w:rPr>
        <w:t>1. Preparation of solutions</w:t>
      </w:r>
    </w:p>
    <w:p w14:paraId="67E3B6D4" w14:textId="77777777" w:rsidR="00191A79" w:rsidRPr="00933326" w:rsidRDefault="00191A79" w:rsidP="00376F01"/>
    <w:p w14:paraId="5E8D5FDE" w14:textId="22696407" w:rsidR="00EE2D38" w:rsidRPr="00933326" w:rsidRDefault="00191A79" w:rsidP="00E936C2">
      <w:pPr>
        <w:pStyle w:val="ListParagraph"/>
        <w:numPr>
          <w:ilvl w:val="1"/>
          <w:numId w:val="2"/>
        </w:numPr>
        <w:ind w:left="0" w:firstLine="0"/>
      </w:pPr>
      <w:r w:rsidRPr="00933326">
        <w:t>1</w:t>
      </w:r>
      <w:r w:rsidR="00B1742E" w:rsidRPr="00933326">
        <w:t>x</w:t>
      </w:r>
      <w:r w:rsidRPr="00933326">
        <w:t xml:space="preserve"> E2 </w:t>
      </w:r>
      <w:r w:rsidR="00B1742E" w:rsidRPr="00933326">
        <w:t>m</w:t>
      </w:r>
      <w:r w:rsidRPr="00933326">
        <w:t xml:space="preserve">edia </w:t>
      </w:r>
    </w:p>
    <w:p w14:paraId="36CEA755" w14:textId="77777777" w:rsidR="00EE2D38" w:rsidRPr="00933326" w:rsidRDefault="00EE2D38" w:rsidP="00376F01">
      <w:pPr>
        <w:pStyle w:val="ListParagraph"/>
        <w:ind w:left="0"/>
      </w:pPr>
    </w:p>
    <w:p w14:paraId="174D8966" w14:textId="7D875F64" w:rsidR="00EE2D38" w:rsidRPr="005E4FAB" w:rsidRDefault="00191A79" w:rsidP="00E936C2">
      <w:pPr>
        <w:pStyle w:val="ListParagraph"/>
        <w:numPr>
          <w:ilvl w:val="2"/>
          <w:numId w:val="2"/>
        </w:numPr>
        <w:ind w:left="0" w:firstLine="0"/>
        <w:rPr>
          <w:b/>
          <w:bCs/>
        </w:rPr>
      </w:pPr>
      <w:r w:rsidRPr="005E4FAB">
        <w:t>Prepare 100</w:t>
      </w:r>
      <w:r w:rsidR="00B1742E" w:rsidRPr="005E4FAB">
        <w:t>x</w:t>
      </w:r>
      <w:r w:rsidRPr="005E4FAB">
        <w:t xml:space="preserve"> E2A (500 mL), 500</w:t>
      </w:r>
      <w:r w:rsidR="00B1742E" w:rsidRPr="005E4FAB">
        <w:t>x</w:t>
      </w:r>
      <w:r w:rsidRPr="005E4FAB">
        <w:t xml:space="preserve"> E2B (100 mL) and 500</w:t>
      </w:r>
      <w:r w:rsidR="00B1742E" w:rsidRPr="005E4FAB">
        <w:t>x</w:t>
      </w:r>
      <w:r w:rsidRPr="005E4FAB">
        <w:t xml:space="preserve"> E2C (100 mL) solutions by combining all components shown in</w:t>
      </w:r>
      <w:r w:rsidRPr="005E4FAB">
        <w:rPr>
          <w:b/>
          <w:bCs/>
        </w:rPr>
        <w:t xml:space="preserve"> Table 1</w:t>
      </w:r>
      <w:r w:rsidRPr="005E4FAB">
        <w:t>. Autoclave E2A, E2B and E2C solutions.</w:t>
      </w:r>
      <w:r w:rsidR="00B1742E" w:rsidRPr="005E4FAB">
        <w:t xml:space="preserve"> </w:t>
      </w:r>
      <w:r w:rsidRPr="005E4FAB">
        <w:t xml:space="preserve">Store at 4 °C. </w:t>
      </w:r>
    </w:p>
    <w:p w14:paraId="3103B2D2" w14:textId="77777777" w:rsidR="00EE2D38" w:rsidRPr="005E4FAB" w:rsidRDefault="00EE2D38" w:rsidP="00376F01">
      <w:pPr>
        <w:pStyle w:val="ListParagraph"/>
        <w:ind w:left="0"/>
      </w:pPr>
    </w:p>
    <w:p w14:paraId="42E656EB" w14:textId="094EC326" w:rsidR="00EE2D38" w:rsidRPr="005E4FAB" w:rsidRDefault="00191A79" w:rsidP="00E936C2">
      <w:pPr>
        <w:pStyle w:val="ListParagraph"/>
        <w:numPr>
          <w:ilvl w:val="2"/>
          <w:numId w:val="2"/>
        </w:numPr>
        <w:ind w:left="0" w:firstLine="0"/>
        <w:rPr>
          <w:b/>
          <w:bCs/>
        </w:rPr>
      </w:pPr>
      <w:r w:rsidRPr="005E4FAB">
        <w:t>For 1</w:t>
      </w:r>
      <w:r w:rsidR="00B1742E" w:rsidRPr="005E4FAB">
        <w:t>x</w:t>
      </w:r>
      <w:r w:rsidRPr="005E4FAB">
        <w:t xml:space="preserve"> E2 media: Combine 5</w:t>
      </w:r>
      <w:r w:rsidR="00B1742E" w:rsidRPr="005E4FAB">
        <w:t xml:space="preserve"> </w:t>
      </w:r>
      <w:r w:rsidRPr="005E4FAB">
        <w:t>mL of 100</w:t>
      </w:r>
      <w:r w:rsidR="00B1742E" w:rsidRPr="005E4FAB">
        <w:t>x</w:t>
      </w:r>
      <w:r w:rsidRPr="005E4FAB">
        <w:t xml:space="preserve"> E2A, 1 mL of 500</w:t>
      </w:r>
      <w:r w:rsidR="00B1742E" w:rsidRPr="005E4FAB">
        <w:t>x</w:t>
      </w:r>
      <w:r w:rsidRPr="005E4FAB">
        <w:t xml:space="preserve"> E2B, and 1 mL of 500</w:t>
      </w:r>
      <w:r w:rsidR="00B1742E" w:rsidRPr="005E4FAB">
        <w:t>x</w:t>
      </w:r>
      <w:r w:rsidRPr="005E4FAB">
        <w:t xml:space="preserve"> E2C. Bring </w:t>
      </w:r>
      <w:r w:rsidR="00B1742E" w:rsidRPr="005E4FAB">
        <w:t xml:space="preserve">the </w:t>
      </w:r>
      <w:r w:rsidRPr="005E4FAB">
        <w:t xml:space="preserve">volume to 500 mL with sterile water. Adjust </w:t>
      </w:r>
      <w:r w:rsidR="00B1742E" w:rsidRPr="005E4FAB">
        <w:t xml:space="preserve">the </w:t>
      </w:r>
      <w:r w:rsidRPr="005E4FAB">
        <w:t>pH to 7.0-7.5.</w:t>
      </w:r>
    </w:p>
    <w:p w14:paraId="586A5026" w14:textId="77777777" w:rsidR="00EE2D38" w:rsidRPr="005E4FAB" w:rsidRDefault="00EE2D38" w:rsidP="00376F01">
      <w:pPr>
        <w:pStyle w:val="ListParagraph"/>
        <w:ind w:left="0"/>
      </w:pPr>
    </w:p>
    <w:p w14:paraId="7D83DAB9" w14:textId="1C297027" w:rsidR="00191A79" w:rsidRPr="005E4FAB" w:rsidRDefault="00B1742E" w:rsidP="00E936C2">
      <w:pPr>
        <w:pStyle w:val="ListParagraph"/>
        <w:numPr>
          <w:ilvl w:val="2"/>
          <w:numId w:val="2"/>
        </w:numPr>
        <w:ind w:left="0" w:firstLine="0"/>
        <w:rPr>
          <w:b/>
          <w:bCs/>
        </w:rPr>
      </w:pPr>
      <w:r w:rsidRPr="005E4FAB">
        <w:t xml:space="preserve">Prepare 50 mL aliquots of </w:t>
      </w:r>
      <w:r w:rsidR="00191A79" w:rsidRPr="005E4FAB">
        <w:t>1</w:t>
      </w:r>
      <w:r w:rsidRPr="005E4FAB">
        <w:t>x</w:t>
      </w:r>
      <w:r w:rsidR="00191A79" w:rsidRPr="005E4FAB">
        <w:t xml:space="preserve"> E2 media </w:t>
      </w:r>
      <w:r w:rsidRPr="005E4FAB">
        <w:t>store at</w:t>
      </w:r>
      <w:r w:rsidR="00191A79" w:rsidRPr="005E4FAB">
        <w:t xml:space="preserve"> –20 °C for long-term storage. However, precipitations can occur upon thawing. Make sure precipitation is fully dissolved before using the stock solution.</w:t>
      </w:r>
    </w:p>
    <w:p w14:paraId="466AF633" w14:textId="77777777" w:rsidR="00191A79" w:rsidRPr="005E4FAB" w:rsidRDefault="00191A79" w:rsidP="00376F01"/>
    <w:p w14:paraId="1073DA46" w14:textId="51E4B602" w:rsidR="00191A79" w:rsidRPr="005E4FAB" w:rsidRDefault="00191A79" w:rsidP="00376F01">
      <w:r w:rsidRPr="005E4FAB">
        <w:t>[</w:t>
      </w:r>
      <w:r w:rsidR="00723FB3" w:rsidRPr="005E4FAB">
        <w:t xml:space="preserve">Place </w:t>
      </w:r>
      <w:r w:rsidRPr="005E4FAB">
        <w:rPr>
          <w:b/>
          <w:bCs/>
        </w:rPr>
        <w:t>Table 1</w:t>
      </w:r>
      <w:r w:rsidR="00723FB3" w:rsidRPr="005E4FAB">
        <w:t xml:space="preserve"> here</w:t>
      </w:r>
      <w:r w:rsidRPr="005E4FAB">
        <w:t>]</w:t>
      </w:r>
    </w:p>
    <w:p w14:paraId="47895771" w14:textId="77777777" w:rsidR="00191A79" w:rsidRPr="00933326" w:rsidRDefault="00191A79" w:rsidP="00376F01"/>
    <w:p w14:paraId="7AEC63BD" w14:textId="72C22229" w:rsidR="00191A79" w:rsidRPr="00933326" w:rsidRDefault="00191A79" w:rsidP="00E936C2">
      <w:pPr>
        <w:pStyle w:val="ListParagraph"/>
        <w:numPr>
          <w:ilvl w:val="1"/>
          <w:numId w:val="2"/>
        </w:numPr>
        <w:ind w:left="0" w:firstLine="0"/>
      </w:pPr>
      <w:r w:rsidRPr="00933326">
        <w:t>1</w:t>
      </w:r>
      <w:r w:rsidR="00B1742E" w:rsidRPr="00933326">
        <w:t>x</w:t>
      </w:r>
      <w:r w:rsidRPr="00933326">
        <w:t xml:space="preserve"> E3 Media</w:t>
      </w:r>
    </w:p>
    <w:p w14:paraId="59BB33C2" w14:textId="77777777" w:rsidR="00191A79" w:rsidRPr="00933326" w:rsidRDefault="00191A79" w:rsidP="00376F01"/>
    <w:p w14:paraId="7E4A77F6" w14:textId="7832017C" w:rsidR="00B1742E" w:rsidRPr="005E4FAB" w:rsidRDefault="00191A79" w:rsidP="00E936C2">
      <w:pPr>
        <w:pStyle w:val="ListParagraph"/>
        <w:numPr>
          <w:ilvl w:val="2"/>
          <w:numId w:val="3"/>
        </w:numPr>
        <w:ind w:left="0" w:firstLine="0"/>
      </w:pPr>
      <w:r w:rsidRPr="005E4FAB">
        <w:t xml:space="preserve">Dissolve the components in 1 L sterile water </w:t>
      </w:r>
      <w:r w:rsidR="004D1392" w:rsidRPr="005E4FAB">
        <w:t xml:space="preserve">as </w:t>
      </w:r>
      <w:r w:rsidRPr="005E4FAB">
        <w:t xml:space="preserve">shown in </w:t>
      </w:r>
      <w:r w:rsidRPr="005E4FAB">
        <w:rPr>
          <w:b/>
          <w:bCs/>
        </w:rPr>
        <w:t>Table 2</w:t>
      </w:r>
      <w:r w:rsidRPr="005E4FAB">
        <w:t xml:space="preserve"> to make 100</w:t>
      </w:r>
      <w:r w:rsidR="00B1742E" w:rsidRPr="005E4FAB">
        <w:t>x</w:t>
      </w:r>
      <w:r w:rsidRPr="005E4FAB">
        <w:t xml:space="preserve"> stock.</w:t>
      </w:r>
      <w:r w:rsidR="00B1742E" w:rsidRPr="005E4FAB">
        <w:t xml:space="preserve"> </w:t>
      </w:r>
      <w:r w:rsidRPr="005E4FAB">
        <w:t>Dilute the stock in sterile water to make 1</w:t>
      </w:r>
      <w:r w:rsidR="00B1742E" w:rsidRPr="005E4FAB">
        <w:t>x</w:t>
      </w:r>
      <w:r w:rsidRPr="005E4FAB">
        <w:t xml:space="preserve"> E3 media.</w:t>
      </w:r>
    </w:p>
    <w:p w14:paraId="34275E6E" w14:textId="77777777" w:rsidR="00B1742E" w:rsidRPr="005E4FAB" w:rsidRDefault="00B1742E" w:rsidP="00376F01">
      <w:pPr>
        <w:pStyle w:val="ListParagraph"/>
        <w:ind w:left="0"/>
      </w:pPr>
    </w:p>
    <w:p w14:paraId="58C0E940" w14:textId="6E1198FF" w:rsidR="00191A79" w:rsidRPr="005E4FAB" w:rsidRDefault="00191A79" w:rsidP="00E936C2">
      <w:pPr>
        <w:pStyle w:val="ListParagraph"/>
        <w:numPr>
          <w:ilvl w:val="2"/>
          <w:numId w:val="3"/>
        </w:numPr>
        <w:ind w:left="0" w:firstLine="0"/>
      </w:pPr>
      <w:r w:rsidRPr="005E4FAB">
        <w:t>Add 0.2% methylene blue.</w:t>
      </w:r>
      <w:r w:rsidR="00570492" w:rsidRPr="005E4FAB">
        <w:t xml:space="preserve"> For 20 mL of 1</w:t>
      </w:r>
      <w:r w:rsidR="00B1742E" w:rsidRPr="005E4FAB">
        <w:t>x</w:t>
      </w:r>
      <w:r w:rsidR="00570492" w:rsidRPr="005E4FAB">
        <w:t xml:space="preserve"> E3 media, add 40 µL of methylene blue.</w:t>
      </w:r>
      <w:r w:rsidRPr="005E4FAB">
        <w:t xml:space="preserve"> </w:t>
      </w:r>
    </w:p>
    <w:p w14:paraId="54D6AC7C" w14:textId="77777777" w:rsidR="00DF4172" w:rsidRPr="005E4FAB" w:rsidRDefault="00DF4172" w:rsidP="00376F01"/>
    <w:p w14:paraId="7BC11902" w14:textId="77777777" w:rsidR="00191A79" w:rsidRPr="005E4FAB" w:rsidRDefault="00191A79" w:rsidP="00E936C2">
      <w:pPr>
        <w:pStyle w:val="ListParagraph"/>
        <w:numPr>
          <w:ilvl w:val="2"/>
          <w:numId w:val="3"/>
        </w:numPr>
        <w:ind w:left="0" w:firstLine="0"/>
      </w:pPr>
      <w:r w:rsidRPr="005E4FAB">
        <w:t>Make another batch without methylene blue for fluorescent imaging.</w:t>
      </w:r>
    </w:p>
    <w:p w14:paraId="39E95CFC" w14:textId="77777777" w:rsidR="00191A79" w:rsidRPr="005E4FAB" w:rsidRDefault="00191A79" w:rsidP="00376F01">
      <w:pPr>
        <w:rPr>
          <w:b/>
          <w:bCs/>
        </w:rPr>
      </w:pPr>
    </w:p>
    <w:p w14:paraId="48A101BE" w14:textId="3C2DB105" w:rsidR="00191A79" w:rsidRPr="005E4FAB" w:rsidRDefault="00191A79" w:rsidP="00376F01">
      <w:r w:rsidRPr="005E4FAB">
        <w:t>[</w:t>
      </w:r>
      <w:r w:rsidR="00723FB3" w:rsidRPr="005E4FAB">
        <w:t xml:space="preserve">Place </w:t>
      </w:r>
      <w:r w:rsidR="00723FB3" w:rsidRPr="005E4FAB">
        <w:rPr>
          <w:b/>
          <w:bCs/>
        </w:rPr>
        <w:t>Table 2</w:t>
      </w:r>
      <w:r w:rsidR="00723FB3" w:rsidRPr="005E4FAB">
        <w:t xml:space="preserve"> here</w:t>
      </w:r>
      <w:r w:rsidRPr="005E4FAB">
        <w:t>]</w:t>
      </w:r>
    </w:p>
    <w:p w14:paraId="63CCB9D3" w14:textId="77777777" w:rsidR="00191A79" w:rsidRPr="00933326" w:rsidRDefault="00191A79" w:rsidP="00376F01"/>
    <w:p w14:paraId="4001D1C2" w14:textId="0A7DD230" w:rsidR="00191A79" w:rsidRPr="00933326" w:rsidRDefault="00191A79" w:rsidP="00376F01">
      <w:r w:rsidRPr="00933326">
        <w:t>1.3</w:t>
      </w:r>
      <w:r w:rsidR="00B1742E" w:rsidRPr="00933326">
        <w:t>.</w:t>
      </w:r>
      <w:r w:rsidRPr="00933326">
        <w:t xml:space="preserve"> 80</w:t>
      </w:r>
      <w:r w:rsidR="00B1742E" w:rsidRPr="00933326">
        <w:t>x</w:t>
      </w:r>
      <w:r w:rsidRPr="00933326">
        <w:t xml:space="preserve"> </w:t>
      </w:r>
      <w:r w:rsidR="00B1742E" w:rsidRPr="00933326">
        <w:t>s</w:t>
      </w:r>
      <w:r w:rsidRPr="00933326">
        <w:t xml:space="preserve">aline stock solution </w:t>
      </w:r>
    </w:p>
    <w:p w14:paraId="20D8CDDB" w14:textId="77777777" w:rsidR="00191A79" w:rsidRPr="00933326" w:rsidRDefault="00191A79" w:rsidP="00376F01"/>
    <w:p w14:paraId="254C995F" w14:textId="61C0A6D4" w:rsidR="00191A79" w:rsidRPr="005E4FAB" w:rsidRDefault="00191A79" w:rsidP="00376F01">
      <w:r w:rsidRPr="005E4FAB">
        <w:t xml:space="preserve">1.3.1 Combine all components shown </w:t>
      </w:r>
      <w:r w:rsidR="004D1392" w:rsidRPr="005E4FAB">
        <w:t>in</w:t>
      </w:r>
      <w:r w:rsidRPr="005E4FAB">
        <w:t xml:space="preserve"> </w:t>
      </w:r>
      <w:r w:rsidRPr="005E4FAB">
        <w:rPr>
          <w:b/>
          <w:bCs/>
        </w:rPr>
        <w:t>Table 3</w:t>
      </w:r>
      <w:r w:rsidRPr="005E4FAB">
        <w:t>.</w:t>
      </w:r>
      <w:r w:rsidR="00B1742E" w:rsidRPr="005E4FAB">
        <w:t xml:space="preserve"> </w:t>
      </w:r>
      <w:r w:rsidRPr="005E4FAB">
        <w:t>Add water to make 100 mL solution.</w:t>
      </w:r>
      <w:r w:rsidR="00B1742E" w:rsidRPr="005E4FAB">
        <w:t xml:space="preserve"> </w:t>
      </w:r>
      <w:r w:rsidRPr="005E4FAB">
        <w:t>Mix until all components are dissolved.</w:t>
      </w:r>
      <w:r w:rsidR="00B1742E" w:rsidRPr="005E4FAB">
        <w:t xml:space="preserve"> </w:t>
      </w:r>
      <w:r w:rsidRPr="005E4FAB">
        <w:t xml:space="preserve">Store </w:t>
      </w:r>
      <w:r w:rsidR="00B1742E" w:rsidRPr="005E4FAB">
        <w:t xml:space="preserve">the solution </w:t>
      </w:r>
      <w:r w:rsidRPr="005E4FAB">
        <w:t>at 4 °C.</w:t>
      </w:r>
    </w:p>
    <w:p w14:paraId="06A4A450" w14:textId="77777777" w:rsidR="00191A79" w:rsidRPr="005E4FAB" w:rsidRDefault="00191A79" w:rsidP="00376F01"/>
    <w:p w14:paraId="75403985" w14:textId="5BDE3808" w:rsidR="00191A79" w:rsidRPr="005E4FAB" w:rsidRDefault="00191A79" w:rsidP="00376F01">
      <w:r w:rsidRPr="005E4FAB">
        <w:t>[</w:t>
      </w:r>
      <w:r w:rsidR="00723FB3" w:rsidRPr="005E4FAB">
        <w:t xml:space="preserve">Place </w:t>
      </w:r>
      <w:r w:rsidR="00723FB3" w:rsidRPr="005E4FAB">
        <w:rPr>
          <w:b/>
          <w:bCs/>
        </w:rPr>
        <w:t>Table 3</w:t>
      </w:r>
      <w:r w:rsidR="00723FB3" w:rsidRPr="005E4FAB">
        <w:t xml:space="preserve"> here</w:t>
      </w:r>
      <w:r w:rsidRPr="005E4FAB">
        <w:t>]</w:t>
      </w:r>
    </w:p>
    <w:p w14:paraId="3BEBA6D1" w14:textId="77777777" w:rsidR="00191A79" w:rsidRPr="00933326" w:rsidRDefault="00191A79" w:rsidP="00376F01"/>
    <w:p w14:paraId="5A6B715F" w14:textId="77777777" w:rsidR="00191A79" w:rsidRPr="00933326" w:rsidRDefault="00191A79" w:rsidP="00376F01">
      <w:r w:rsidRPr="00933326">
        <w:t>1.4 Zebrafish cell culture medium (ZFCM+)</w:t>
      </w:r>
    </w:p>
    <w:p w14:paraId="66E9345B" w14:textId="77777777" w:rsidR="00191A79" w:rsidRPr="00933326" w:rsidRDefault="00191A79" w:rsidP="00376F01"/>
    <w:p w14:paraId="5AC259EF" w14:textId="56C988D0" w:rsidR="00191A79" w:rsidRPr="005E4FAB" w:rsidRDefault="00191A79" w:rsidP="00376F01">
      <w:r w:rsidRPr="005E4FAB">
        <w:t xml:space="preserve">1.4.1 Combine all components shown </w:t>
      </w:r>
      <w:r w:rsidR="004D1392" w:rsidRPr="005E4FAB">
        <w:t>in</w:t>
      </w:r>
      <w:r w:rsidRPr="005E4FAB">
        <w:t xml:space="preserve"> </w:t>
      </w:r>
      <w:r w:rsidRPr="005E4FAB">
        <w:rPr>
          <w:b/>
          <w:bCs/>
        </w:rPr>
        <w:t>Table 4</w:t>
      </w:r>
      <w:r w:rsidRPr="005E4FAB">
        <w:t xml:space="preserve"> to make 250 mL media.</w:t>
      </w:r>
      <w:r w:rsidR="00B1742E" w:rsidRPr="005E4FAB">
        <w:t xml:space="preserve"> </w:t>
      </w:r>
      <w:r w:rsidRPr="005E4FAB">
        <w:t xml:space="preserve">Adjust </w:t>
      </w:r>
      <w:r w:rsidR="00B1742E" w:rsidRPr="005E4FAB">
        <w:t xml:space="preserve">the </w:t>
      </w:r>
      <w:r w:rsidRPr="005E4FAB">
        <w:t>pH to 7.5.</w:t>
      </w:r>
      <w:r w:rsidR="00B1742E" w:rsidRPr="005E4FAB">
        <w:t xml:space="preserve"> </w:t>
      </w:r>
      <w:r w:rsidRPr="005E4FAB">
        <w:t>Filter media using 0.22 µm filter</w:t>
      </w:r>
      <w:r w:rsidR="00B1742E" w:rsidRPr="005E4FAB">
        <w:t xml:space="preserve"> and store</w:t>
      </w:r>
      <w:r w:rsidRPr="005E4FAB">
        <w:t xml:space="preserve"> at 4 °C.  </w:t>
      </w:r>
    </w:p>
    <w:p w14:paraId="6D011B16" w14:textId="77777777" w:rsidR="00191A79" w:rsidRPr="005E4FAB" w:rsidRDefault="00191A79" w:rsidP="00376F01"/>
    <w:p w14:paraId="5E78FF18" w14:textId="5F5172AD" w:rsidR="00191A79" w:rsidRDefault="00191A79" w:rsidP="00376F01">
      <w:r w:rsidRPr="005E4FAB">
        <w:t>[</w:t>
      </w:r>
      <w:r w:rsidR="00723FB3" w:rsidRPr="005E4FAB">
        <w:t xml:space="preserve">Place </w:t>
      </w:r>
      <w:r w:rsidR="00723FB3" w:rsidRPr="005E4FAB">
        <w:rPr>
          <w:b/>
          <w:bCs/>
        </w:rPr>
        <w:t>Table 4</w:t>
      </w:r>
      <w:r w:rsidR="00723FB3" w:rsidRPr="005E4FAB">
        <w:t xml:space="preserve"> here</w:t>
      </w:r>
      <w:r w:rsidRPr="005E4FAB">
        <w:t>]</w:t>
      </w:r>
    </w:p>
    <w:p w14:paraId="52A94E6F" w14:textId="77777777" w:rsidR="005E4FAB" w:rsidRPr="00933326" w:rsidRDefault="005E4FAB" w:rsidP="00376F01">
      <w:pPr>
        <w:rPr>
          <w:bCs/>
        </w:rPr>
      </w:pPr>
    </w:p>
    <w:p w14:paraId="62DF2F55" w14:textId="77777777" w:rsidR="00191A79" w:rsidRPr="00933326" w:rsidRDefault="00191A79" w:rsidP="00376F01">
      <w:pPr>
        <w:pStyle w:val="Heading1"/>
        <w:spacing w:before="0" w:after="0"/>
        <w:rPr>
          <w:b w:val="0"/>
          <w:bCs/>
          <w:sz w:val="24"/>
          <w:szCs w:val="24"/>
        </w:rPr>
      </w:pPr>
      <w:r w:rsidRPr="00933326">
        <w:rPr>
          <w:b w:val="0"/>
          <w:bCs/>
          <w:sz w:val="24"/>
          <w:szCs w:val="24"/>
        </w:rPr>
        <w:t>1.5 Zebrafish cell culture medium for imaging (ZFCM-)</w:t>
      </w:r>
    </w:p>
    <w:p w14:paraId="2727B423" w14:textId="77777777" w:rsidR="00191A79" w:rsidRPr="005E4FAB" w:rsidRDefault="00191A79" w:rsidP="00376F01"/>
    <w:p w14:paraId="63A2D860" w14:textId="2687B2D4" w:rsidR="00191A79" w:rsidRPr="005E4FAB" w:rsidRDefault="00191A79" w:rsidP="00376F01">
      <w:r w:rsidRPr="005E4FAB">
        <w:t xml:space="preserve">1.5.1 Combine all components shown </w:t>
      </w:r>
      <w:r w:rsidR="004D1392" w:rsidRPr="005E4FAB">
        <w:t>in</w:t>
      </w:r>
      <w:r w:rsidRPr="005E4FAB">
        <w:t xml:space="preserve"> </w:t>
      </w:r>
      <w:r w:rsidRPr="005E4FAB">
        <w:rPr>
          <w:b/>
          <w:bCs/>
        </w:rPr>
        <w:t>Table 5</w:t>
      </w:r>
      <w:r w:rsidRPr="005E4FAB">
        <w:t xml:space="preserve"> to make 250 mL media.</w:t>
      </w:r>
      <w:r w:rsidR="004D1392" w:rsidRPr="005E4FAB">
        <w:t xml:space="preserve"> </w:t>
      </w:r>
      <w:r w:rsidRPr="005E4FAB">
        <w:t xml:space="preserve">Adjust </w:t>
      </w:r>
      <w:r w:rsidR="004D1392" w:rsidRPr="005E4FAB">
        <w:t xml:space="preserve">the </w:t>
      </w:r>
      <w:r w:rsidRPr="005E4FAB">
        <w:t>pH to 7.5.</w:t>
      </w:r>
      <w:r w:rsidR="004D1392" w:rsidRPr="005E4FAB">
        <w:t xml:space="preserve"> </w:t>
      </w:r>
      <w:r w:rsidRPr="005E4FAB">
        <w:t>Filter media using 0.22 µm filter.</w:t>
      </w:r>
    </w:p>
    <w:p w14:paraId="28D9DBBC" w14:textId="77777777" w:rsidR="004D1392" w:rsidRPr="005E4FAB" w:rsidRDefault="004D1392" w:rsidP="00376F01"/>
    <w:p w14:paraId="20506837" w14:textId="29FD8A49" w:rsidR="00191A79" w:rsidRPr="005E4FAB" w:rsidRDefault="00191A79" w:rsidP="00376F01">
      <w:r w:rsidRPr="005E4FAB">
        <w:t>1.5.</w:t>
      </w:r>
      <w:r w:rsidR="004D1392" w:rsidRPr="005E4FAB">
        <w:t>2.</w:t>
      </w:r>
      <w:r w:rsidRPr="005E4FAB">
        <w:t xml:space="preserve"> </w:t>
      </w:r>
      <w:r w:rsidR="004D1392" w:rsidRPr="005E4FAB">
        <w:t>Make single use a</w:t>
      </w:r>
      <w:r w:rsidRPr="005E4FAB">
        <w:t>liquot</w:t>
      </w:r>
      <w:r w:rsidR="004D1392" w:rsidRPr="005E4FAB">
        <w:t>s</w:t>
      </w:r>
      <w:r w:rsidRPr="005E4FAB">
        <w:t xml:space="preserve"> </w:t>
      </w:r>
      <w:r w:rsidR="004D1392" w:rsidRPr="005E4FAB">
        <w:t xml:space="preserve">(50 mL batches) </w:t>
      </w:r>
      <w:r w:rsidRPr="005E4FAB">
        <w:t>to prevent contamination.</w:t>
      </w:r>
      <w:r w:rsidR="004D1392" w:rsidRPr="005E4FAB">
        <w:t xml:space="preserve"> </w:t>
      </w:r>
      <w:r w:rsidRPr="005E4FAB">
        <w:t xml:space="preserve">Keep at 4 °C.  </w:t>
      </w:r>
    </w:p>
    <w:p w14:paraId="47BADAB9" w14:textId="77777777" w:rsidR="00191A79" w:rsidRPr="005E4FAB" w:rsidRDefault="00191A79" w:rsidP="00376F01"/>
    <w:p w14:paraId="6665D5C1" w14:textId="1F9ACC0C" w:rsidR="00191A79" w:rsidRPr="005E4FAB" w:rsidRDefault="00191A79" w:rsidP="00376F01">
      <w:r w:rsidRPr="005E4FAB">
        <w:t>[</w:t>
      </w:r>
      <w:r w:rsidR="00723FB3" w:rsidRPr="005E4FAB">
        <w:t xml:space="preserve">Place </w:t>
      </w:r>
      <w:r w:rsidR="00723FB3" w:rsidRPr="005E4FAB">
        <w:rPr>
          <w:b/>
          <w:bCs/>
        </w:rPr>
        <w:t>Table 5</w:t>
      </w:r>
      <w:r w:rsidR="00723FB3" w:rsidRPr="005E4FAB">
        <w:t xml:space="preserve"> here</w:t>
      </w:r>
      <w:r w:rsidRPr="005E4FAB">
        <w:t>]</w:t>
      </w:r>
    </w:p>
    <w:p w14:paraId="6BC63230" w14:textId="77777777" w:rsidR="00191A79" w:rsidRPr="00933326" w:rsidRDefault="00191A79" w:rsidP="00376F01"/>
    <w:p w14:paraId="47EEAB9F" w14:textId="46D9E3F6" w:rsidR="002C74F0" w:rsidRPr="00933326" w:rsidRDefault="00191A79" w:rsidP="00E936C2">
      <w:pPr>
        <w:pStyle w:val="ListParagraph"/>
        <w:numPr>
          <w:ilvl w:val="1"/>
          <w:numId w:val="5"/>
        </w:numPr>
        <w:ind w:left="0" w:firstLine="0"/>
      </w:pPr>
      <w:r w:rsidRPr="00933326">
        <w:t xml:space="preserve">Injection </w:t>
      </w:r>
      <w:r w:rsidR="00933326" w:rsidRPr="00933326">
        <w:t>m</w:t>
      </w:r>
      <w:r w:rsidRPr="00933326">
        <w:t>olds</w:t>
      </w:r>
    </w:p>
    <w:p w14:paraId="251129AB" w14:textId="77777777" w:rsidR="002C74F0" w:rsidRPr="00933326" w:rsidRDefault="002C74F0" w:rsidP="00376F01">
      <w:pPr>
        <w:pStyle w:val="ListParagraph"/>
        <w:ind w:left="0"/>
      </w:pPr>
    </w:p>
    <w:p w14:paraId="54D1358B" w14:textId="05181B15" w:rsidR="002C74F0" w:rsidRPr="005E4FAB" w:rsidRDefault="00191A79" w:rsidP="00E936C2">
      <w:pPr>
        <w:pStyle w:val="ListParagraph"/>
        <w:numPr>
          <w:ilvl w:val="2"/>
          <w:numId w:val="5"/>
        </w:numPr>
        <w:ind w:left="0" w:firstLine="0"/>
        <w:rPr>
          <w:b/>
          <w:bCs/>
        </w:rPr>
      </w:pPr>
      <w:r w:rsidRPr="005E4FAB">
        <w:t>Dissolve 1.5% agarose in E3 media.</w:t>
      </w:r>
      <w:r w:rsidR="004D1392" w:rsidRPr="005E4FAB">
        <w:rPr>
          <w:b/>
          <w:bCs/>
        </w:rPr>
        <w:t xml:space="preserve"> </w:t>
      </w:r>
      <w:r w:rsidRPr="005E4FAB">
        <w:t xml:space="preserve">Pour </w:t>
      </w:r>
      <w:r w:rsidR="009B4AC0" w:rsidRPr="005E4FAB">
        <w:t xml:space="preserve">~ </w:t>
      </w:r>
      <w:r w:rsidR="00D06963" w:rsidRPr="005E4FAB">
        <w:t xml:space="preserve">25 mL of agarose </w:t>
      </w:r>
      <w:r w:rsidR="004D1392" w:rsidRPr="005E4FAB">
        <w:t>in a 100 x 15 mm</w:t>
      </w:r>
      <w:r w:rsidRPr="005E4FAB">
        <w:t xml:space="preserve"> </w:t>
      </w:r>
      <w:r w:rsidR="004D1392" w:rsidRPr="005E4FAB">
        <w:t>P</w:t>
      </w:r>
      <w:r w:rsidRPr="005E4FAB">
        <w:t>etri dish.</w:t>
      </w:r>
    </w:p>
    <w:p w14:paraId="25BBF9DF" w14:textId="77777777" w:rsidR="002C74F0" w:rsidRPr="005E4FAB" w:rsidRDefault="002C74F0" w:rsidP="00376F01">
      <w:pPr>
        <w:pStyle w:val="ListParagraph"/>
        <w:ind w:left="0"/>
      </w:pPr>
    </w:p>
    <w:p w14:paraId="188AC72D" w14:textId="4AECEC7F" w:rsidR="002C74F0" w:rsidRPr="005E4FAB" w:rsidRDefault="009B4AC0" w:rsidP="00E936C2">
      <w:pPr>
        <w:pStyle w:val="ListParagraph"/>
        <w:numPr>
          <w:ilvl w:val="2"/>
          <w:numId w:val="5"/>
        </w:numPr>
        <w:ind w:left="0" w:firstLine="0"/>
        <w:rPr>
          <w:b/>
          <w:bCs/>
        </w:rPr>
      </w:pPr>
      <w:r w:rsidRPr="005E4FAB">
        <w:t>Lay down the mold on top of the agarose with a 45</w:t>
      </w:r>
      <w:r w:rsidR="004D1392" w:rsidRPr="005E4FAB">
        <w:t>˚</w:t>
      </w:r>
      <w:r w:rsidRPr="005E4FAB">
        <w:t xml:space="preserve"> angle </w:t>
      </w:r>
      <w:r w:rsidR="008C425A">
        <w:t xml:space="preserve">with respect to the surface, </w:t>
      </w:r>
      <w:r w:rsidRPr="005E4FAB">
        <w:t>and let it float on agarose with a slow motion.</w:t>
      </w:r>
      <w:r w:rsidR="0019514C" w:rsidRPr="005E4FAB">
        <w:t xml:space="preserve"> This will help avoiding bubbles</w:t>
      </w:r>
      <w:r w:rsidR="004D1392" w:rsidRPr="005E4FAB">
        <w:t xml:space="preserve">. </w:t>
      </w:r>
      <w:r w:rsidR="00191A79" w:rsidRPr="005E4FAB">
        <w:t xml:space="preserve">Let </w:t>
      </w:r>
      <w:r w:rsidR="0019514C" w:rsidRPr="005E4FAB">
        <w:t>the agarose</w:t>
      </w:r>
      <w:r w:rsidR="00191A79" w:rsidRPr="005E4FAB">
        <w:t xml:space="preserve"> cool down and solidify on bench top.</w:t>
      </w:r>
    </w:p>
    <w:p w14:paraId="01510F31" w14:textId="77777777" w:rsidR="002C74F0" w:rsidRPr="005E4FAB" w:rsidRDefault="002C74F0" w:rsidP="00376F01">
      <w:pPr>
        <w:pStyle w:val="ListParagraph"/>
        <w:ind w:left="0"/>
      </w:pPr>
    </w:p>
    <w:p w14:paraId="43C9E0A1" w14:textId="6B5735C6" w:rsidR="00191A79" w:rsidRPr="005E4FAB" w:rsidRDefault="00191A79" w:rsidP="00E936C2">
      <w:pPr>
        <w:pStyle w:val="ListParagraph"/>
        <w:numPr>
          <w:ilvl w:val="2"/>
          <w:numId w:val="5"/>
        </w:numPr>
        <w:ind w:left="0" w:firstLine="0"/>
        <w:rPr>
          <w:b/>
          <w:bCs/>
        </w:rPr>
      </w:pPr>
      <w:r w:rsidRPr="005E4FAB">
        <w:t>Once completely solidified, remove the mold slowly to prevent breaking of agarose.</w:t>
      </w:r>
      <w:r w:rsidR="004D1392" w:rsidRPr="005E4FAB">
        <w:rPr>
          <w:b/>
          <w:bCs/>
        </w:rPr>
        <w:t xml:space="preserve"> </w:t>
      </w:r>
      <w:r w:rsidRPr="005E4FAB">
        <w:t xml:space="preserve">Add fresh E3 media, </w:t>
      </w:r>
      <w:r w:rsidR="005074ED" w:rsidRPr="005E4FAB">
        <w:t xml:space="preserve">add </w:t>
      </w:r>
      <w:r w:rsidRPr="005E4FAB">
        <w:t>paraf</w:t>
      </w:r>
      <w:r w:rsidR="00E050B1">
        <w:t>fin film</w:t>
      </w:r>
      <w:r w:rsidR="005074ED" w:rsidRPr="005E4FAB">
        <w:t xml:space="preserve"> around </w:t>
      </w:r>
      <w:r w:rsidR="00E050B1">
        <w:t xml:space="preserve">the </w:t>
      </w:r>
      <w:r w:rsidR="005074ED" w:rsidRPr="005E4FAB">
        <w:t>dish to prevent spills,</w:t>
      </w:r>
      <w:r w:rsidRPr="005E4FAB">
        <w:t xml:space="preserve"> and store at 4 °C</w:t>
      </w:r>
      <w:r w:rsidR="00933326">
        <w:t xml:space="preserve"> (</w:t>
      </w:r>
      <w:r w:rsidR="00933326" w:rsidRPr="00933326">
        <w:rPr>
          <w:b/>
          <w:bCs/>
        </w:rPr>
        <w:t>Figure 3</w:t>
      </w:r>
      <w:r w:rsidR="00933326">
        <w:t>)</w:t>
      </w:r>
      <w:r w:rsidRPr="005E4FAB">
        <w:t>.</w:t>
      </w:r>
    </w:p>
    <w:p w14:paraId="7398735F" w14:textId="779573E8" w:rsidR="00FA522A" w:rsidRPr="00933326" w:rsidRDefault="00FA522A" w:rsidP="00376F01"/>
    <w:p w14:paraId="54AD1F6E" w14:textId="4D8DC764" w:rsidR="002C74F0" w:rsidRPr="00933326" w:rsidRDefault="00FA522A" w:rsidP="00376F01">
      <w:r w:rsidRPr="00933326">
        <w:t xml:space="preserve">[Place </w:t>
      </w:r>
      <w:r w:rsidRPr="00933326">
        <w:rPr>
          <w:b/>
          <w:bCs/>
        </w:rPr>
        <w:t xml:space="preserve">Figure </w:t>
      </w:r>
      <w:r w:rsidR="00242F76" w:rsidRPr="00933326">
        <w:rPr>
          <w:b/>
          <w:bCs/>
        </w:rPr>
        <w:t>3</w:t>
      </w:r>
      <w:r w:rsidR="005167A5" w:rsidRPr="00933326">
        <w:t xml:space="preserve"> </w:t>
      </w:r>
      <w:r w:rsidRPr="00933326">
        <w:t>here]</w:t>
      </w:r>
    </w:p>
    <w:p w14:paraId="2A2A286A" w14:textId="77777777" w:rsidR="002C74F0" w:rsidRPr="00933326" w:rsidRDefault="002C74F0" w:rsidP="00376F01"/>
    <w:p w14:paraId="32BB614C" w14:textId="38DA625D" w:rsidR="00191A79" w:rsidRPr="005E4FAB" w:rsidRDefault="00191A79" w:rsidP="00376F01">
      <w:pPr>
        <w:rPr>
          <w:b/>
          <w:bCs/>
        </w:rPr>
      </w:pPr>
      <w:r w:rsidRPr="005E4FAB">
        <w:rPr>
          <w:b/>
          <w:bCs/>
        </w:rPr>
        <w:t xml:space="preserve">2. Preparation and injection of </w:t>
      </w:r>
      <w:r w:rsidR="002A2E83" w:rsidRPr="005E4FAB">
        <w:rPr>
          <w:b/>
          <w:bCs/>
        </w:rPr>
        <w:t>roGFP2-Orp1</w:t>
      </w:r>
      <w:r w:rsidRPr="005E4FAB">
        <w:rPr>
          <w:b/>
          <w:bCs/>
        </w:rPr>
        <w:t xml:space="preserve"> mRNA</w:t>
      </w:r>
    </w:p>
    <w:p w14:paraId="59906E29" w14:textId="77777777" w:rsidR="00191A79" w:rsidRPr="005E4FAB" w:rsidRDefault="00191A79" w:rsidP="00376F01"/>
    <w:p w14:paraId="4F81E04B" w14:textId="53680141" w:rsidR="00F36CA8" w:rsidRPr="005E4FAB" w:rsidRDefault="004D1392" w:rsidP="00376F01">
      <w:r w:rsidRPr="005E4FAB">
        <w:t xml:space="preserve">NOTE: </w:t>
      </w:r>
      <w:r w:rsidR="002A2E83" w:rsidRPr="005E4FAB">
        <w:t>roGFP2-Orp1</w:t>
      </w:r>
      <w:r w:rsidR="00191A79" w:rsidRPr="005E4FAB">
        <w:t xml:space="preserve"> </w:t>
      </w:r>
      <w:r w:rsidR="00D43046" w:rsidRPr="005E4FAB">
        <w:t>construct</w:t>
      </w:r>
      <w:r w:rsidR="00191A79" w:rsidRPr="005E4FAB">
        <w:t xml:space="preserve"> </w:t>
      </w:r>
      <w:r w:rsidRPr="005E4FAB">
        <w:t xml:space="preserve">was obtained </w:t>
      </w:r>
      <w:r w:rsidR="00191A79" w:rsidRPr="005E4FAB">
        <w:t>from Dr. Tobias Dick</w:t>
      </w:r>
      <w:r w:rsidRPr="005E4FAB">
        <w:t xml:space="preserve">, </w:t>
      </w:r>
      <w:r w:rsidR="00191A79" w:rsidRPr="005E4FAB">
        <w:t xml:space="preserve">DKFZ, Germany. It was sub-cloned into </w:t>
      </w:r>
      <w:r w:rsidR="00D43046" w:rsidRPr="005E4FAB">
        <w:t xml:space="preserve">the </w:t>
      </w:r>
      <w:r w:rsidR="00191A79" w:rsidRPr="005E4FAB">
        <w:t xml:space="preserve">pCS2+ vector </w:t>
      </w:r>
      <w:r w:rsidRPr="005E4FAB">
        <w:t xml:space="preserve">in </w:t>
      </w:r>
      <w:r w:rsidR="00191A79" w:rsidRPr="005E4FAB">
        <w:t>Dr. Qing Deng</w:t>
      </w:r>
      <w:r w:rsidR="001A02F2">
        <w:t>’s</w:t>
      </w:r>
      <w:r w:rsidR="00846D0B" w:rsidRPr="005E4FAB">
        <w:t xml:space="preserve"> Lab</w:t>
      </w:r>
      <w:r w:rsidRPr="005E4FAB">
        <w:t xml:space="preserve">, </w:t>
      </w:r>
      <w:r w:rsidR="00191A79" w:rsidRPr="005E4FAB">
        <w:t>Purdue University.</w:t>
      </w:r>
      <w:r w:rsidRPr="005E4FAB">
        <w:t xml:space="preserve"> </w:t>
      </w:r>
      <w:r w:rsidR="00F36CA8" w:rsidRPr="005E4FAB">
        <w:t>To prevent degradation by RNase, several precautions must be taken. RNase-free reagents and tubes must be used at all times, gloves must be worn for all steps</w:t>
      </w:r>
      <w:r w:rsidR="00D43046" w:rsidRPr="005E4FAB">
        <w:t>,</w:t>
      </w:r>
      <w:r w:rsidR="00F36CA8" w:rsidRPr="005E4FAB">
        <w:t xml:space="preserve"> and</w:t>
      </w:r>
      <w:r w:rsidR="00D43046" w:rsidRPr="005E4FAB">
        <w:t>,</w:t>
      </w:r>
      <w:r w:rsidR="00F36CA8" w:rsidRPr="005E4FAB">
        <w:t xml:space="preserve"> alternatively, materials and surfaces can be wiped with a cleaning agent for RNase removal. </w:t>
      </w:r>
    </w:p>
    <w:p w14:paraId="067EF4CC" w14:textId="77777777" w:rsidR="00F36CA8" w:rsidRPr="005E4FAB" w:rsidRDefault="00F36CA8" w:rsidP="00376F01"/>
    <w:p w14:paraId="1A5ECD49" w14:textId="77777777" w:rsidR="00846D0B" w:rsidRPr="005E4FAB" w:rsidRDefault="00191A79" w:rsidP="00E936C2">
      <w:pPr>
        <w:pStyle w:val="ListParagraph"/>
        <w:numPr>
          <w:ilvl w:val="1"/>
          <w:numId w:val="6"/>
        </w:numPr>
        <w:ind w:left="0" w:firstLine="0"/>
      </w:pPr>
      <w:r w:rsidRPr="005E4FAB">
        <w:t>Linearize the 3-10 µg of pCS2+/</w:t>
      </w:r>
      <w:r w:rsidR="002A2E83" w:rsidRPr="005E4FAB">
        <w:t>roGFP2-Orp1</w:t>
      </w:r>
      <w:r w:rsidRPr="005E4FAB">
        <w:t xml:space="preserve"> vector with </w:t>
      </w:r>
      <w:proofErr w:type="spellStart"/>
      <w:r w:rsidRPr="005E4FAB">
        <w:t>NotI</w:t>
      </w:r>
      <w:proofErr w:type="spellEnd"/>
      <w:r w:rsidRPr="005E4FAB">
        <w:t>.</w:t>
      </w:r>
      <w:r w:rsidR="00846D0B" w:rsidRPr="005E4FAB">
        <w:t xml:space="preserve"> </w:t>
      </w:r>
    </w:p>
    <w:p w14:paraId="11F03D4F" w14:textId="77777777" w:rsidR="00846D0B" w:rsidRPr="005E4FAB" w:rsidRDefault="00846D0B" w:rsidP="00376F01">
      <w:pPr>
        <w:pStyle w:val="ListParagraph"/>
        <w:ind w:left="0"/>
      </w:pPr>
    </w:p>
    <w:p w14:paraId="5975299C" w14:textId="77777777" w:rsidR="00846D0B" w:rsidRPr="005E4FAB" w:rsidRDefault="00191A79" w:rsidP="00E936C2">
      <w:pPr>
        <w:pStyle w:val="ListParagraph"/>
        <w:numPr>
          <w:ilvl w:val="1"/>
          <w:numId w:val="6"/>
        </w:numPr>
        <w:ind w:left="0" w:firstLine="0"/>
      </w:pPr>
      <w:r w:rsidRPr="005E4FAB">
        <w:t xml:space="preserve">Purify the linearized plasmid with </w:t>
      </w:r>
      <w:r w:rsidR="00923123" w:rsidRPr="005E4FAB">
        <w:t xml:space="preserve">a </w:t>
      </w:r>
      <w:r w:rsidRPr="005E4FAB">
        <w:t xml:space="preserve">PCR </w:t>
      </w:r>
      <w:r w:rsidR="00923123" w:rsidRPr="005E4FAB">
        <w:t xml:space="preserve">clean-up </w:t>
      </w:r>
      <w:r w:rsidRPr="005E4FAB">
        <w:t>kit.</w:t>
      </w:r>
    </w:p>
    <w:p w14:paraId="502BDD46" w14:textId="77777777" w:rsidR="00846D0B" w:rsidRPr="005E4FAB" w:rsidRDefault="00846D0B" w:rsidP="00376F01">
      <w:pPr>
        <w:pStyle w:val="ListParagraph"/>
        <w:ind w:left="0"/>
      </w:pPr>
    </w:p>
    <w:p w14:paraId="6DB0E8D0" w14:textId="0AAD26B0" w:rsidR="00191A79" w:rsidRPr="005E4FAB" w:rsidRDefault="00191A79" w:rsidP="00E936C2">
      <w:pPr>
        <w:pStyle w:val="ListParagraph"/>
        <w:numPr>
          <w:ilvl w:val="1"/>
          <w:numId w:val="6"/>
        </w:numPr>
        <w:ind w:left="0" w:firstLine="0"/>
      </w:pPr>
      <w:r w:rsidRPr="005E4FAB">
        <w:lastRenderedPageBreak/>
        <w:t xml:space="preserve">In vitro transcribe the </w:t>
      </w:r>
      <w:r w:rsidR="002A2E83" w:rsidRPr="005E4FAB">
        <w:t>roGFP2-Orp1</w:t>
      </w:r>
      <w:r w:rsidRPr="005E4FAB">
        <w:t xml:space="preserve"> mRNA with </w:t>
      </w:r>
      <w:r w:rsidR="00AF7090" w:rsidRPr="005E4FAB">
        <w:t>an</w:t>
      </w:r>
      <w:r w:rsidRPr="005E4FAB">
        <w:t xml:space="preserve"> in vitro transcription kit according to the instructions</w:t>
      </w:r>
      <w:r w:rsidR="00846D0B" w:rsidRPr="005E4FAB">
        <w:t xml:space="preserve"> provided</w:t>
      </w:r>
      <w:r w:rsidRPr="005E4FAB">
        <w:t xml:space="preserve"> by the manufacturer.</w:t>
      </w:r>
    </w:p>
    <w:p w14:paraId="36E0544C" w14:textId="77777777" w:rsidR="00191A79" w:rsidRPr="00933326" w:rsidRDefault="00191A79" w:rsidP="00376F01">
      <w:pPr>
        <w:pStyle w:val="ListParagraph"/>
        <w:ind w:left="0"/>
      </w:pPr>
    </w:p>
    <w:p w14:paraId="570EAE44" w14:textId="414D4F90" w:rsidR="00191A79" w:rsidRPr="00933326" w:rsidRDefault="00191A79" w:rsidP="00933326">
      <w:pPr>
        <w:pStyle w:val="ListParagraph"/>
        <w:numPr>
          <w:ilvl w:val="2"/>
          <w:numId w:val="6"/>
        </w:numPr>
      </w:pPr>
      <w:r w:rsidRPr="00933326">
        <w:t xml:space="preserve">Capped </w:t>
      </w:r>
      <w:r w:rsidR="00933326">
        <w:t>t</w:t>
      </w:r>
      <w:r w:rsidRPr="00933326">
        <w:t xml:space="preserve">ranscription </w:t>
      </w:r>
      <w:r w:rsidR="00933326">
        <w:t>r</w:t>
      </w:r>
      <w:r w:rsidRPr="00933326">
        <w:t xml:space="preserve">eaction </w:t>
      </w:r>
      <w:r w:rsidR="00933326">
        <w:t>a</w:t>
      </w:r>
      <w:r w:rsidRPr="00933326">
        <w:t>ssembly</w:t>
      </w:r>
    </w:p>
    <w:p w14:paraId="69404B8E" w14:textId="77777777" w:rsidR="00191A79" w:rsidRPr="005E4FAB" w:rsidRDefault="00191A79" w:rsidP="00376F01">
      <w:pPr>
        <w:pStyle w:val="ListParagraph"/>
        <w:ind w:left="0"/>
      </w:pPr>
    </w:p>
    <w:p w14:paraId="6BE1E8BD" w14:textId="76919DFF" w:rsidR="00933326" w:rsidRDefault="00191A79" w:rsidP="00933326">
      <w:pPr>
        <w:pStyle w:val="ListParagraph"/>
        <w:numPr>
          <w:ilvl w:val="3"/>
          <w:numId w:val="6"/>
        </w:numPr>
      </w:pPr>
      <w:r w:rsidRPr="005E4FAB">
        <w:t>Place RNA polymerase and linearized/purified DNA on ice. Vortex 10</w:t>
      </w:r>
      <w:r w:rsidR="00E050B1">
        <w:t>x</w:t>
      </w:r>
      <w:r w:rsidRPr="005E4FAB">
        <w:t xml:space="preserve"> reaction buffer and </w:t>
      </w:r>
      <w:r w:rsidR="00AE7EAA" w:rsidRPr="005E4FAB">
        <w:t>2</w:t>
      </w:r>
      <w:r w:rsidR="00E050B1">
        <w:t>x</w:t>
      </w:r>
      <w:r w:rsidR="00AE7EAA" w:rsidRPr="005E4FAB">
        <w:t xml:space="preserve"> </w:t>
      </w:r>
      <w:r w:rsidRPr="005E4FAB">
        <w:t>NTP/CAP until they are completely in solution. Store NTP/CAP on ice but keep the buffer at room temperature (RT) while assembling the reaction. Touch</w:t>
      </w:r>
      <w:r w:rsidR="005415B2">
        <w:t>-</w:t>
      </w:r>
      <w:r w:rsidRPr="005E4FAB">
        <w:t>spin all reagents before opening tubes to prevent contamination.</w:t>
      </w:r>
    </w:p>
    <w:p w14:paraId="5EEB47E9" w14:textId="77777777" w:rsidR="00933326" w:rsidRDefault="00933326" w:rsidP="00933326">
      <w:pPr>
        <w:pStyle w:val="ListParagraph"/>
        <w:ind w:left="0"/>
      </w:pPr>
    </w:p>
    <w:p w14:paraId="2968B828" w14:textId="77777777" w:rsidR="00933326" w:rsidRDefault="00191A79" w:rsidP="00933326">
      <w:pPr>
        <w:pStyle w:val="ListParagraph"/>
        <w:numPr>
          <w:ilvl w:val="3"/>
          <w:numId w:val="6"/>
        </w:numPr>
      </w:pPr>
      <w:r w:rsidRPr="005E4FAB">
        <w:t xml:space="preserve">Set up RNA synthesis reaction in </w:t>
      </w:r>
      <w:r w:rsidR="00C86B30" w:rsidRPr="005E4FAB">
        <w:t xml:space="preserve">the </w:t>
      </w:r>
      <w:r w:rsidRPr="005E4FAB">
        <w:t>order</w:t>
      </w:r>
      <w:r w:rsidR="00C86B30" w:rsidRPr="005E4FAB">
        <w:t xml:space="preserve"> indicated below</w:t>
      </w:r>
      <w:r w:rsidRPr="005E4FAB">
        <w:t xml:space="preserve"> at RT in an RNase</w:t>
      </w:r>
      <w:r w:rsidR="00C86B30" w:rsidRPr="005E4FAB">
        <w:t>-</w:t>
      </w:r>
      <w:r w:rsidRPr="005E4FAB">
        <w:t>free 0.5 m</w:t>
      </w:r>
      <w:r w:rsidR="005E4FAB">
        <w:t>L</w:t>
      </w:r>
      <w:r w:rsidRPr="005E4FAB">
        <w:t xml:space="preserve"> centrifuge tube. Final volume of the reaction is 20 µL.</w:t>
      </w:r>
      <w:r w:rsidR="005B35AB" w:rsidRPr="005E4FAB">
        <w:t xml:space="preserve"> Reaction setup is shown in </w:t>
      </w:r>
      <w:r w:rsidR="005B35AB" w:rsidRPr="00933326">
        <w:rPr>
          <w:b/>
          <w:bCs/>
        </w:rPr>
        <w:t>Table 6</w:t>
      </w:r>
      <w:r w:rsidR="005B35AB" w:rsidRPr="005415B2">
        <w:t>.</w:t>
      </w:r>
    </w:p>
    <w:p w14:paraId="1940EB41" w14:textId="77777777" w:rsidR="00933326" w:rsidRDefault="00933326" w:rsidP="00933326">
      <w:pPr>
        <w:pStyle w:val="ListParagraph"/>
      </w:pPr>
    </w:p>
    <w:p w14:paraId="7DE14047" w14:textId="2D9531E3" w:rsidR="00933326" w:rsidRDefault="00191A79" w:rsidP="00933326">
      <w:pPr>
        <w:pStyle w:val="ListParagraph"/>
        <w:numPr>
          <w:ilvl w:val="3"/>
          <w:numId w:val="6"/>
        </w:numPr>
      </w:pPr>
      <w:r w:rsidRPr="005E4FAB">
        <w:t>Add 10 µ</w:t>
      </w:r>
      <w:r w:rsidR="005E4FAB">
        <w:t>L of</w:t>
      </w:r>
      <w:r w:rsidRPr="005E4FAB">
        <w:t xml:space="preserve"> ribonucleotide mix, 2</w:t>
      </w:r>
      <w:r w:rsidR="00E050B1">
        <w:t>x</w:t>
      </w:r>
      <w:r w:rsidRPr="005E4FAB">
        <w:t xml:space="preserve"> NTP/C</w:t>
      </w:r>
      <w:r w:rsidR="00AF7090" w:rsidRPr="005E4FAB">
        <w:t>AP</w:t>
      </w:r>
      <w:r w:rsidRPr="005E4FAB">
        <w:t>, and nuclease free water, if needed to the tube</w:t>
      </w:r>
      <w:r w:rsidR="005E4FAB">
        <w:t xml:space="preserve">. </w:t>
      </w:r>
      <w:r w:rsidRPr="005E4FAB">
        <w:t>Add 2 µL 10</w:t>
      </w:r>
      <w:r w:rsidR="00061C05" w:rsidRPr="005E4FAB">
        <w:t>X</w:t>
      </w:r>
      <w:r w:rsidRPr="005E4FAB">
        <w:t xml:space="preserve"> reaction buffer.</w:t>
      </w:r>
      <w:r w:rsidR="005E4FAB">
        <w:t xml:space="preserve"> </w:t>
      </w:r>
      <w:r w:rsidRPr="005E4FAB">
        <w:t>Add 1-1.5 µg of linear DNA</w:t>
      </w:r>
      <w:r w:rsidR="001941A7" w:rsidRPr="005E4FAB">
        <w:t xml:space="preserve"> (up to 6 µL)</w:t>
      </w:r>
      <w:r w:rsidRPr="005E4FAB">
        <w:t>.</w:t>
      </w:r>
      <w:r w:rsidR="00E050B1">
        <w:t xml:space="preserve"> </w:t>
      </w:r>
      <w:r w:rsidR="001941A7" w:rsidRPr="005E4FAB">
        <w:t>If needed, add nuclease-free water to make up 20 µL reaction volume.</w:t>
      </w:r>
    </w:p>
    <w:p w14:paraId="40E8F821" w14:textId="77777777" w:rsidR="00933326" w:rsidRDefault="00933326" w:rsidP="00933326">
      <w:pPr>
        <w:pStyle w:val="ListParagraph"/>
      </w:pPr>
    </w:p>
    <w:p w14:paraId="7E07D1C3" w14:textId="7EA090A4" w:rsidR="00933326" w:rsidRDefault="00191A79" w:rsidP="00933326">
      <w:pPr>
        <w:pStyle w:val="ListParagraph"/>
        <w:numPr>
          <w:ilvl w:val="3"/>
          <w:numId w:val="6"/>
        </w:numPr>
      </w:pPr>
      <w:r w:rsidRPr="005E4FAB">
        <w:t>Close</w:t>
      </w:r>
      <w:r w:rsidR="00E050B1">
        <w:t xml:space="preserve"> the</w:t>
      </w:r>
      <w:r w:rsidRPr="005E4FAB">
        <w:t xml:space="preserve"> tube, vortex briefly and touch-spin microfuge.</w:t>
      </w:r>
      <w:r w:rsidR="005E4FAB">
        <w:t xml:space="preserve"> </w:t>
      </w:r>
      <w:r w:rsidRPr="005E4FAB">
        <w:t>Add 2 µ</w:t>
      </w:r>
      <w:r w:rsidR="00E050B1">
        <w:t>L</w:t>
      </w:r>
      <w:r w:rsidRPr="005E4FAB">
        <w:t xml:space="preserve"> of 10</w:t>
      </w:r>
      <w:r w:rsidR="005E4FAB">
        <w:t>x</w:t>
      </w:r>
      <w:r w:rsidRPr="005E4FAB">
        <w:t xml:space="preserve"> SP6 enzyme mix. </w:t>
      </w:r>
      <w:r w:rsidR="005E4FAB">
        <w:t>Close with a f</w:t>
      </w:r>
      <w:r w:rsidRPr="005E4FAB">
        <w:t xml:space="preserve">inger click and touch-spin </w:t>
      </w:r>
      <w:r w:rsidR="005E4FAB">
        <w:t xml:space="preserve">in a </w:t>
      </w:r>
      <w:r w:rsidRPr="005E4FAB">
        <w:t>microfuge.</w:t>
      </w:r>
    </w:p>
    <w:p w14:paraId="4ACBAA1A" w14:textId="77777777" w:rsidR="00933326" w:rsidRDefault="00933326" w:rsidP="00933326">
      <w:pPr>
        <w:pStyle w:val="ListParagraph"/>
      </w:pPr>
    </w:p>
    <w:p w14:paraId="574FF62D" w14:textId="0689AB68" w:rsidR="00933326" w:rsidRDefault="00191A79" w:rsidP="00933326">
      <w:pPr>
        <w:pStyle w:val="ListParagraph"/>
        <w:numPr>
          <w:ilvl w:val="3"/>
          <w:numId w:val="6"/>
        </w:numPr>
      </w:pPr>
      <w:r w:rsidRPr="005E4FAB">
        <w:t>Place in 37 °C for 2-2.5 h (can go up to 18 h).</w:t>
      </w:r>
      <w:r w:rsidR="00846D0B" w:rsidRPr="005E4FAB">
        <w:t xml:space="preserve"> </w:t>
      </w:r>
    </w:p>
    <w:p w14:paraId="6CA4C1BD" w14:textId="77777777" w:rsidR="00933326" w:rsidRDefault="00933326" w:rsidP="00933326">
      <w:pPr>
        <w:pStyle w:val="ListParagraph"/>
      </w:pPr>
    </w:p>
    <w:p w14:paraId="281116AF" w14:textId="31063C9C" w:rsidR="00933326" w:rsidRDefault="00191A79" w:rsidP="00933326">
      <w:pPr>
        <w:pStyle w:val="ListParagraph"/>
        <w:ind w:left="0"/>
      </w:pPr>
      <w:r w:rsidRPr="005E4FAB">
        <w:t>NOTE:</w:t>
      </w:r>
      <w:r w:rsidR="005E4FAB" w:rsidRPr="005E4FAB">
        <w:t xml:space="preserve"> </w:t>
      </w:r>
      <w:r w:rsidR="005E4FAB">
        <w:t>In the presented experiment overnight</w:t>
      </w:r>
      <w:r w:rsidRPr="005E4FAB">
        <w:t xml:space="preserve"> 16-18 h</w:t>
      </w:r>
      <w:r w:rsidR="005E4FAB">
        <w:t xml:space="preserve"> incubation</w:t>
      </w:r>
      <w:r w:rsidRPr="005E4FAB">
        <w:t xml:space="preserve"> at 37 °C </w:t>
      </w:r>
      <w:r w:rsidR="005E4FAB">
        <w:t xml:space="preserve">was performed </w:t>
      </w:r>
      <w:r w:rsidRPr="005E4FAB">
        <w:t>for best results.</w:t>
      </w:r>
    </w:p>
    <w:p w14:paraId="3A48EC9B" w14:textId="77777777" w:rsidR="00933326" w:rsidRDefault="00933326" w:rsidP="00933326">
      <w:pPr>
        <w:pStyle w:val="ListParagraph"/>
      </w:pPr>
    </w:p>
    <w:p w14:paraId="4F6D5391" w14:textId="1EF7EE05" w:rsidR="00191A79" w:rsidRPr="005E4FAB" w:rsidRDefault="00191A79" w:rsidP="00933326">
      <w:pPr>
        <w:pStyle w:val="ListParagraph"/>
        <w:numPr>
          <w:ilvl w:val="3"/>
          <w:numId w:val="6"/>
        </w:numPr>
      </w:pPr>
      <w:r w:rsidRPr="005E4FAB">
        <w:t>Add 1</w:t>
      </w:r>
      <w:r w:rsidR="00E050B1">
        <w:t xml:space="preserve"> </w:t>
      </w:r>
      <w:r w:rsidRPr="005E4FAB">
        <w:t xml:space="preserve">µL </w:t>
      </w:r>
      <w:r w:rsidR="005E4FAB">
        <w:t xml:space="preserve">of </w:t>
      </w:r>
      <w:r w:rsidRPr="005E4FAB">
        <w:t>DN</w:t>
      </w:r>
      <w:r w:rsidR="005E4FAB">
        <w:t>a</w:t>
      </w:r>
      <w:r w:rsidRPr="005E4FAB">
        <w:t>se to remove DNA template, finger click, touch spin</w:t>
      </w:r>
      <w:r w:rsidR="00C86B30" w:rsidRPr="005E4FAB">
        <w:t>,</w:t>
      </w:r>
      <w:r w:rsidRPr="005E4FAB">
        <w:t xml:space="preserve"> and incubate at 37 °C for 15 min. </w:t>
      </w:r>
    </w:p>
    <w:p w14:paraId="2E3DD5F7" w14:textId="56C4D5F6" w:rsidR="00AE7EAA" w:rsidRPr="005E4FAB" w:rsidRDefault="00AE7EAA" w:rsidP="00376F01"/>
    <w:p w14:paraId="585110B6" w14:textId="1F166142" w:rsidR="00AE7EAA" w:rsidRPr="005E4FAB" w:rsidRDefault="00AE7EAA" w:rsidP="00376F01">
      <w:r w:rsidRPr="005E4FAB">
        <w:t xml:space="preserve">[Place </w:t>
      </w:r>
      <w:r w:rsidRPr="005E4FAB">
        <w:rPr>
          <w:b/>
          <w:bCs/>
        </w:rPr>
        <w:t>Table 6</w:t>
      </w:r>
      <w:r w:rsidRPr="005E4FAB">
        <w:t xml:space="preserve"> here]</w:t>
      </w:r>
    </w:p>
    <w:p w14:paraId="04298ECE" w14:textId="77777777" w:rsidR="00846D0B" w:rsidRPr="005E4FAB" w:rsidRDefault="00846D0B" w:rsidP="00376F01">
      <w:pPr>
        <w:rPr>
          <w:u w:val="single"/>
        </w:rPr>
      </w:pPr>
    </w:p>
    <w:p w14:paraId="1BF02428" w14:textId="7453ABD2" w:rsidR="00191A79" w:rsidRPr="00933326" w:rsidRDefault="00191A79" w:rsidP="00933326">
      <w:pPr>
        <w:pStyle w:val="ListParagraph"/>
        <w:numPr>
          <w:ilvl w:val="2"/>
          <w:numId w:val="6"/>
        </w:numPr>
      </w:pPr>
      <w:r w:rsidRPr="00933326">
        <w:t xml:space="preserve">RNA </w:t>
      </w:r>
      <w:r w:rsidR="00933326">
        <w:t>r</w:t>
      </w:r>
      <w:r w:rsidRPr="00933326">
        <w:t xml:space="preserve">ecovery </w:t>
      </w:r>
    </w:p>
    <w:p w14:paraId="66A7E0AE" w14:textId="77777777" w:rsidR="00191A79" w:rsidRPr="00933326" w:rsidRDefault="00191A79" w:rsidP="00376F01">
      <w:pPr>
        <w:pStyle w:val="ListParagraph"/>
        <w:ind w:left="0"/>
        <w:rPr>
          <w:b/>
          <w:bCs/>
        </w:rPr>
      </w:pPr>
    </w:p>
    <w:p w14:paraId="5717FE7A" w14:textId="2255A9D2" w:rsidR="00376F01" w:rsidRPr="005E4FAB" w:rsidRDefault="00191A79" w:rsidP="00933326">
      <w:pPr>
        <w:pStyle w:val="ListParagraph"/>
        <w:numPr>
          <w:ilvl w:val="3"/>
          <w:numId w:val="6"/>
        </w:numPr>
      </w:pPr>
      <w:r w:rsidRPr="005E4FAB">
        <w:t xml:space="preserve">Add 25 µL </w:t>
      </w:r>
      <w:r w:rsidR="005E4FAB">
        <w:t xml:space="preserve">of </w:t>
      </w:r>
      <w:r w:rsidRPr="005E4FAB">
        <w:t>lithium chloride (LiCl) supplied in the</w:t>
      </w:r>
      <w:r w:rsidRPr="00E050B1">
        <w:rPr>
          <w:iCs/>
        </w:rPr>
        <w:t xml:space="preserve"> </w:t>
      </w:r>
      <w:r w:rsidR="00C86B30" w:rsidRPr="00E050B1">
        <w:rPr>
          <w:iCs/>
        </w:rPr>
        <w:t xml:space="preserve">in vitro </w:t>
      </w:r>
      <w:r w:rsidR="00C86B30" w:rsidRPr="005E4FAB">
        <w:t xml:space="preserve">transcription </w:t>
      </w:r>
      <w:r w:rsidRPr="005E4FAB">
        <w:t>kit.</w:t>
      </w:r>
      <w:r w:rsidR="005E4FAB">
        <w:t xml:space="preserve"> </w:t>
      </w:r>
      <w:r w:rsidRPr="005E4FAB">
        <w:t>Place at -20</w:t>
      </w:r>
      <w:r w:rsidR="005E4FAB">
        <w:t xml:space="preserve"> </w:t>
      </w:r>
      <w:r w:rsidRPr="005E4FAB">
        <w:t xml:space="preserve">°C in a non-frost freezer for at least 30 min. </w:t>
      </w:r>
    </w:p>
    <w:p w14:paraId="00D09207" w14:textId="77777777" w:rsidR="00376F01" w:rsidRPr="005E4FAB" w:rsidRDefault="00376F01" w:rsidP="00376F01">
      <w:pPr>
        <w:pStyle w:val="ListParagraph"/>
        <w:ind w:left="0"/>
      </w:pPr>
    </w:p>
    <w:p w14:paraId="07395D3B" w14:textId="57012EC9" w:rsidR="00376F01" w:rsidRPr="005E4FAB" w:rsidRDefault="00191A79" w:rsidP="00933326">
      <w:pPr>
        <w:pStyle w:val="ListParagraph"/>
        <w:numPr>
          <w:ilvl w:val="3"/>
          <w:numId w:val="6"/>
        </w:numPr>
      </w:pPr>
      <w:r w:rsidRPr="005E4FAB">
        <w:t xml:space="preserve">Spin for 25 min at maximum speed </w:t>
      </w:r>
      <w:r w:rsidR="00AF7090" w:rsidRPr="005E4FAB">
        <w:t>in a t</w:t>
      </w:r>
      <w:r w:rsidRPr="005E4FAB">
        <w:t xml:space="preserve">abletop </w:t>
      </w:r>
      <w:r w:rsidR="00AF7090" w:rsidRPr="005E4FAB">
        <w:t>c</w:t>
      </w:r>
      <w:r w:rsidRPr="005E4FAB">
        <w:t>entrifuge at 4</w:t>
      </w:r>
      <w:r w:rsidR="005E4FAB">
        <w:t xml:space="preserve"> </w:t>
      </w:r>
      <w:r w:rsidRPr="005E4FAB">
        <w:t>°C.</w:t>
      </w:r>
      <w:r w:rsidR="005E4FAB">
        <w:t xml:space="preserve"> </w:t>
      </w:r>
      <w:r w:rsidRPr="005E4FAB">
        <w:t>Remove and discard supernatant carefully, so as not to disturb pellet.</w:t>
      </w:r>
      <w:r w:rsidR="005E4FAB">
        <w:t xml:space="preserve"> </w:t>
      </w:r>
      <w:r w:rsidRPr="005E4FAB">
        <w:t>Add 25 µ</w:t>
      </w:r>
      <w:r w:rsidR="005E4FAB">
        <w:t>L</w:t>
      </w:r>
      <w:r w:rsidRPr="005E4FAB">
        <w:t xml:space="preserve"> of cold 75% ethanol and spin for 5 min at 4</w:t>
      </w:r>
      <w:r w:rsidR="005E4FAB">
        <w:t xml:space="preserve"> </w:t>
      </w:r>
      <w:r w:rsidRPr="005E4FAB">
        <w:t xml:space="preserve">°C. </w:t>
      </w:r>
    </w:p>
    <w:p w14:paraId="52024024" w14:textId="77777777" w:rsidR="00376F01" w:rsidRPr="005E4FAB" w:rsidRDefault="00376F01" w:rsidP="00376F01">
      <w:pPr>
        <w:pStyle w:val="ListParagraph"/>
        <w:ind w:left="0"/>
      </w:pPr>
    </w:p>
    <w:p w14:paraId="3FE004A9" w14:textId="723F0706" w:rsidR="00376F01" w:rsidRPr="005E4FAB" w:rsidRDefault="00191A79" w:rsidP="00933326">
      <w:pPr>
        <w:pStyle w:val="ListParagraph"/>
        <w:numPr>
          <w:ilvl w:val="3"/>
          <w:numId w:val="6"/>
        </w:numPr>
      </w:pPr>
      <w:r w:rsidRPr="005E4FAB">
        <w:t xml:space="preserve">Remove carefully and discard </w:t>
      </w:r>
      <w:r w:rsidR="00E050B1">
        <w:t xml:space="preserve">the </w:t>
      </w:r>
      <w:r w:rsidRPr="005E4FAB">
        <w:t>supernatant. Let pellet air dry for at least 5 min at RT.</w:t>
      </w:r>
      <w:r w:rsidR="005E4FAB">
        <w:t xml:space="preserve"> </w:t>
      </w:r>
      <w:r w:rsidRPr="005E4FAB">
        <w:t>Do not let over dry.</w:t>
      </w:r>
      <w:r w:rsidR="005E4FAB">
        <w:t xml:space="preserve"> </w:t>
      </w:r>
      <w:r w:rsidRPr="005E4FAB">
        <w:t>Add 12 µ</w:t>
      </w:r>
      <w:r w:rsidR="005E4FAB">
        <w:t>L</w:t>
      </w:r>
      <w:r w:rsidRPr="005E4FAB">
        <w:t xml:space="preserve"> of nuclease free </w:t>
      </w:r>
      <w:r w:rsidR="007111AD" w:rsidRPr="005E4FAB">
        <w:t xml:space="preserve">Tris-EDTA (TE) </w:t>
      </w:r>
      <w:r w:rsidRPr="005E4FAB">
        <w:t xml:space="preserve">buffer (pH 7.0) and keep </w:t>
      </w:r>
      <w:r w:rsidR="00E050B1">
        <w:t xml:space="preserve">the </w:t>
      </w:r>
      <w:r w:rsidRPr="005E4FAB">
        <w:t>sample on ice.</w:t>
      </w:r>
    </w:p>
    <w:p w14:paraId="6938A52C" w14:textId="77777777" w:rsidR="00376F01" w:rsidRPr="005E4FAB" w:rsidRDefault="00376F01" w:rsidP="00376F01">
      <w:pPr>
        <w:pStyle w:val="ListParagraph"/>
        <w:ind w:left="0"/>
      </w:pPr>
    </w:p>
    <w:p w14:paraId="3D2FC6FD" w14:textId="77777777" w:rsidR="00376F01" w:rsidRPr="005E4FAB" w:rsidRDefault="00191A79" w:rsidP="00933326">
      <w:pPr>
        <w:pStyle w:val="ListParagraph"/>
        <w:numPr>
          <w:ilvl w:val="3"/>
          <w:numId w:val="6"/>
        </w:numPr>
      </w:pPr>
      <w:r w:rsidRPr="005E4FAB">
        <w:t>Measure the RNA concentration</w:t>
      </w:r>
      <w:r w:rsidR="00F36CA8" w:rsidRPr="005E4FAB">
        <w:t xml:space="preserve"> with a spectrophotometer</w:t>
      </w:r>
      <w:r w:rsidRPr="005E4FAB">
        <w:t xml:space="preserve">. 0.5- 1 µg/µL is usually </w:t>
      </w:r>
      <w:r w:rsidRPr="005E4FAB">
        <w:lastRenderedPageBreak/>
        <w:t>obtained.</w:t>
      </w:r>
    </w:p>
    <w:p w14:paraId="61C74F4A" w14:textId="77777777" w:rsidR="00376F01" w:rsidRPr="005E4FAB" w:rsidRDefault="00376F01" w:rsidP="00376F01">
      <w:pPr>
        <w:pStyle w:val="ListParagraph"/>
        <w:ind w:left="0"/>
      </w:pPr>
    </w:p>
    <w:p w14:paraId="207D42BB" w14:textId="77777777" w:rsidR="00376F01" w:rsidRPr="005E4FAB" w:rsidRDefault="00191A79" w:rsidP="00933326">
      <w:pPr>
        <w:pStyle w:val="ListParagraph"/>
        <w:numPr>
          <w:ilvl w:val="3"/>
          <w:numId w:val="6"/>
        </w:numPr>
      </w:pPr>
      <w:r w:rsidRPr="005E4FAB">
        <w:t xml:space="preserve">Prepare 100 ng/µL mRNA in phenol red </w:t>
      </w:r>
      <w:r w:rsidR="00C86B30" w:rsidRPr="005E4FAB">
        <w:t xml:space="preserve">solution </w:t>
      </w:r>
      <w:r w:rsidRPr="005E4FAB">
        <w:t xml:space="preserve">(0.5% </w:t>
      </w:r>
      <w:r w:rsidR="00C86B30" w:rsidRPr="005E4FAB">
        <w:t xml:space="preserve">phenol red </w:t>
      </w:r>
      <w:r w:rsidRPr="005E4FAB">
        <w:t xml:space="preserve">in Dulbecco's phosphate-buffered saline -DPBS) and aliquot for single use (3-5 µL). Store the mRNA aliquots at – 80 °C. </w:t>
      </w:r>
    </w:p>
    <w:p w14:paraId="26DE2680" w14:textId="77777777" w:rsidR="00376F01" w:rsidRDefault="00376F01" w:rsidP="00376F01">
      <w:pPr>
        <w:pStyle w:val="ListParagraph"/>
        <w:ind w:left="0"/>
      </w:pPr>
    </w:p>
    <w:p w14:paraId="0660F8F9" w14:textId="2DC36CD5" w:rsidR="00B06B3D" w:rsidRDefault="00B06B3D" w:rsidP="00DF041B">
      <w:pPr>
        <w:pStyle w:val="ListParagraph"/>
        <w:numPr>
          <w:ilvl w:val="1"/>
          <w:numId w:val="16"/>
        </w:numPr>
      </w:pPr>
      <w:r>
        <w:t>Microinjection of mRNA</w:t>
      </w:r>
    </w:p>
    <w:p w14:paraId="3ADFB0E9" w14:textId="77777777" w:rsidR="00B06B3D" w:rsidRPr="005E4FAB" w:rsidRDefault="00B06B3D" w:rsidP="00376F01">
      <w:pPr>
        <w:pStyle w:val="ListParagraph"/>
        <w:ind w:left="0"/>
      </w:pPr>
    </w:p>
    <w:p w14:paraId="640D60CA" w14:textId="6D7A5614" w:rsidR="005E4FAB" w:rsidRDefault="00B06B3D" w:rsidP="002246F2">
      <w:r>
        <w:t>2.</w:t>
      </w:r>
      <w:r w:rsidR="00DF041B">
        <w:t>4</w:t>
      </w:r>
      <w:r>
        <w:t xml:space="preserve">.1. </w:t>
      </w:r>
      <w:r w:rsidR="00DF041B">
        <w:t xml:space="preserve"> </w:t>
      </w:r>
      <w:r w:rsidR="00191A79" w:rsidRPr="005E4FAB">
        <w:t xml:space="preserve">On the day of injection, use one of the mRNA aliquots and follow the zebrafish embryo injection protocol to inject 1 </w:t>
      </w:r>
      <w:proofErr w:type="spellStart"/>
      <w:r w:rsidR="00191A79" w:rsidRPr="005E4FAB">
        <w:t>nL</w:t>
      </w:r>
      <w:proofErr w:type="spellEnd"/>
      <w:r w:rsidR="00191A79" w:rsidRPr="005E4FAB">
        <w:t xml:space="preserve"> of the mRNA into the one-cell stage embryos through their yolk</w:t>
      </w:r>
      <w:r w:rsidR="00191A79" w:rsidRPr="00B06B3D">
        <w:rPr>
          <w:noProof/>
          <w:vertAlign w:val="superscript"/>
        </w:rPr>
        <w:t>19</w:t>
      </w:r>
      <w:r w:rsidR="00191A79" w:rsidRPr="005E4FAB">
        <w:t xml:space="preserve">. </w:t>
      </w:r>
      <w:r w:rsidR="005E4FAB">
        <w:t xml:space="preserve"> A brief description is provided below. </w:t>
      </w:r>
    </w:p>
    <w:p w14:paraId="6858EDFB" w14:textId="77777777" w:rsidR="005E4FAB" w:rsidRDefault="005E4FAB" w:rsidP="005E4FAB">
      <w:pPr>
        <w:pStyle w:val="ListParagraph"/>
      </w:pPr>
    </w:p>
    <w:p w14:paraId="7E864908" w14:textId="6D2279D5" w:rsidR="005E4FAB" w:rsidRDefault="00191A79" w:rsidP="00DF041B">
      <w:pPr>
        <w:pStyle w:val="ListParagraph"/>
        <w:numPr>
          <w:ilvl w:val="2"/>
          <w:numId w:val="17"/>
        </w:numPr>
      </w:pPr>
      <w:r w:rsidRPr="005E4FAB">
        <w:t>Breed adult fish and collect embryos as previously described</w:t>
      </w:r>
      <w:r w:rsidRPr="00DF041B">
        <w:rPr>
          <w:noProof/>
          <w:vertAlign w:val="superscript"/>
        </w:rPr>
        <w:t>20</w:t>
      </w:r>
      <w:r w:rsidRPr="005E4FAB">
        <w:t>.</w:t>
      </w:r>
    </w:p>
    <w:p w14:paraId="44DE3313" w14:textId="77777777" w:rsidR="005E4FAB" w:rsidRDefault="005E4FAB" w:rsidP="005E4FAB">
      <w:pPr>
        <w:pStyle w:val="ListParagraph"/>
        <w:ind w:left="0"/>
      </w:pPr>
    </w:p>
    <w:p w14:paraId="0B0FBA00" w14:textId="0F24B3FA" w:rsidR="005E4FAB" w:rsidRDefault="00191A79" w:rsidP="00DF041B">
      <w:pPr>
        <w:pStyle w:val="ListParagraph"/>
        <w:numPr>
          <w:ilvl w:val="2"/>
          <w:numId w:val="18"/>
        </w:numPr>
      </w:pPr>
      <w:r w:rsidRPr="005E4FAB">
        <w:t>Pull microinjection needles with pipette puller. Cut the tip of the needles with forceps to create a 10 µm tip opening.</w:t>
      </w:r>
    </w:p>
    <w:p w14:paraId="566D2D4D" w14:textId="77777777" w:rsidR="005E4FAB" w:rsidRDefault="005E4FAB" w:rsidP="005E4FAB">
      <w:pPr>
        <w:pStyle w:val="ListParagraph"/>
      </w:pPr>
    </w:p>
    <w:p w14:paraId="551D0B16" w14:textId="24AA2B2D" w:rsidR="005E4FAB" w:rsidRDefault="00DF041B" w:rsidP="00DF041B">
      <w:r>
        <w:t xml:space="preserve">2.4.4.    </w:t>
      </w:r>
      <w:r w:rsidR="00191A79" w:rsidRPr="005E4FAB">
        <w:t>Align embryos in an injection mold</w:t>
      </w:r>
      <w:r w:rsidR="001941A7" w:rsidRPr="005E4FAB">
        <w:t xml:space="preserve"> that was described in Step 1.6</w:t>
      </w:r>
      <w:r w:rsidR="00191A79" w:rsidRPr="005E4FAB">
        <w:t>.</w:t>
      </w:r>
    </w:p>
    <w:p w14:paraId="0E45AAF1" w14:textId="77777777" w:rsidR="005E4FAB" w:rsidRDefault="005E4FAB" w:rsidP="005E4FAB">
      <w:pPr>
        <w:pStyle w:val="ListParagraph"/>
      </w:pPr>
    </w:p>
    <w:p w14:paraId="5FB9C050" w14:textId="4A2D14D7" w:rsidR="005E4FAB" w:rsidRDefault="00191A79" w:rsidP="00DF041B">
      <w:pPr>
        <w:pStyle w:val="ListParagraph"/>
        <w:numPr>
          <w:ilvl w:val="2"/>
          <w:numId w:val="19"/>
        </w:numPr>
      </w:pPr>
      <w:r w:rsidRPr="005E4FAB">
        <w:t xml:space="preserve">Inject 1 </w:t>
      </w:r>
      <w:proofErr w:type="spellStart"/>
      <w:r w:rsidRPr="005E4FAB">
        <w:t>nL</w:t>
      </w:r>
      <w:proofErr w:type="spellEnd"/>
      <w:r w:rsidRPr="005E4FAB">
        <w:t xml:space="preserve"> of the mRNA in phenol red with a glass microinjection pipette.</w:t>
      </w:r>
      <w:r w:rsidR="005E4FAB">
        <w:t xml:space="preserve"> </w:t>
      </w:r>
    </w:p>
    <w:p w14:paraId="7068FC86" w14:textId="77777777" w:rsidR="005E4FAB" w:rsidRDefault="005E4FAB" w:rsidP="005E4FAB">
      <w:pPr>
        <w:pStyle w:val="ListParagraph"/>
      </w:pPr>
    </w:p>
    <w:p w14:paraId="369473AC" w14:textId="7781E43E" w:rsidR="005E4FAB" w:rsidRDefault="00191A79" w:rsidP="00DF041B">
      <w:pPr>
        <w:pStyle w:val="ListParagraph"/>
        <w:numPr>
          <w:ilvl w:val="2"/>
          <w:numId w:val="19"/>
        </w:numPr>
      </w:pPr>
      <w:r w:rsidRPr="005E4FAB">
        <w:t>Collect embryos and keep them in E3 media.</w:t>
      </w:r>
    </w:p>
    <w:p w14:paraId="504163C9" w14:textId="77777777" w:rsidR="00DF041B" w:rsidRDefault="00DF041B" w:rsidP="00DF041B">
      <w:pPr>
        <w:pStyle w:val="ListParagraph"/>
      </w:pPr>
    </w:p>
    <w:p w14:paraId="4CAB781B" w14:textId="7474BC5C" w:rsidR="00DF041B" w:rsidRDefault="00DF041B" w:rsidP="00DF041B">
      <w:r>
        <w:t xml:space="preserve">2.4.7.    </w:t>
      </w:r>
      <w:r w:rsidRPr="00DF041B">
        <w:t>Keep embryos in the 27 °C incubator in E3 media until the desired developmental stage is achieved. Injected embryos can be used for both in vitro</w:t>
      </w:r>
      <w:r w:rsidR="00E050B1">
        <w:t xml:space="preserve"> (section 3 and section 4)</w:t>
      </w:r>
      <w:r w:rsidRPr="00DF041B">
        <w:t xml:space="preserve"> and in vivo imaging (section 5). Embryos expressing roGFP2-Orp1 can be pre-selected prior to experiments with a regular dissection microscope equipped with fluorescent light and a blue/green filter set.</w:t>
      </w:r>
      <w:r>
        <w:t xml:space="preserve"> </w:t>
      </w:r>
    </w:p>
    <w:p w14:paraId="13325BDA" w14:textId="77777777" w:rsidR="00376F01" w:rsidRPr="005E4FAB" w:rsidRDefault="00376F01" w:rsidP="00376F01">
      <w:pPr>
        <w:pStyle w:val="ListParagraph"/>
        <w:ind w:left="0"/>
      </w:pPr>
    </w:p>
    <w:p w14:paraId="5391C3CE" w14:textId="1D65033F" w:rsidR="00191A79" w:rsidRPr="005E4FAB" w:rsidRDefault="00191A79" w:rsidP="00376F01">
      <w:pPr>
        <w:pStyle w:val="Heading1"/>
        <w:spacing w:before="0" w:after="0"/>
        <w:rPr>
          <w:sz w:val="24"/>
          <w:szCs w:val="24"/>
          <w:highlight w:val="yellow"/>
        </w:rPr>
      </w:pPr>
      <w:r w:rsidRPr="005E4FAB">
        <w:rPr>
          <w:sz w:val="24"/>
          <w:szCs w:val="24"/>
          <w:highlight w:val="yellow"/>
        </w:rPr>
        <w:t>3. Primary retinal ganglion cell culture derived from zebrafish embryos</w:t>
      </w:r>
    </w:p>
    <w:p w14:paraId="1A11AA80" w14:textId="77777777" w:rsidR="00191A79" w:rsidRPr="005E4FAB" w:rsidRDefault="00191A79" w:rsidP="00376F01">
      <w:pPr>
        <w:rPr>
          <w:highlight w:val="yellow"/>
        </w:rPr>
      </w:pPr>
    </w:p>
    <w:p w14:paraId="32C6C339" w14:textId="09828076" w:rsidR="00191A79" w:rsidRPr="005E4FAB" w:rsidRDefault="00376F01" w:rsidP="00376F01">
      <w:pPr>
        <w:rPr>
          <w:highlight w:val="yellow"/>
        </w:rPr>
      </w:pPr>
      <w:r w:rsidRPr="005E4FAB">
        <w:rPr>
          <w:highlight w:val="yellow"/>
        </w:rPr>
        <w:t xml:space="preserve">NOTE: </w:t>
      </w:r>
      <w:r w:rsidR="00191A79" w:rsidRPr="005E4FAB">
        <w:rPr>
          <w:highlight w:val="yellow"/>
        </w:rPr>
        <w:t xml:space="preserve">This protocol is adapted from a previously published method </w:t>
      </w:r>
      <w:r w:rsidR="00191A79" w:rsidRPr="005E4FAB">
        <w:rPr>
          <w:noProof/>
          <w:highlight w:val="yellow"/>
          <w:vertAlign w:val="superscript"/>
        </w:rPr>
        <w:t>21</w:t>
      </w:r>
      <w:r w:rsidR="00191A79" w:rsidRPr="005E4FAB">
        <w:rPr>
          <w:highlight w:val="yellow"/>
        </w:rPr>
        <w:t xml:space="preserve">. </w:t>
      </w:r>
      <w:r w:rsidR="0000469C" w:rsidRPr="005E4FAB">
        <w:rPr>
          <w:highlight w:val="yellow"/>
        </w:rPr>
        <w:t xml:space="preserve">Perform steps 3.1 and 3.2 in a laminar flow hood. </w:t>
      </w:r>
    </w:p>
    <w:p w14:paraId="0E3C2991" w14:textId="77777777" w:rsidR="00191A79" w:rsidRPr="00E050B1" w:rsidRDefault="00191A79" w:rsidP="00376F01">
      <w:pPr>
        <w:rPr>
          <w:highlight w:val="yellow"/>
        </w:rPr>
      </w:pPr>
    </w:p>
    <w:p w14:paraId="35135A92" w14:textId="77777777" w:rsidR="00191A79" w:rsidRPr="00E050B1" w:rsidRDefault="00191A79" w:rsidP="00E936C2">
      <w:pPr>
        <w:pStyle w:val="ListParagraph"/>
        <w:numPr>
          <w:ilvl w:val="1"/>
          <w:numId w:val="1"/>
        </w:numPr>
        <w:ind w:left="0" w:firstLine="0"/>
        <w:rPr>
          <w:highlight w:val="yellow"/>
        </w:rPr>
      </w:pPr>
      <w:r w:rsidRPr="00E050B1">
        <w:rPr>
          <w:highlight w:val="yellow"/>
        </w:rPr>
        <w:t>Preparation of coverslips</w:t>
      </w:r>
    </w:p>
    <w:p w14:paraId="42866409" w14:textId="77777777" w:rsidR="00191A79" w:rsidRPr="005E4FAB" w:rsidRDefault="00191A79" w:rsidP="00376F01">
      <w:pPr>
        <w:pStyle w:val="ListParagraph"/>
        <w:ind w:left="0"/>
        <w:rPr>
          <w:highlight w:val="yellow"/>
        </w:rPr>
      </w:pPr>
    </w:p>
    <w:p w14:paraId="11DE433C" w14:textId="77777777" w:rsidR="00376F01" w:rsidRPr="005E4FAB" w:rsidRDefault="00376F01" w:rsidP="00376F01">
      <w:pPr>
        <w:rPr>
          <w:highlight w:val="yellow"/>
        </w:rPr>
      </w:pPr>
      <w:r w:rsidRPr="005E4FAB">
        <w:rPr>
          <w:highlight w:val="yellow"/>
        </w:rPr>
        <w:t xml:space="preserve">3.1.1. </w:t>
      </w:r>
      <w:r w:rsidR="00191A79" w:rsidRPr="005E4FAB">
        <w:rPr>
          <w:highlight w:val="yellow"/>
        </w:rPr>
        <w:t>Prepare 4-6 culture plates in each experiment. Use acid-cleaned coverslips (22 x 22 mm square; 0.16-0.19 mm thickness) that are stored in 100% ethanol.</w:t>
      </w:r>
    </w:p>
    <w:p w14:paraId="1CAF203D" w14:textId="77777777" w:rsidR="00376F01" w:rsidRPr="005E4FAB" w:rsidRDefault="00376F01" w:rsidP="00376F01">
      <w:pPr>
        <w:rPr>
          <w:highlight w:val="yellow"/>
        </w:rPr>
      </w:pPr>
    </w:p>
    <w:p w14:paraId="717A3EA3" w14:textId="37B1F880" w:rsidR="00376F01" w:rsidRPr="005E4FAB" w:rsidRDefault="00376F01" w:rsidP="00376F01">
      <w:pPr>
        <w:rPr>
          <w:highlight w:val="yellow"/>
        </w:rPr>
      </w:pPr>
      <w:r w:rsidRPr="005E4FAB">
        <w:rPr>
          <w:highlight w:val="yellow"/>
        </w:rPr>
        <w:t xml:space="preserve">3.1.2. </w:t>
      </w:r>
      <w:r w:rsidR="00191A79" w:rsidRPr="005E4FAB">
        <w:rPr>
          <w:highlight w:val="yellow"/>
        </w:rPr>
        <w:t xml:space="preserve">Remove one coverslip from </w:t>
      </w:r>
      <w:r w:rsidR="00E050B1">
        <w:rPr>
          <w:highlight w:val="yellow"/>
        </w:rPr>
        <w:t xml:space="preserve">the </w:t>
      </w:r>
      <w:r w:rsidR="00191A79" w:rsidRPr="005E4FAB">
        <w:rPr>
          <w:highlight w:val="yellow"/>
        </w:rPr>
        <w:t xml:space="preserve">storage container by using forceps and flame </w:t>
      </w:r>
      <w:r w:rsidR="000A6377" w:rsidRPr="005E4FAB">
        <w:rPr>
          <w:highlight w:val="yellow"/>
        </w:rPr>
        <w:t>it</w:t>
      </w:r>
      <w:r w:rsidR="00191A79" w:rsidRPr="005E4FAB">
        <w:rPr>
          <w:highlight w:val="yellow"/>
        </w:rPr>
        <w:t xml:space="preserve"> to remove residual ethanol.</w:t>
      </w:r>
    </w:p>
    <w:p w14:paraId="4F7E2F92" w14:textId="77777777" w:rsidR="005E4FAB" w:rsidRDefault="005E4FAB" w:rsidP="00376F01">
      <w:pPr>
        <w:rPr>
          <w:highlight w:val="yellow"/>
        </w:rPr>
      </w:pPr>
    </w:p>
    <w:p w14:paraId="1D7FCF17" w14:textId="20A75BEC" w:rsidR="00376F01" w:rsidRPr="005E4FAB" w:rsidRDefault="00376F01" w:rsidP="00376F01">
      <w:pPr>
        <w:rPr>
          <w:highlight w:val="yellow"/>
        </w:rPr>
      </w:pPr>
      <w:r w:rsidRPr="005E4FAB">
        <w:rPr>
          <w:highlight w:val="yellow"/>
        </w:rPr>
        <w:t xml:space="preserve">3.1.3. </w:t>
      </w:r>
      <w:r w:rsidR="00191A79" w:rsidRPr="005E4FAB">
        <w:rPr>
          <w:highlight w:val="yellow"/>
        </w:rPr>
        <w:t xml:space="preserve">Air dry the coverslip completely by </w:t>
      </w:r>
      <w:r w:rsidR="000A6377" w:rsidRPr="005E4FAB">
        <w:rPr>
          <w:highlight w:val="yellow"/>
        </w:rPr>
        <w:t>placing</w:t>
      </w:r>
      <w:r w:rsidR="00191A79" w:rsidRPr="005E4FAB">
        <w:rPr>
          <w:highlight w:val="yellow"/>
        </w:rPr>
        <w:t xml:space="preserve"> it </w:t>
      </w:r>
      <w:r w:rsidR="000A6377" w:rsidRPr="005E4FAB">
        <w:rPr>
          <w:highlight w:val="yellow"/>
        </w:rPr>
        <w:t>at</w:t>
      </w:r>
      <w:r w:rsidR="00191A79" w:rsidRPr="005E4FAB">
        <w:rPr>
          <w:highlight w:val="yellow"/>
        </w:rPr>
        <w:t xml:space="preserve"> an angle in</w:t>
      </w:r>
      <w:r w:rsidR="000A6377" w:rsidRPr="005E4FAB">
        <w:rPr>
          <w:highlight w:val="yellow"/>
        </w:rPr>
        <w:t>side</w:t>
      </w:r>
      <w:r w:rsidR="00191A79" w:rsidRPr="005E4FAB">
        <w:rPr>
          <w:highlight w:val="yellow"/>
        </w:rPr>
        <w:t xml:space="preserve"> </w:t>
      </w:r>
      <w:r w:rsidR="000A6377" w:rsidRPr="005E4FAB">
        <w:rPr>
          <w:highlight w:val="yellow"/>
        </w:rPr>
        <w:t>a</w:t>
      </w:r>
      <w:r w:rsidR="00191A79" w:rsidRPr="005E4FAB">
        <w:rPr>
          <w:highlight w:val="yellow"/>
        </w:rPr>
        <w:t xml:space="preserve"> 35-mm culture dish.</w:t>
      </w:r>
    </w:p>
    <w:p w14:paraId="272956DD" w14:textId="77777777" w:rsidR="00376F01" w:rsidRPr="005E4FAB" w:rsidRDefault="00376F01" w:rsidP="00376F01">
      <w:pPr>
        <w:rPr>
          <w:highlight w:val="yellow"/>
        </w:rPr>
      </w:pPr>
    </w:p>
    <w:p w14:paraId="28FF2918" w14:textId="7C7CE5AA" w:rsidR="00376F01" w:rsidRPr="005E4FAB" w:rsidRDefault="00376F01" w:rsidP="00376F01">
      <w:pPr>
        <w:rPr>
          <w:highlight w:val="yellow"/>
        </w:rPr>
      </w:pPr>
      <w:r w:rsidRPr="005E4FAB">
        <w:rPr>
          <w:highlight w:val="yellow"/>
        </w:rPr>
        <w:t xml:space="preserve">3.1.4. </w:t>
      </w:r>
      <w:r w:rsidR="00191A79" w:rsidRPr="005E4FAB">
        <w:rPr>
          <w:highlight w:val="yellow"/>
        </w:rPr>
        <w:t>Prepare Poly-D-Lysine working solution (1</w:t>
      </w:r>
      <w:r w:rsidR="00E050B1">
        <w:rPr>
          <w:highlight w:val="yellow"/>
        </w:rPr>
        <w:t>x</w:t>
      </w:r>
      <w:r w:rsidR="00191A79" w:rsidRPr="005E4FAB">
        <w:rPr>
          <w:highlight w:val="yellow"/>
        </w:rPr>
        <w:t>) by diluting 10</w:t>
      </w:r>
      <w:r w:rsidR="00E050B1">
        <w:rPr>
          <w:highlight w:val="yellow"/>
        </w:rPr>
        <w:t>x</w:t>
      </w:r>
      <w:r w:rsidR="00191A79" w:rsidRPr="005E4FAB">
        <w:rPr>
          <w:highlight w:val="yellow"/>
        </w:rPr>
        <w:t xml:space="preserve"> stock (5 mg/mL) in sterile water</w:t>
      </w:r>
      <w:r w:rsidRPr="005E4FAB">
        <w:rPr>
          <w:highlight w:val="yellow"/>
        </w:rPr>
        <w:t xml:space="preserve">. </w:t>
      </w:r>
    </w:p>
    <w:p w14:paraId="4AC8DEAF" w14:textId="77777777" w:rsidR="00376F01" w:rsidRPr="005E4FAB" w:rsidRDefault="00376F01" w:rsidP="00376F01">
      <w:pPr>
        <w:rPr>
          <w:highlight w:val="yellow"/>
        </w:rPr>
      </w:pPr>
    </w:p>
    <w:p w14:paraId="191D3FD4" w14:textId="20DB8C34" w:rsidR="00191A79" w:rsidRPr="005E4FAB" w:rsidRDefault="00376F01" w:rsidP="00376F01">
      <w:pPr>
        <w:rPr>
          <w:highlight w:val="yellow"/>
        </w:rPr>
      </w:pPr>
      <w:r w:rsidRPr="005E4FAB">
        <w:rPr>
          <w:highlight w:val="yellow"/>
        </w:rPr>
        <w:t xml:space="preserve">3.1.5. </w:t>
      </w:r>
      <w:r w:rsidR="00191A79" w:rsidRPr="005E4FAB">
        <w:rPr>
          <w:highlight w:val="yellow"/>
        </w:rPr>
        <w:t>Apply 100 µL of 0.5 mg/mL PDL to the center of each coverslip and avoid spreading of the solution to the edges.</w:t>
      </w:r>
    </w:p>
    <w:p w14:paraId="3E3EE052" w14:textId="77777777" w:rsidR="00376F01" w:rsidRPr="005E4FAB" w:rsidRDefault="00376F01" w:rsidP="00376F01">
      <w:pPr>
        <w:rPr>
          <w:highlight w:val="yellow"/>
        </w:rPr>
      </w:pPr>
    </w:p>
    <w:p w14:paraId="122679FE" w14:textId="1EC60F25" w:rsidR="00191A79" w:rsidRPr="005E4FAB" w:rsidRDefault="00191A79" w:rsidP="00E936C2">
      <w:pPr>
        <w:pStyle w:val="ListParagraph"/>
        <w:numPr>
          <w:ilvl w:val="2"/>
          <w:numId w:val="10"/>
        </w:numPr>
        <w:ind w:left="0" w:firstLine="0"/>
        <w:rPr>
          <w:highlight w:val="yellow"/>
        </w:rPr>
      </w:pPr>
      <w:r w:rsidRPr="005E4FAB">
        <w:rPr>
          <w:highlight w:val="yellow"/>
        </w:rPr>
        <w:t>Incubate the PDL on coverslips for 20-30 min</w:t>
      </w:r>
      <w:r w:rsidR="000A6377" w:rsidRPr="005E4FAB">
        <w:rPr>
          <w:highlight w:val="yellow"/>
        </w:rPr>
        <w:t xml:space="preserve"> at room temperature (RT)</w:t>
      </w:r>
      <w:r w:rsidRPr="005E4FAB">
        <w:rPr>
          <w:highlight w:val="yellow"/>
        </w:rPr>
        <w:t>. Make sure the PDL does not dry out.</w:t>
      </w:r>
    </w:p>
    <w:p w14:paraId="6562117C" w14:textId="77777777" w:rsidR="00DF4172" w:rsidRPr="005E4FAB" w:rsidRDefault="00DF4172" w:rsidP="00376F01">
      <w:pPr>
        <w:rPr>
          <w:highlight w:val="yellow"/>
        </w:rPr>
      </w:pPr>
    </w:p>
    <w:p w14:paraId="6922ADCF" w14:textId="3F831BEB" w:rsidR="00191A79" w:rsidRPr="005E4FAB" w:rsidRDefault="00191A79" w:rsidP="00E936C2">
      <w:pPr>
        <w:pStyle w:val="ListParagraph"/>
        <w:numPr>
          <w:ilvl w:val="2"/>
          <w:numId w:val="10"/>
        </w:numPr>
        <w:ind w:left="0" w:firstLine="0"/>
        <w:rPr>
          <w:highlight w:val="yellow"/>
        </w:rPr>
      </w:pPr>
      <w:r w:rsidRPr="005E4FAB">
        <w:rPr>
          <w:highlight w:val="yellow"/>
        </w:rPr>
        <w:t>Wash the PDL with 0.5 mL sterile water. Let the plates dry completely.</w:t>
      </w:r>
    </w:p>
    <w:p w14:paraId="1D70EAF4" w14:textId="77777777" w:rsidR="00DF4172" w:rsidRPr="005E4FAB" w:rsidRDefault="00DF4172" w:rsidP="00376F01">
      <w:pPr>
        <w:rPr>
          <w:highlight w:val="yellow"/>
        </w:rPr>
      </w:pPr>
    </w:p>
    <w:p w14:paraId="7272C24D" w14:textId="4FDFFB07" w:rsidR="00191A79" w:rsidRPr="005E4FAB" w:rsidRDefault="00191A79" w:rsidP="00E936C2">
      <w:pPr>
        <w:pStyle w:val="ListParagraph"/>
        <w:numPr>
          <w:ilvl w:val="2"/>
          <w:numId w:val="10"/>
        </w:numPr>
        <w:ind w:left="0" w:firstLine="0"/>
        <w:rPr>
          <w:highlight w:val="yellow"/>
        </w:rPr>
      </w:pPr>
      <w:r w:rsidRPr="005E4FAB">
        <w:rPr>
          <w:highlight w:val="yellow"/>
        </w:rPr>
        <w:t>Prepare laminin working solution (1</w:t>
      </w:r>
      <w:r w:rsidR="00E050B1">
        <w:rPr>
          <w:highlight w:val="yellow"/>
        </w:rPr>
        <w:t>x</w:t>
      </w:r>
      <w:r w:rsidRPr="005E4FAB">
        <w:rPr>
          <w:highlight w:val="yellow"/>
        </w:rPr>
        <w:t>) by diluting 50</w:t>
      </w:r>
      <w:r w:rsidR="00E050B1">
        <w:rPr>
          <w:highlight w:val="yellow"/>
        </w:rPr>
        <w:t>x</w:t>
      </w:r>
      <w:r w:rsidRPr="005E4FAB">
        <w:rPr>
          <w:highlight w:val="yellow"/>
        </w:rPr>
        <w:t xml:space="preserve"> stock (1 mg/mL) in 1</w:t>
      </w:r>
      <w:r w:rsidR="00E050B1">
        <w:rPr>
          <w:highlight w:val="yellow"/>
        </w:rPr>
        <w:t>x</w:t>
      </w:r>
      <w:r w:rsidRPr="005E4FAB">
        <w:rPr>
          <w:highlight w:val="yellow"/>
        </w:rPr>
        <w:t xml:space="preserve"> PBS. </w:t>
      </w:r>
    </w:p>
    <w:p w14:paraId="49E0868A" w14:textId="77777777" w:rsidR="00DF4172" w:rsidRPr="005E4FAB" w:rsidRDefault="00DF4172" w:rsidP="00376F01">
      <w:pPr>
        <w:rPr>
          <w:highlight w:val="yellow"/>
        </w:rPr>
      </w:pPr>
    </w:p>
    <w:p w14:paraId="3794F796" w14:textId="47AB5BDB" w:rsidR="00191A79" w:rsidRPr="005E4FAB" w:rsidRDefault="00191A79" w:rsidP="00E936C2">
      <w:pPr>
        <w:pStyle w:val="ListParagraph"/>
        <w:numPr>
          <w:ilvl w:val="2"/>
          <w:numId w:val="10"/>
        </w:numPr>
        <w:ind w:left="0" w:firstLine="0"/>
        <w:rPr>
          <w:highlight w:val="yellow"/>
        </w:rPr>
      </w:pPr>
      <w:r w:rsidRPr="005E4FAB">
        <w:rPr>
          <w:highlight w:val="yellow"/>
        </w:rPr>
        <w:t>Apply 100 µL of 20 µg/mL laminin in PBS to the center of each coverslip and avoid the spread of solution to the edges.</w:t>
      </w:r>
    </w:p>
    <w:p w14:paraId="05D46C89" w14:textId="77777777" w:rsidR="00DF4172" w:rsidRPr="005E4FAB" w:rsidRDefault="00DF4172" w:rsidP="00376F01">
      <w:pPr>
        <w:rPr>
          <w:highlight w:val="yellow"/>
        </w:rPr>
      </w:pPr>
    </w:p>
    <w:p w14:paraId="68EB19D2" w14:textId="723A71CB" w:rsidR="00191A79" w:rsidRPr="005E4FAB" w:rsidRDefault="00191A79" w:rsidP="00E936C2">
      <w:pPr>
        <w:pStyle w:val="ListParagraph"/>
        <w:numPr>
          <w:ilvl w:val="2"/>
          <w:numId w:val="10"/>
        </w:numPr>
        <w:ind w:left="0" w:firstLine="0"/>
        <w:rPr>
          <w:highlight w:val="yellow"/>
        </w:rPr>
      </w:pPr>
      <w:r w:rsidRPr="005E4FAB">
        <w:rPr>
          <w:highlight w:val="yellow"/>
        </w:rPr>
        <w:t xml:space="preserve">Incubate the plates at 37 °C </w:t>
      </w:r>
      <w:r w:rsidR="000A6377" w:rsidRPr="005E4FAB">
        <w:rPr>
          <w:highlight w:val="yellow"/>
        </w:rPr>
        <w:t xml:space="preserve">in a humidified incubator </w:t>
      </w:r>
      <w:r w:rsidRPr="005E4FAB">
        <w:rPr>
          <w:highlight w:val="yellow"/>
        </w:rPr>
        <w:t>for 2-6 h.</w:t>
      </w:r>
      <w:r w:rsidR="000A6377" w:rsidRPr="005E4FAB">
        <w:rPr>
          <w:highlight w:val="yellow"/>
        </w:rPr>
        <w:t xml:space="preserve"> Avoid drying of the laminin solution.</w:t>
      </w:r>
    </w:p>
    <w:p w14:paraId="1E4A6F73" w14:textId="77777777" w:rsidR="00191A79" w:rsidRPr="00E050B1" w:rsidRDefault="00191A79" w:rsidP="00376F01">
      <w:pPr>
        <w:rPr>
          <w:highlight w:val="yellow"/>
        </w:rPr>
      </w:pPr>
    </w:p>
    <w:p w14:paraId="28A2404F" w14:textId="77777777" w:rsidR="00191A79" w:rsidRPr="00E050B1" w:rsidRDefault="00191A79" w:rsidP="00E936C2">
      <w:pPr>
        <w:pStyle w:val="ListParagraph"/>
        <w:numPr>
          <w:ilvl w:val="1"/>
          <w:numId w:val="1"/>
        </w:numPr>
        <w:ind w:left="0" w:firstLine="0"/>
        <w:rPr>
          <w:highlight w:val="yellow"/>
        </w:rPr>
      </w:pPr>
      <w:r w:rsidRPr="00E050B1">
        <w:rPr>
          <w:highlight w:val="yellow"/>
        </w:rPr>
        <w:t>Embryo dissection and plating RGCs</w:t>
      </w:r>
    </w:p>
    <w:p w14:paraId="7389CCA5" w14:textId="77777777" w:rsidR="00191A79" w:rsidRPr="005E4FAB" w:rsidRDefault="00191A79" w:rsidP="00376F01">
      <w:pPr>
        <w:rPr>
          <w:highlight w:val="yellow"/>
        </w:rPr>
      </w:pPr>
    </w:p>
    <w:p w14:paraId="087CCDC1" w14:textId="126AC6F9" w:rsidR="00191A79" w:rsidRPr="005E4FAB" w:rsidRDefault="00191A79" w:rsidP="00E936C2">
      <w:pPr>
        <w:pStyle w:val="ListParagraph"/>
        <w:numPr>
          <w:ilvl w:val="2"/>
          <w:numId w:val="11"/>
        </w:numPr>
        <w:ind w:left="0" w:firstLine="0"/>
        <w:rPr>
          <w:highlight w:val="yellow"/>
        </w:rPr>
      </w:pPr>
      <w:r w:rsidRPr="005E4FAB">
        <w:rPr>
          <w:highlight w:val="yellow"/>
        </w:rPr>
        <w:t>Prepare and label four 35-mm tissue culture dishes and fill with 4 mL of: 70% ethanol, “E2 media 1”, “E2 media 2”, “E2 media 3” on the day of dissection. Keep the dishes in the fridge until dissections.</w:t>
      </w:r>
    </w:p>
    <w:p w14:paraId="64028D06" w14:textId="77777777" w:rsidR="00DF4172" w:rsidRPr="005E4FAB" w:rsidRDefault="00DF4172" w:rsidP="00376F01">
      <w:pPr>
        <w:pStyle w:val="ListParagraph"/>
        <w:ind w:left="0"/>
        <w:rPr>
          <w:highlight w:val="yellow"/>
        </w:rPr>
      </w:pPr>
    </w:p>
    <w:p w14:paraId="36EE29AC" w14:textId="2C9B392F" w:rsidR="00191A79" w:rsidRPr="005E4FAB" w:rsidRDefault="00191A79" w:rsidP="00E936C2">
      <w:pPr>
        <w:pStyle w:val="ListParagraph"/>
        <w:numPr>
          <w:ilvl w:val="2"/>
          <w:numId w:val="11"/>
        </w:numPr>
        <w:ind w:left="0" w:firstLine="0"/>
        <w:rPr>
          <w:highlight w:val="yellow"/>
        </w:rPr>
      </w:pPr>
      <w:r w:rsidRPr="005E4FAB">
        <w:rPr>
          <w:highlight w:val="yellow"/>
        </w:rPr>
        <w:t xml:space="preserve">When zebrafish embryos are 34 hours post fertilization (hpf), take the culture dishes coated with laminin out of the incubator and wash the coverslips three times with </w:t>
      </w:r>
      <w:r w:rsidR="000A6377" w:rsidRPr="005E4FAB">
        <w:rPr>
          <w:highlight w:val="yellow"/>
        </w:rPr>
        <w:t xml:space="preserve">0.5 mL </w:t>
      </w:r>
      <w:r w:rsidR="00E050B1">
        <w:rPr>
          <w:highlight w:val="yellow"/>
        </w:rPr>
        <w:t xml:space="preserve">of </w:t>
      </w:r>
      <w:r w:rsidRPr="005E4FAB">
        <w:rPr>
          <w:highlight w:val="yellow"/>
        </w:rPr>
        <w:t>1</w:t>
      </w:r>
      <w:r w:rsidR="00E050B1">
        <w:rPr>
          <w:highlight w:val="yellow"/>
        </w:rPr>
        <w:t>x</w:t>
      </w:r>
      <w:r w:rsidRPr="005E4FAB">
        <w:rPr>
          <w:highlight w:val="yellow"/>
        </w:rPr>
        <w:t xml:space="preserve"> PBS.</w:t>
      </w:r>
    </w:p>
    <w:p w14:paraId="7AD24F80" w14:textId="77777777" w:rsidR="00DF4172" w:rsidRPr="005E4FAB" w:rsidRDefault="00DF4172" w:rsidP="00376F01">
      <w:pPr>
        <w:rPr>
          <w:highlight w:val="yellow"/>
        </w:rPr>
      </w:pPr>
    </w:p>
    <w:p w14:paraId="55DF2E77" w14:textId="77777777" w:rsidR="00376F01" w:rsidRPr="005E4FAB" w:rsidRDefault="00191A79" w:rsidP="00E936C2">
      <w:pPr>
        <w:pStyle w:val="ListParagraph"/>
        <w:numPr>
          <w:ilvl w:val="2"/>
          <w:numId w:val="11"/>
        </w:numPr>
        <w:ind w:left="0" w:firstLine="0"/>
        <w:rPr>
          <w:highlight w:val="yellow"/>
        </w:rPr>
      </w:pPr>
      <w:r w:rsidRPr="005E4FAB">
        <w:rPr>
          <w:highlight w:val="yellow"/>
        </w:rPr>
        <w:t xml:space="preserve">After the final wash, add 4 mL of </w:t>
      </w:r>
      <w:proofErr w:type="gramStart"/>
      <w:r w:rsidRPr="005E4FAB">
        <w:rPr>
          <w:highlight w:val="yellow"/>
        </w:rPr>
        <w:t>ZFCM(</w:t>
      </w:r>
      <w:proofErr w:type="gramEnd"/>
      <w:r w:rsidRPr="005E4FAB">
        <w:rPr>
          <w:highlight w:val="yellow"/>
        </w:rPr>
        <w:t>+) media to each culture dish and avoid drying the plate.</w:t>
      </w:r>
    </w:p>
    <w:p w14:paraId="4A0D057A" w14:textId="77777777" w:rsidR="00376F01" w:rsidRPr="005E4FAB" w:rsidRDefault="00376F01" w:rsidP="00376F01">
      <w:pPr>
        <w:pStyle w:val="ListParagraph"/>
        <w:ind w:left="0"/>
        <w:rPr>
          <w:highlight w:val="yellow"/>
        </w:rPr>
      </w:pPr>
    </w:p>
    <w:p w14:paraId="6A9ED359" w14:textId="77777777" w:rsidR="00376F01" w:rsidRPr="005E4FAB" w:rsidRDefault="00191A79" w:rsidP="00E936C2">
      <w:pPr>
        <w:pStyle w:val="ListParagraph"/>
        <w:numPr>
          <w:ilvl w:val="2"/>
          <w:numId w:val="11"/>
        </w:numPr>
        <w:ind w:left="0" w:firstLine="0"/>
        <w:rPr>
          <w:highlight w:val="yellow"/>
        </w:rPr>
      </w:pPr>
      <w:r w:rsidRPr="005E4FAB">
        <w:rPr>
          <w:highlight w:val="yellow"/>
        </w:rPr>
        <w:t xml:space="preserve">Retrieve the prepared culture dishes from Step </w:t>
      </w:r>
      <w:r w:rsidR="00857136" w:rsidRPr="005E4FAB">
        <w:rPr>
          <w:highlight w:val="yellow"/>
        </w:rPr>
        <w:t>3.2.1</w:t>
      </w:r>
      <w:r w:rsidRPr="005E4FAB">
        <w:rPr>
          <w:highlight w:val="yellow"/>
        </w:rPr>
        <w:t xml:space="preserve">. Let them equilibrate to </w:t>
      </w:r>
      <w:r w:rsidR="000A6377" w:rsidRPr="005E4FAB">
        <w:rPr>
          <w:highlight w:val="yellow"/>
        </w:rPr>
        <w:t>RT</w:t>
      </w:r>
      <w:r w:rsidRPr="005E4FAB">
        <w:rPr>
          <w:highlight w:val="yellow"/>
        </w:rPr>
        <w:t>.</w:t>
      </w:r>
    </w:p>
    <w:p w14:paraId="0A436F14" w14:textId="77777777" w:rsidR="00376F01" w:rsidRPr="005E4FAB" w:rsidRDefault="00376F01" w:rsidP="00376F01">
      <w:pPr>
        <w:pStyle w:val="ListParagraph"/>
        <w:ind w:left="0"/>
        <w:rPr>
          <w:highlight w:val="yellow"/>
        </w:rPr>
      </w:pPr>
    </w:p>
    <w:p w14:paraId="09BB4C96" w14:textId="77777777" w:rsidR="00376F01" w:rsidRPr="005E4FAB" w:rsidRDefault="00191A79" w:rsidP="00E936C2">
      <w:pPr>
        <w:pStyle w:val="ListParagraph"/>
        <w:numPr>
          <w:ilvl w:val="2"/>
          <w:numId w:val="11"/>
        </w:numPr>
        <w:ind w:left="0" w:firstLine="0"/>
        <w:rPr>
          <w:highlight w:val="yellow"/>
        </w:rPr>
      </w:pPr>
      <w:r w:rsidRPr="005E4FAB">
        <w:rPr>
          <w:highlight w:val="yellow"/>
        </w:rPr>
        <w:t xml:space="preserve">Fill 4-6 PCR tubes with 15 µL of </w:t>
      </w:r>
      <w:proofErr w:type="gramStart"/>
      <w:r w:rsidRPr="005E4FAB">
        <w:rPr>
          <w:highlight w:val="yellow"/>
        </w:rPr>
        <w:t>ZFCM(</w:t>
      </w:r>
      <w:proofErr w:type="gramEnd"/>
      <w:r w:rsidRPr="005E4FAB">
        <w:rPr>
          <w:highlight w:val="yellow"/>
        </w:rPr>
        <w:t>+) media. One tube is needed to prepare RGCs from 4 eyes to be plated on</w:t>
      </w:r>
      <w:r w:rsidR="000A6377" w:rsidRPr="005E4FAB">
        <w:rPr>
          <w:highlight w:val="yellow"/>
        </w:rPr>
        <w:t>to</w:t>
      </w:r>
      <w:r w:rsidRPr="005E4FAB">
        <w:rPr>
          <w:highlight w:val="yellow"/>
        </w:rPr>
        <w:t xml:space="preserve"> one coverslip.</w:t>
      </w:r>
    </w:p>
    <w:p w14:paraId="40D887E9" w14:textId="77777777" w:rsidR="00376F01" w:rsidRPr="005E4FAB" w:rsidRDefault="00376F01" w:rsidP="00376F01">
      <w:pPr>
        <w:pStyle w:val="ListParagraph"/>
        <w:ind w:left="0"/>
        <w:rPr>
          <w:highlight w:val="yellow"/>
        </w:rPr>
      </w:pPr>
    </w:p>
    <w:p w14:paraId="012857DF" w14:textId="30C3655C" w:rsidR="00376F01" w:rsidRPr="005E4FAB" w:rsidRDefault="00191A79" w:rsidP="00E936C2">
      <w:pPr>
        <w:pStyle w:val="ListParagraph"/>
        <w:numPr>
          <w:ilvl w:val="2"/>
          <w:numId w:val="11"/>
        </w:numPr>
        <w:ind w:left="0" w:firstLine="0"/>
        <w:rPr>
          <w:highlight w:val="yellow"/>
        </w:rPr>
      </w:pPr>
      <w:r w:rsidRPr="005E4FAB">
        <w:rPr>
          <w:highlight w:val="yellow"/>
        </w:rPr>
        <w:t>Retrieve zebrafish embryos from the incubator and immerse embryos in 35</w:t>
      </w:r>
      <w:r w:rsidR="00E050B1">
        <w:rPr>
          <w:highlight w:val="yellow"/>
        </w:rPr>
        <w:t xml:space="preserve"> </w:t>
      </w:r>
      <w:r w:rsidRPr="005E4FAB">
        <w:rPr>
          <w:highlight w:val="yellow"/>
        </w:rPr>
        <w:t>mm tissue culture dish containing 70% ethanol for 5-10 s to sterilize.</w:t>
      </w:r>
    </w:p>
    <w:p w14:paraId="079FE08C" w14:textId="77777777" w:rsidR="00376F01" w:rsidRPr="005E4FAB" w:rsidRDefault="00376F01" w:rsidP="00376F01">
      <w:pPr>
        <w:pStyle w:val="ListParagraph"/>
        <w:ind w:left="0"/>
        <w:rPr>
          <w:highlight w:val="yellow"/>
        </w:rPr>
      </w:pPr>
    </w:p>
    <w:p w14:paraId="04573E9B" w14:textId="77777777" w:rsidR="00376F01" w:rsidRPr="005E4FAB" w:rsidRDefault="00191A79" w:rsidP="00E936C2">
      <w:pPr>
        <w:pStyle w:val="ListParagraph"/>
        <w:numPr>
          <w:ilvl w:val="2"/>
          <w:numId w:val="11"/>
        </w:numPr>
        <w:ind w:left="0" w:firstLine="0"/>
        <w:rPr>
          <w:highlight w:val="yellow"/>
        </w:rPr>
      </w:pPr>
      <w:r w:rsidRPr="005E4FAB">
        <w:rPr>
          <w:highlight w:val="yellow"/>
        </w:rPr>
        <w:t>Using a transfer pipette, transfer embryos to E2 Media 1 dish containing sterile E2 media to wash excess ethanol.</w:t>
      </w:r>
    </w:p>
    <w:p w14:paraId="1AA7EC4D" w14:textId="77777777" w:rsidR="00376F01" w:rsidRPr="005E4FAB" w:rsidRDefault="00376F01" w:rsidP="00376F01">
      <w:pPr>
        <w:pStyle w:val="ListParagraph"/>
        <w:ind w:left="0"/>
        <w:rPr>
          <w:highlight w:val="yellow"/>
        </w:rPr>
      </w:pPr>
    </w:p>
    <w:p w14:paraId="409CC18B" w14:textId="77777777" w:rsidR="00376F01" w:rsidRPr="005E4FAB" w:rsidRDefault="00191A79" w:rsidP="00E936C2">
      <w:pPr>
        <w:pStyle w:val="ListParagraph"/>
        <w:numPr>
          <w:ilvl w:val="2"/>
          <w:numId w:val="11"/>
        </w:numPr>
        <w:ind w:left="0" w:firstLine="0"/>
        <w:rPr>
          <w:highlight w:val="yellow"/>
        </w:rPr>
      </w:pPr>
      <w:r w:rsidRPr="005E4FAB">
        <w:rPr>
          <w:highlight w:val="yellow"/>
        </w:rPr>
        <w:t>Transfer embryos to E2 Media 2 dish and remove their chorions with sharp forceps.</w:t>
      </w:r>
    </w:p>
    <w:p w14:paraId="74B1BC22" w14:textId="77777777" w:rsidR="00376F01" w:rsidRPr="005E4FAB" w:rsidRDefault="00376F01" w:rsidP="00376F01">
      <w:pPr>
        <w:pStyle w:val="ListParagraph"/>
        <w:ind w:left="0"/>
        <w:rPr>
          <w:highlight w:val="yellow"/>
        </w:rPr>
      </w:pPr>
    </w:p>
    <w:p w14:paraId="6A8BCEC2" w14:textId="77777777" w:rsidR="00376F01" w:rsidRPr="005E4FAB" w:rsidRDefault="00191A79" w:rsidP="00E936C2">
      <w:pPr>
        <w:pStyle w:val="ListParagraph"/>
        <w:numPr>
          <w:ilvl w:val="2"/>
          <w:numId w:val="11"/>
        </w:numPr>
        <w:ind w:left="0" w:firstLine="0"/>
        <w:rPr>
          <w:highlight w:val="yellow"/>
        </w:rPr>
      </w:pPr>
      <w:r w:rsidRPr="005E4FAB">
        <w:rPr>
          <w:highlight w:val="yellow"/>
        </w:rPr>
        <w:t>Transfer embryos to final E2 Media 3 dish to perform dissections.</w:t>
      </w:r>
    </w:p>
    <w:p w14:paraId="0D83BA90" w14:textId="77777777" w:rsidR="00376F01" w:rsidRPr="005E4FAB" w:rsidRDefault="00376F01" w:rsidP="00376F01">
      <w:pPr>
        <w:pStyle w:val="ListParagraph"/>
        <w:ind w:left="0"/>
        <w:rPr>
          <w:highlight w:val="yellow"/>
        </w:rPr>
      </w:pPr>
    </w:p>
    <w:p w14:paraId="7ADC7F80" w14:textId="77777777" w:rsidR="00376F01" w:rsidRPr="005E4FAB" w:rsidRDefault="00191A79" w:rsidP="00E936C2">
      <w:pPr>
        <w:pStyle w:val="ListParagraph"/>
        <w:numPr>
          <w:ilvl w:val="2"/>
          <w:numId w:val="11"/>
        </w:numPr>
        <w:ind w:left="0" w:firstLine="0"/>
        <w:rPr>
          <w:highlight w:val="yellow"/>
        </w:rPr>
      </w:pPr>
      <w:r w:rsidRPr="005E4FAB">
        <w:rPr>
          <w:highlight w:val="yellow"/>
        </w:rPr>
        <w:t xml:space="preserve">Using a pair of fine forceps, dissect out the retinas as previously described </w:t>
      </w:r>
      <w:r w:rsidRPr="005E4FAB">
        <w:rPr>
          <w:noProof/>
          <w:highlight w:val="yellow"/>
          <w:vertAlign w:val="superscript"/>
        </w:rPr>
        <w:t>22</w:t>
      </w:r>
      <w:r w:rsidRPr="005E4FAB">
        <w:rPr>
          <w:highlight w:val="yellow"/>
        </w:rPr>
        <w:t>.</w:t>
      </w:r>
    </w:p>
    <w:p w14:paraId="698FAC92" w14:textId="77777777" w:rsidR="00376F01" w:rsidRPr="005E4FAB" w:rsidRDefault="00376F01" w:rsidP="00376F01">
      <w:pPr>
        <w:pStyle w:val="ListParagraph"/>
        <w:ind w:left="0"/>
        <w:rPr>
          <w:highlight w:val="yellow"/>
        </w:rPr>
      </w:pPr>
    </w:p>
    <w:p w14:paraId="76ACBBC6" w14:textId="77777777" w:rsidR="00376F01" w:rsidRPr="005E4FAB" w:rsidRDefault="00191A79" w:rsidP="00E936C2">
      <w:pPr>
        <w:pStyle w:val="ListParagraph"/>
        <w:numPr>
          <w:ilvl w:val="2"/>
          <w:numId w:val="11"/>
        </w:numPr>
        <w:ind w:left="0" w:firstLine="0"/>
        <w:rPr>
          <w:highlight w:val="yellow"/>
        </w:rPr>
      </w:pPr>
      <w:r w:rsidRPr="005E4FAB">
        <w:rPr>
          <w:highlight w:val="yellow"/>
        </w:rPr>
        <w:t>Position and hold embryos anterior to their yolk with one of the forceps and remove the tail posterior to the yolk sac with the other forceps.</w:t>
      </w:r>
    </w:p>
    <w:p w14:paraId="55B1CC59" w14:textId="77777777" w:rsidR="00376F01" w:rsidRPr="005E4FAB" w:rsidRDefault="00376F01" w:rsidP="00376F01">
      <w:pPr>
        <w:pStyle w:val="ListParagraph"/>
        <w:ind w:left="0"/>
        <w:rPr>
          <w:highlight w:val="yellow"/>
        </w:rPr>
      </w:pPr>
    </w:p>
    <w:p w14:paraId="21B05F3F" w14:textId="77777777" w:rsidR="00376F01" w:rsidRPr="005E4FAB" w:rsidRDefault="00191A79" w:rsidP="00E936C2">
      <w:pPr>
        <w:pStyle w:val="ListParagraph"/>
        <w:numPr>
          <w:ilvl w:val="2"/>
          <w:numId w:val="11"/>
        </w:numPr>
        <w:ind w:left="0" w:firstLine="0"/>
        <w:rPr>
          <w:highlight w:val="yellow"/>
        </w:rPr>
      </w:pPr>
      <w:r w:rsidRPr="005E4FAB">
        <w:rPr>
          <w:highlight w:val="yellow"/>
        </w:rPr>
        <w:t>Grab the neck with forceps and take off the head to expose brain and eyes to the E2 media. Avoid cutting the yolk sac.</w:t>
      </w:r>
    </w:p>
    <w:p w14:paraId="56FBF095" w14:textId="77777777" w:rsidR="00376F01" w:rsidRPr="005E4FAB" w:rsidRDefault="00376F01" w:rsidP="00376F01">
      <w:pPr>
        <w:pStyle w:val="ListParagraph"/>
        <w:ind w:left="0"/>
        <w:rPr>
          <w:highlight w:val="yellow"/>
        </w:rPr>
      </w:pPr>
    </w:p>
    <w:p w14:paraId="6E205756" w14:textId="77777777" w:rsidR="00376F01" w:rsidRPr="005E4FAB" w:rsidRDefault="00191A79" w:rsidP="00E936C2">
      <w:pPr>
        <w:pStyle w:val="ListParagraph"/>
        <w:numPr>
          <w:ilvl w:val="2"/>
          <w:numId w:val="11"/>
        </w:numPr>
        <w:ind w:left="0" w:firstLine="0"/>
        <w:rPr>
          <w:highlight w:val="yellow"/>
        </w:rPr>
      </w:pPr>
      <w:r w:rsidRPr="005E4FAB">
        <w:rPr>
          <w:highlight w:val="yellow"/>
        </w:rPr>
        <w:t>With the tip of fine forceps, gently roll the eyes off from the head, while holding the cranial tissue down with the second forceps. Keep eyes isolated from the adjacent tissue debris.</w:t>
      </w:r>
    </w:p>
    <w:p w14:paraId="17E8E20A" w14:textId="77777777" w:rsidR="00376F01" w:rsidRPr="005E4FAB" w:rsidRDefault="00376F01" w:rsidP="00376F01">
      <w:pPr>
        <w:pStyle w:val="ListParagraph"/>
        <w:ind w:left="0"/>
        <w:rPr>
          <w:highlight w:val="yellow"/>
        </w:rPr>
      </w:pPr>
    </w:p>
    <w:p w14:paraId="40F909D8" w14:textId="77777777" w:rsidR="00376F01" w:rsidRPr="005E4FAB" w:rsidRDefault="00191A79" w:rsidP="00E936C2">
      <w:pPr>
        <w:pStyle w:val="ListParagraph"/>
        <w:numPr>
          <w:ilvl w:val="2"/>
          <w:numId w:val="11"/>
        </w:numPr>
        <w:ind w:left="0" w:firstLine="0"/>
        <w:rPr>
          <w:highlight w:val="yellow"/>
        </w:rPr>
      </w:pPr>
      <w:r w:rsidRPr="005E4FAB">
        <w:rPr>
          <w:highlight w:val="yellow"/>
        </w:rPr>
        <w:t xml:space="preserve">Transfer four eyes to one of the previously-prepared tubes containing </w:t>
      </w:r>
      <w:proofErr w:type="gramStart"/>
      <w:r w:rsidRPr="005E4FAB">
        <w:rPr>
          <w:highlight w:val="yellow"/>
        </w:rPr>
        <w:t>ZFCM(</w:t>
      </w:r>
      <w:proofErr w:type="gramEnd"/>
      <w:r w:rsidRPr="005E4FAB">
        <w:rPr>
          <w:highlight w:val="yellow"/>
        </w:rPr>
        <w:t>+).</w:t>
      </w:r>
    </w:p>
    <w:p w14:paraId="4B09A179" w14:textId="77777777" w:rsidR="00376F01" w:rsidRPr="005E4FAB" w:rsidRDefault="00376F01" w:rsidP="00376F01">
      <w:pPr>
        <w:pStyle w:val="ListParagraph"/>
        <w:ind w:left="0"/>
        <w:rPr>
          <w:highlight w:val="yellow"/>
        </w:rPr>
      </w:pPr>
    </w:p>
    <w:p w14:paraId="5B819F3D" w14:textId="77777777" w:rsidR="00376F01" w:rsidRPr="005E4FAB" w:rsidRDefault="00191A79" w:rsidP="00E936C2">
      <w:pPr>
        <w:pStyle w:val="ListParagraph"/>
        <w:numPr>
          <w:ilvl w:val="2"/>
          <w:numId w:val="11"/>
        </w:numPr>
        <w:ind w:left="0" w:firstLine="0"/>
        <w:rPr>
          <w:highlight w:val="yellow"/>
        </w:rPr>
      </w:pPr>
      <w:r w:rsidRPr="005E4FAB">
        <w:rPr>
          <w:highlight w:val="yellow"/>
        </w:rPr>
        <w:t xml:space="preserve">Gently titrate up and down with the P20 pipette and a yellow tip about 45 times to dissociate cells. Avoid </w:t>
      </w:r>
      <w:r w:rsidR="00857136" w:rsidRPr="005E4FAB">
        <w:rPr>
          <w:highlight w:val="yellow"/>
        </w:rPr>
        <w:t xml:space="preserve">any air </w:t>
      </w:r>
      <w:r w:rsidRPr="005E4FAB">
        <w:rPr>
          <w:highlight w:val="yellow"/>
        </w:rPr>
        <w:t>bubbles.</w:t>
      </w:r>
    </w:p>
    <w:p w14:paraId="069E8A21" w14:textId="77777777" w:rsidR="00376F01" w:rsidRPr="005E4FAB" w:rsidRDefault="00376F01" w:rsidP="00376F01">
      <w:pPr>
        <w:pStyle w:val="ListParagraph"/>
        <w:ind w:left="0"/>
        <w:rPr>
          <w:highlight w:val="yellow"/>
        </w:rPr>
      </w:pPr>
    </w:p>
    <w:p w14:paraId="11DC1E69" w14:textId="77777777" w:rsidR="00376F01" w:rsidRPr="005E4FAB" w:rsidRDefault="00191A79" w:rsidP="00E936C2">
      <w:pPr>
        <w:pStyle w:val="ListParagraph"/>
        <w:numPr>
          <w:ilvl w:val="2"/>
          <w:numId w:val="11"/>
        </w:numPr>
        <w:ind w:left="0" w:firstLine="0"/>
        <w:rPr>
          <w:highlight w:val="yellow"/>
        </w:rPr>
      </w:pPr>
      <w:r w:rsidRPr="005E4FAB">
        <w:rPr>
          <w:highlight w:val="yellow"/>
        </w:rPr>
        <w:t xml:space="preserve">Transfer the </w:t>
      </w:r>
      <w:proofErr w:type="gramStart"/>
      <w:r w:rsidRPr="005E4FAB">
        <w:rPr>
          <w:highlight w:val="yellow"/>
        </w:rPr>
        <w:t>ZFCM(</w:t>
      </w:r>
      <w:proofErr w:type="gramEnd"/>
      <w:r w:rsidRPr="005E4FAB">
        <w:rPr>
          <w:highlight w:val="yellow"/>
        </w:rPr>
        <w:t>+) with dissociated cells to the center of the coverslip. Repeat steps 10-12 for additional coverslips.</w:t>
      </w:r>
    </w:p>
    <w:p w14:paraId="629957C4" w14:textId="77777777" w:rsidR="00376F01" w:rsidRPr="005E4FAB" w:rsidRDefault="00376F01" w:rsidP="00376F01">
      <w:pPr>
        <w:pStyle w:val="ListParagraph"/>
        <w:ind w:left="0"/>
        <w:rPr>
          <w:highlight w:val="yellow"/>
        </w:rPr>
      </w:pPr>
    </w:p>
    <w:p w14:paraId="429816E7" w14:textId="583A8BFF" w:rsidR="00376F01" w:rsidRPr="005E4FAB" w:rsidRDefault="00191A79" w:rsidP="00E936C2">
      <w:pPr>
        <w:pStyle w:val="ListParagraph"/>
        <w:numPr>
          <w:ilvl w:val="2"/>
          <w:numId w:val="11"/>
        </w:numPr>
        <w:ind w:left="0" w:firstLine="0"/>
        <w:rPr>
          <w:highlight w:val="yellow"/>
        </w:rPr>
      </w:pPr>
      <w:r w:rsidRPr="005E4FAB">
        <w:rPr>
          <w:highlight w:val="yellow"/>
        </w:rPr>
        <w:t xml:space="preserve">Maintain cultures on benchtop at 22 °C on a </w:t>
      </w:r>
      <w:r w:rsidR="00E050B1">
        <w:rPr>
          <w:highlight w:val="yellow"/>
        </w:rPr>
        <w:t>polystyrene foam</w:t>
      </w:r>
      <w:r w:rsidRPr="005E4FAB">
        <w:rPr>
          <w:highlight w:val="yellow"/>
        </w:rPr>
        <w:t xml:space="preserve"> rack to absorb vibrations. </w:t>
      </w:r>
    </w:p>
    <w:p w14:paraId="4C309689" w14:textId="77777777" w:rsidR="00376F01" w:rsidRPr="005E4FAB" w:rsidRDefault="00376F01" w:rsidP="00376F01">
      <w:pPr>
        <w:pStyle w:val="ListParagraph"/>
        <w:ind w:left="0"/>
        <w:rPr>
          <w:highlight w:val="yellow"/>
        </w:rPr>
      </w:pPr>
    </w:p>
    <w:p w14:paraId="7802E3DC" w14:textId="177DC702" w:rsidR="00191A79" w:rsidRPr="005E4FAB" w:rsidRDefault="00E050B1" w:rsidP="00E936C2">
      <w:pPr>
        <w:pStyle w:val="ListParagraph"/>
        <w:numPr>
          <w:ilvl w:val="2"/>
          <w:numId w:val="11"/>
        </w:numPr>
        <w:ind w:left="0" w:firstLine="0"/>
        <w:rPr>
          <w:highlight w:val="yellow"/>
        </w:rPr>
      </w:pPr>
      <w:r>
        <w:rPr>
          <w:highlight w:val="yellow"/>
        </w:rPr>
        <w:t>Perform i</w:t>
      </w:r>
      <w:r w:rsidR="00191A79" w:rsidRPr="005E4FAB">
        <w:rPr>
          <w:highlight w:val="yellow"/>
        </w:rPr>
        <w:t>maging 6-24 h after plating.</w:t>
      </w:r>
    </w:p>
    <w:p w14:paraId="21EC634A" w14:textId="77777777" w:rsidR="00191A79" w:rsidRPr="005E4FAB" w:rsidRDefault="00191A79" w:rsidP="00376F01">
      <w:pPr>
        <w:pStyle w:val="ListParagraph"/>
        <w:ind w:left="0"/>
        <w:rPr>
          <w:highlight w:val="yellow"/>
        </w:rPr>
      </w:pPr>
    </w:p>
    <w:p w14:paraId="04A9C4CF" w14:textId="15FF4C88" w:rsidR="00191A79" w:rsidRPr="005E4FAB" w:rsidRDefault="00191A79" w:rsidP="00376F01">
      <w:pPr>
        <w:rPr>
          <w:highlight w:val="yellow"/>
        </w:rPr>
      </w:pPr>
      <w:r w:rsidRPr="005E4FAB">
        <w:rPr>
          <w:highlight w:val="yellow"/>
        </w:rPr>
        <w:t>NOTE: Use transfer pipette to translocate embryos to different culture dishes. Change the pipette for each solution to prevent carry</w:t>
      </w:r>
      <w:r w:rsidR="00857136" w:rsidRPr="005E4FAB">
        <w:rPr>
          <w:highlight w:val="yellow"/>
        </w:rPr>
        <w:t xml:space="preserve">ing </w:t>
      </w:r>
      <w:r w:rsidRPr="005E4FAB">
        <w:rPr>
          <w:highlight w:val="yellow"/>
        </w:rPr>
        <w:t xml:space="preserve">over </w:t>
      </w:r>
      <w:r w:rsidR="00857136" w:rsidRPr="005E4FAB">
        <w:rPr>
          <w:highlight w:val="yellow"/>
        </w:rPr>
        <w:t xml:space="preserve">ethanol </w:t>
      </w:r>
      <w:r w:rsidRPr="005E4FAB">
        <w:rPr>
          <w:highlight w:val="yellow"/>
        </w:rPr>
        <w:t>(Steps 6-8).</w:t>
      </w:r>
    </w:p>
    <w:p w14:paraId="44F1FBBD" w14:textId="77777777" w:rsidR="00DA19BA" w:rsidRPr="00E050B1" w:rsidRDefault="00DA19BA" w:rsidP="00376F01">
      <w:pPr>
        <w:pStyle w:val="Heading1"/>
        <w:spacing w:before="0" w:after="0"/>
        <w:rPr>
          <w:sz w:val="24"/>
          <w:szCs w:val="24"/>
          <w:highlight w:val="yellow"/>
        </w:rPr>
      </w:pPr>
    </w:p>
    <w:p w14:paraId="7FEFF224" w14:textId="53281D1E" w:rsidR="00191A79" w:rsidRPr="00E050B1" w:rsidRDefault="00191A79" w:rsidP="00376F01">
      <w:pPr>
        <w:pStyle w:val="Heading1"/>
        <w:spacing w:before="0" w:after="0"/>
        <w:rPr>
          <w:sz w:val="24"/>
          <w:szCs w:val="24"/>
          <w:highlight w:val="yellow"/>
        </w:rPr>
      </w:pPr>
      <w:r w:rsidRPr="00E050B1">
        <w:rPr>
          <w:sz w:val="24"/>
          <w:szCs w:val="24"/>
          <w:highlight w:val="yellow"/>
        </w:rPr>
        <w:t>4. In vitro ROS imaging of cultured RGC neurons</w:t>
      </w:r>
    </w:p>
    <w:p w14:paraId="33295114" w14:textId="77777777" w:rsidR="00191A79" w:rsidRPr="00E050B1" w:rsidRDefault="00191A79" w:rsidP="00376F01">
      <w:pPr>
        <w:rPr>
          <w:highlight w:val="yellow"/>
        </w:rPr>
      </w:pPr>
    </w:p>
    <w:p w14:paraId="79BA0F96" w14:textId="5635F380" w:rsidR="00CC10B0" w:rsidRPr="005E4FAB" w:rsidRDefault="00191A79" w:rsidP="00E936C2">
      <w:pPr>
        <w:pStyle w:val="ListParagraph"/>
        <w:numPr>
          <w:ilvl w:val="1"/>
          <w:numId w:val="9"/>
        </w:numPr>
        <w:ind w:left="0" w:firstLine="0"/>
        <w:rPr>
          <w:highlight w:val="yellow"/>
        </w:rPr>
      </w:pPr>
      <w:r w:rsidRPr="005E4FAB">
        <w:rPr>
          <w:highlight w:val="yellow"/>
        </w:rPr>
        <w:t xml:space="preserve">On the day of imaging (typically </w:t>
      </w:r>
      <w:r w:rsidR="00061C05" w:rsidRPr="005E4FAB">
        <w:rPr>
          <w:highlight w:val="yellow"/>
        </w:rPr>
        <w:t>6-24 h after</w:t>
      </w:r>
      <w:r w:rsidRPr="005E4FAB">
        <w:rPr>
          <w:highlight w:val="yellow"/>
        </w:rPr>
        <w:t xml:space="preserve"> cell plating), check cells under microscope to validate growth of RGC axons.</w:t>
      </w:r>
    </w:p>
    <w:p w14:paraId="1ED59EE3" w14:textId="77777777" w:rsidR="00CC10B0" w:rsidRPr="005E4FAB" w:rsidRDefault="00CC10B0" w:rsidP="00376F01">
      <w:pPr>
        <w:pStyle w:val="ListParagraph"/>
        <w:ind w:left="0"/>
        <w:rPr>
          <w:highlight w:val="yellow"/>
        </w:rPr>
      </w:pPr>
    </w:p>
    <w:p w14:paraId="171C2798" w14:textId="4E7C42A0" w:rsidR="00CC10B0" w:rsidRPr="005E4FAB" w:rsidRDefault="00191A79" w:rsidP="00E936C2">
      <w:pPr>
        <w:pStyle w:val="ListParagraph"/>
        <w:numPr>
          <w:ilvl w:val="1"/>
          <w:numId w:val="9"/>
        </w:numPr>
        <w:ind w:left="0" w:firstLine="0"/>
        <w:rPr>
          <w:highlight w:val="yellow"/>
        </w:rPr>
      </w:pPr>
      <w:r w:rsidRPr="005E4FAB">
        <w:rPr>
          <w:highlight w:val="yellow"/>
        </w:rPr>
        <w:t xml:space="preserve">For live-cell imaging, transfer coverslips from culture dish to a live cell imaging chamber. </w:t>
      </w:r>
      <w:r w:rsidR="00E050B1">
        <w:rPr>
          <w:highlight w:val="yellow"/>
        </w:rPr>
        <w:t>In this case</w:t>
      </w:r>
      <w:r w:rsidRPr="005E4FAB">
        <w:rPr>
          <w:highlight w:val="yellow"/>
        </w:rPr>
        <w:t xml:space="preserve"> a custom-made open </w:t>
      </w:r>
      <w:r w:rsidR="00857136" w:rsidRPr="005E4FAB">
        <w:rPr>
          <w:highlight w:val="yellow"/>
        </w:rPr>
        <w:t>chamber, which</w:t>
      </w:r>
      <w:r w:rsidRPr="005E4FAB">
        <w:rPr>
          <w:highlight w:val="yellow"/>
        </w:rPr>
        <w:t xml:space="preserve"> has been previously</w:t>
      </w:r>
      <w:r w:rsidRPr="005E4FAB" w:rsidDel="00FB6138">
        <w:rPr>
          <w:highlight w:val="yellow"/>
        </w:rPr>
        <w:t xml:space="preserve"> </w:t>
      </w:r>
      <w:r w:rsidRPr="005E4FAB">
        <w:rPr>
          <w:highlight w:val="yellow"/>
        </w:rPr>
        <w:t>described</w:t>
      </w:r>
      <w:r w:rsidR="00E050B1">
        <w:rPr>
          <w:highlight w:val="yellow"/>
        </w:rPr>
        <w:t xml:space="preserve"> was used</w:t>
      </w:r>
      <w:r w:rsidRPr="005E4FAB">
        <w:rPr>
          <w:noProof/>
          <w:highlight w:val="yellow"/>
          <w:vertAlign w:val="superscript"/>
        </w:rPr>
        <w:t>23</w:t>
      </w:r>
      <w:r w:rsidRPr="005E4FAB">
        <w:rPr>
          <w:highlight w:val="yellow"/>
        </w:rPr>
        <w:t>.</w:t>
      </w:r>
    </w:p>
    <w:p w14:paraId="1478D864" w14:textId="77777777" w:rsidR="00CC10B0" w:rsidRPr="005E4FAB" w:rsidRDefault="00CC10B0" w:rsidP="00376F01">
      <w:pPr>
        <w:pStyle w:val="ListParagraph"/>
        <w:ind w:left="0"/>
        <w:rPr>
          <w:highlight w:val="yellow"/>
        </w:rPr>
      </w:pPr>
    </w:p>
    <w:p w14:paraId="4F55D99F" w14:textId="71F05A2C" w:rsidR="00CC10B0" w:rsidRPr="005E4FAB" w:rsidRDefault="00191A79" w:rsidP="00E936C2">
      <w:pPr>
        <w:pStyle w:val="ListParagraph"/>
        <w:numPr>
          <w:ilvl w:val="1"/>
          <w:numId w:val="9"/>
        </w:numPr>
        <w:ind w:left="0" w:firstLine="0"/>
        <w:rPr>
          <w:highlight w:val="yellow"/>
        </w:rPr>
      </w:pPr>
      <w:r w:rsidRPr="005E4FAB">
        <w:rPr>
          <w:highlight w:val="yellow"/>
        </w:rPr>
        <w:t xml:space="preserve">Set up microscope for imaging. </w:t>
      </w:r>
      <w:r w:rsidR="00DA19BA">
        <w:rPr>
          <w:highlight w:val="yellow"/>
        </w:rPr>
        <w:t xml:space="preserve">Use </w:t>
      </w:r>
      <w:r w:rsidRPr="005E4FAB">
        <w:rPr>
          <w:highlight w:val="yellow"/>
        </w:rPr>
        <w:t>an inverted microscope equipped with a differential interference contrast (DIC) objective, OG590 long-pass red filter, and an EM</w:t>
      </w:r>
      <w:r w:rsidR="007111AD" w:rsidRPr="005E4FAB">
        <w:rPr>
          <w:highlight w:val="yellow"/>
        </w:rPr>
        <w:t>-</w:t>
      </w:r>
      <w:r w:rsidRPr="005E4FAB">
        <w:rPr>
          <w:highlight w:val="yellow"/>
        </w:rPr>
        <w:t xml:space="preserve">CCD camera. </w:t>
      </w:r>
    </w:p>
    <w:p w14:paraId="412B6267" w14:textId="77777777" w:rsidR="00CC10B0" w:rsidRPr="005E4FAB" w:rsidRDefault="00CC10B0" w:rsidP="00376F01">
      <w:pPr>
        <w:pStyle w:val="ListParagraph"/>
        <w:ind w:left="0"/>
        <w:rPr>
          <w:highlight w:val="yellow"/>
        </w:rPr>
      </w:pPr>
    </w:p>
    <w:p w14:paraId="02EC6E0D" w14:textId="77777777" w:rsidR="00CC10B0" w:rsidRPr="005E4FAB" w:rsidRDefault="00191A79" w:rsidP="00E936C2">
      <w:pPr>
        <w:pStyle w:val="ListParagraph"/>
        <w:numPr>
          <w:ilvl w:val="1"/>
          <w:numId w:val="9"/>
        </w:numPr>
        <w:ind w:left="0" w:firstLine="0"/>
        <w:rPr>
          <w:highlight w:val="yellow"/>
        </w:rPr>
      </w:pPr>
      <w:r w:rsidRPr="005E4FAB">
        <w:rPr>
          <w:highlight w:val="yellow"/>
        </w:rPr>
        <w:t xml:space="preserve">Before imaging, replace the </w:t>
      </w:r>
      <w:proofErr w:type="gramStart"/>
      <w:r w:rsidRPr="005E4FAB">
        <w:rPr>
          <w:highlight w:val="yellow"/>
        </w:rPr>
        <w:t>ZFCM(</w:t>
      </w:r>
      <w:proofErr w:type="gramEnd"/>
      <w:r w:rsidRPr="005E4FAB">
        <w:rPr>
          <w:highlight w:val="yellow"/>
        </w:rPr>
        <w:t>+) medium with ZFCM(-).</w:t>
      </w:r>
    </w:p>
    <w:p w14:paraId="1985730E" w14:textId="77777777" w:rsidR="00CC10B0" w:rsidRPr="005E4FAB" w:rsidRDefault="00CC10B0" w:rsidP="00376F01">
      <w:pPr>
        <w:pStyle w:val="ListParagraph"/>
        <w:ind w:left="0"/>
        <w:rPr>
          <w:highlight w:val="yellow"/>
        </w:rPr>
      </w:pPr>
    </w:p>
    <w:p w14:paraId="48390C24" w14:textId="5B860FE8" w:rsidR="00CC10B0" w:rsidRPr="005E4FAB" w:rsidRDefault="00191A79" w:rsidP="00E936C2">
      <w:pPr>
        <w:pStyle w:val="ListParagraph"/>
        <w:numPr>
          <w:ilvl w:val="1"/>
          <w:numId w:val="9"/>
        </w:numPr>
        <w:ind w:left="0" w:firstLine="0"/>
        <w:rPr>
          <w:highlight w:val="yellow"/>
        </w:rPr>
      </w:pPr>
      <w:r w:rsidRPr="005E4FAB">
        <w:rPr>
          <w:highlight w:val="yellow"/>
        </w:rPr>
        <w:t>Once cells are positioned with 10x objective, acquire images at 60x magnification</w:t>
      </w:r>
      <w:r w:rsidR="00857136" w:rsidRPr="005E4FAB">
        <w:rPr>
          <w:highlight w:val="yellow"/>
        </w:rPr>
        <w:t xml:space="preserve"> using a high NA oil immersion objective</w:t>
      </w:r>
      <w:r w:rsidRPr="005E4FAB">
        <w:rPr>
          <w:highlight w:val="yellow"/>
        </w:rPr>
        <w:t xml:space="preserve">. </w:t>
      </w:r>
      <w:r w:rsidR="00DA19BA">
        <w:rPr>
          <w:highlight w:val="yellow"/>
        </w:rPr>
        <w:t>Use</w:t>
      </w:r>
      <w:r w:rsidRPr="005E4FAB">
        <w:rPr>
          <w:highlight w:val="yellow"/>
        </w:rPr>
        <w:t xml:space="preserve"> an additional 1.5x magnification.</w:t>
      </w:r>
    </w:p>
    <w:p w14:paraId="24258FCF" w14:textId="77777777" w:rsidR="00CC10B0" w:rsidRPr="005E4FAB" w:rsidRDefault="00CC10B0" w:rsidP="00376F01">
      <w:pPr>
        <w:pStyle w:val="ListParagraph"/>
        <w:ind w:left="0"/>
        <w:rPr>
          <w:highlight w:val="yellow"/>
        </w:rPr>
      </w:pPr>
    </w:p>
    <w:p w14:paraId="0A5F1DE3" w14:textId="6C4106EF" w:rsidR="00CC10B0" w:rsidRPr="005E4FAB" w:rsidRDefault="00191A79" w:rsidP="00E936C2">
      <w:pPr>
        <w:pStyle w:val="ListParagraph"/>
        <w:numPr>
          <w:ilvl w:val="1"/>
          <w:numId w:val="9"/>
        </w:numPr>
        <w:ind w:left="0" w:firstLine="0"/>
        <w:rPr>
          <w:highlight w:val="yellow"/>
        </w:rPr>
      </w:pPr>
      <w:r w:rsidRPr="005E4FAB">
        <w:rPr>
          <w:highlight w:val="yellow"/>
        </w:rPr>
        <w:t xml:space="preserve">First, acquire DIC images. Then, </w:t>
      </w:r>
      <w:r w:rsidR="00857136" w:rsidRPr="005E4FAB">
        <w:rPr>
          <w:highlight w:val="yellow"/>
        </w:rPr>
        <w:t>image roGFP2-Orp1 using an appropriate filter set.</w:t>
      </w:r>
      <w:r w:rsidR="00DA19BA">
        <w:rPr>
          <w:highlight w:val="yellow"/>
        </w:rPr>
        <w:t xml:space="preserve"> E</w:t>
      </w:r>
      <w:r w:rsidR="00857136" w:rsidRPr="005E4FAB">
        <w:rPr>
          <w:highlight w:val="yellow"/>
        </w:rPr>
        <w:t xml:space="preserve">xcite </w:t>
      </w:r>
      <w:r w:rsidR="002A2E83" w:rsidRPr="005E4FAB">
        <w:rPr>
          <w:highlight w:val="yellow"/>
        </w:rPr>
        <w:lastRenderedPageBreak/>
        <w:t>roGFP2-Orp1</w:t>
      </w:r>
      <w:r w:rsidRPr="005E4FAB">
        <w:rPr>
          <w:highlight w:val="yellow"/>
        </w:rPr>
        <w:t xml:space="preserve"> with 405/20 and 480/30 nm excitation filters sequentially and acquire images with 535/30 nm emission filter after emission light has passed the dichroic mirror 505DCXR.</w:t>
      </w:r>
    </w:p>
    <w:p w14:paraId="0168DF03" w14:textId="77777777" w:rsidR="00CC10B0" w:rsidRPr="005E4FAB" w:rsidRDefault="00CC10B0" w:rsidP="00376F01">
      <w:pPr>
        <w:pStyle w:val="ListParagraph"/>
        <w:ind w:left="0"/>
        <w:rPr>
          <w:highlight w:val="yellow"/>
        </w:rPr>
      </w:pPr>
    </w:p>
    <w:p w14:paraId="45543997" w14:textId="42157A24" w:rsidR="00CC10B0" w:rsidRPr="005E4FAB" w:rsidRDefault="00191A79" w:rsidP="00E936C2">
      <w:pPr>
        <w:pStyle w:val="ListParagraph"/>
        <w:numPr>
          <w:ilvl w:val="1"/>
          <w:numId w:val="9"/>
        </w:numPr>
        <w:ind w:left="0" w:firstLine="0"/>
        <w:rPr>
          <w:highlight w:val="yellow"/>
        </w:rPr>
      </w:pPr>
      <w:r w:rsidRPr="005E4FAB">
        <w:rPr>
          <w:highlight w:val="yellow"/>
        </w:rPr>
        <w:t xml:space="preserve">After taking the first set of images, </w:t>
      </w:r>
      <w:r w:rsidR="00E050B1">
        <w:rPr>
          <w:highlight w:val="yellow"/>
        </w:rPr>
        <w:t xml:space="preserve">exchange </w:t>
      </w:r>
      <w:r w:rsidRPr="005E4FAB">
        <w:rPr>
          <w:highlight w:val="yellow"/>
        </w:rPr>
        <w:t xml:space="preserve">media with media containing different treatment solutions. Media should be changed every 30 min of imaging to avoid pH and osmolarity changes. </w:t>
      </w:r>
    </w:p>
    <w:p w14:paraId="1B657C27" w14:textId="77777777" w:rsidR="00CC10B0" w:rsidRPr="00E050B1" w:rsidRDefault="00CC10B0" w:rsidP="00376F01">
      <w:pPr>
        <w:pStyle w:val="ListParagraph"/>
        <w:ind w:left="0"/>
      </w:pPr>
    </w:p>
    <w:p w14:paraId="3FFE02AB" w14:textId="085F267D" w:rsidR="00191A79" w:rsidRPr="00E050B1" w:rsidRDefault="00191A79" w:rsidP="00376F01">
      <w:pPr>
        <w:rPr>
          <w:b/>
          <w:bCs/>
        </w:rPr>
      </w:pPr>
      <w:r w:rsidRPr="00E050B1">
        <w:rPr>
          <w:b/>
          <w:bCs/>
          <w:highlight w:val="yellow"/>
        </w:rPr>
        <w:t>5. In vivo ROS imaging of developing embryos</w:t>
      </w:r>
    </w:p>
    <w:p w14:paraId="0EB92C52" w14:textId="77777777" w:rsidR="00191A79" w:rsidRPr="002246F2" w:rsidRDefault="00191A79" w:rsidP="00376F01">
      <w:pPr>
        <w:rPr>
          <w:highlight w:val="yellow"/>
        </w:rPr>
      </w:pPr>
    </w:p>
    <w:p w14:paraId="7251FE46" w14:textId="77777777" w:rsidR="00CC10B0" w:rsidRPr="002246F2" w:rsidRDefault="00191A79" w:rsidP="00E936C2">
      <w:pPr>
        <w:pStyle w:val="ListParagraph"/>
        <w:numPr>
          <w:ilvl w:val="1"/>
          <w:numId w:val="8"/>
        </w:numPr>
        <w:ind w:left="0" w:firstLine="0"/>
        <w:rPr>
          <w:highlight w:val="yellow"/>
        </w:rPr>
      </w:pPr>
      <w:r w:rsidRPr="002246F2">
        <w:rPr>
          <w:highlight w:val="yellow"/>
        </w:rPr>
        <w:t xml:space="preserve">For </w:t>
      </w:r>
      <w:r w:rsidRPr="00E050B1">
        <w:rPr>
          <w:iCs/>
          <w:highlight w:val="yellow"/>
        </w:rPr>
        <w:t xml:space="preserve">in vivo imaging, keep embryos in E3 </w:t>
      </w:r>
      <w:r w:rsidRPr="002246F2">
        <w:rPr>
          <w:highlight w:val="yellow"/>
        </w:rPr>
        <w:t>media containing 0.003% Phenylthiourea (PTU) without methylene blue from 22-24 hpf. Exchange media and remove dead embryos on a daily basis.</w:t>
      </w:r>
    </w:p>
    <w:p w14:paraId="4FFFCD17" w14:textId="77777777" w:rsidR="00CC10B0" w:rsidRPr="00E050B1" w:rsidRDefault="00CC10B0" w:rsidP="00376F01">
      <w:pPr>
        <w:pStyle w:val="ListParagraph"/>
        <w:ind w:left="0"/>
      </w:pPr>
    </w:p>
    <w:p w14:paraId="59CA5020" w14:textId="2C01D748" w:rsidR="00CC10B0" w:rsidRPr="002246F2" w:rsidRDefault="00191A79" w:rsidP="00E936C2">
      <w:pPr>
        <w:pStyle w:val="ListParagraph"/>
        <w:numPr>
          <w:ilvl w:val="1"/>
          <w:numId w:val="8"/>
        </w:numPr>
        <w:ind w:left="0" w:firstLine="0"/>
        <w:rPr>
          <w:highlight w:val="yellow"/>
        </w:rPr>
      </w:pPr>
      <w:r w:rsidRPr="00E050B1">
        <w:t xml:space="preserve">At the desired age, anesthetize embryos in 0.016% tricaine. </w:t>
      </w:r>
      <w:r w:rsidR="00DA19BA" w:rsidRPr="002246F2">
        <w:rPr>
          <w:highlight w:val="yellow"/>
        </w:rPr>
        <w:t xml:space="preserve"> </w:t>
      </w:r>
      <w:r w:rsidRPr="002246F2">
        <w:rPr>
          <w:highlight w:val="yellow"/>
        </w:rPr>
        <w:t>Mount anesthetized embryos in 1% low-melting agarose on 35-mm glass bottom culture dishes. Embryos can be oriented dorsally, ventrally or laterally, depending on the region of interest for imaging.</w:t>
      </w:r>
    </w:p>
    <w:p w14:paraId="167FD612" w14:textId="77777777" w:rsidR="00CC10B0" w:rsidRPr="002246F2" w:rsidRDefault="00CC10B0" w:rsidP="00376F01">
      <w:pPr>
        <w:pStyle w:val="ListParagraph"/>
        <w:ind w:left="0"/>
        <w:rPr>
          <w:highlight w:val="yellow"/>
        </w:rPr>
      </w:pPr>
    </w:p>
    <w:p w14:paraId="6293F338" w14:textId="77777777" w:rsidR="00CC10B0" w:rsidRPr="002246F2" w:rsidRDefault="00191A79" w:rsidP="00E936C2">
      <w:pPr>
        <w:pStyle w:val="ListParagraph"/>
        <w:numPr>
          <w:ilvl w:val="1"/>
          <w:numId w:val="8"/>
        </w:numPr>
        <w:ind w:left="0" w:firstLine="0"/>
        <w:rPr>
          <w:highlight w:val="yellow"/>
        </w:rPr>
      </w:pPr>
      <w:r w:rsidRPr="002246F2">
        <w:rPr>
          <w:highlight w:val="yellow"/>
        </w:rPr>
        <w:t xml:space="preserve">After agarose solidifies, fill the dishes with E3 media without methylene blue/0.016% tricaine. </w:t>
      </w:r>
    </w:p>
    <w:p w14:paraId="37525BA6" w14:textId="77777777" w:rsidR="00CC10B0" w:rsidRPr="002246F2" w:rsidRDefault="00CC10B0" w:rsidP="00376F01">
      <w:pPr>
        <w:pStyle w:val="ListParagraph"/>
        <w:ind w:left="0"/>
        <w:rPr>
          <w:highlight w:val="yellow"/>
        </w:rPr>
      </w:pPr>
    </w:p>
    <w:p w14:paraId="0167A033" w14:textId="625D96DA" w:rsidR="00CC10B0" w:rsidRPr="002246F2" w:rsidRDefault="00191A79" w:rsidP="00E936C2">
      <w:pPr>
        <w:pStyle w:val="ListParagraph"/>
        <w:numPr>
          <w:ilvl w:val="1"/>
          <w:numId w:val="8"/>
        </w:numPr>
        <w:ind w:left="0" w:firstLine="0"/>
        <w:rPr>
          <w:highlight w:val="yellow"/>
        </w:rPr>
      </w:pPr>
      <w:r w:rsidRPr="002246F2">
        <w:rPr>
          <w:highlight w:val="yellow"/>
        </w:rPr>
        <w:t>Set up</w:t>
      </w:r>
      <w:r w:rsidR="00E050B1">
        <w:rPr>
          <w:highlight w:val="yellow"/>
        </w:rPr>
        <w:t xml:space="preserve"> the</w:t>
      </w:r>
      <w:r w:rsidRPr="002246F2">
        <w:rPr>
          <w:highlight w:val="yellow"/>
        </w:rPr>
        <w:t xml:space="preserve"> microscope for imaging. </w:t>
      </w:r>
      <w:r w:rsidR="00DA19BA" w:rsidRPr="002246F2">
        <w:rPr>
          <w:highlight w:val="yellow"/>
        </w:rPr>
        <w:t>U</w:t>
      </w:r>
      <w:r w:rsidRPr="002246F2">
        <w:rPr>
          <w:highlight w:val="yellow"/>
        </w:rPr>
        <w:t>se an inverted laser scanning confocal microscope. Alternatively, use an upright confocal microscope equipped with a water immersion lens to image embryos mounted on top of an agarose drop.</w:t>
      </w:r>
    </w:p>
    <w:p w14:paraId="196AFF51" w14:textId="77777777" w:rsidR="00CC10B0" w:rsidRPr="002246F2" w:rsidRDefault="00CC10B0" w:rsidP="00376F01">
      <w:pPr>
        <w:pStyle w:val="ListParagraph"/>
        <w:ind w:left="0"/>
        <w:rPr>
          <w:highlight w:val="yellow"/>
        </w:rPr>
      </w:pPr>
    </w:p>
    <w:p w14:paraId="69DA0BA5" w14:textId="77777777" w:rsidR="00CC10B0" w:rsidRPr="002246F2" w:rsidRDefault="00191A79" w:rsidP="00E936C2">
      <w:pPr>
        <w:pStyle w:val="ListParagraph"/>
        <w:numPr>
          <w:ilvl w:val="1"/>
          <w:numId w:val="8"/>
        </w:numPr>
        <w:ind w:left="0" w:firstLine="0"/>
        <w:rPr>
          <w:highlight w:val="yellow"/>
        </w:rPr>
      </w:pPr>
      <w:r w:rsidRPr="002246F2">
        <w:rPr>
          <w:highlight w:val="yellow"/>
        </w:rPr>
        <w:t xml:space="preserve">Excite </w:t>
      </w:r>
      <w:r w:rsidR="002A2E83" w:rsidRPr="002246F2">
        <w:rPr>
          <w:highlight w:val="yellow"/>
        </w:rPr>
        <w:t>roGFP2-Orp1</w:t>
      </w:r>
      <w:r w:rsidRPr="002246F2">
        <w:rPr>
          <w:highlight w:val="yellow"/>
        </w:rPr>
        <w:t xml:space="preserve"> with 405 nm and 488 nm excitation filters sequentially and acquire corresponding images </w:t>
      </w:r>
      <w:r w:rsidR="00974082" w:rsidRPr="002246F2">
        <w:rPr>
          <w:highlight w:val="yellow"/>
        </w:rPr>
        <w:t xml:space="preserve">with </w:t>
      </w:r>
      <w:r w:rsidRPr="002246F2">
        <w:rPr>
          <w:highlight w:val="yellow"/>
        </w:rPr>
        <w:t>emission</w:t>
      </w:r>
      <w:r w:rsidR="00974082" w:rsidRPr="002246F2">
        <w:rPr>
          <w:highlight w:val="yellow"/>
        </w:rPr>
        <w:t xml:space="preserve"> filters in the range of 515-535 nm</w:t>
      </w:r>
      <w:r w:rsidRPr="002246F2">
        <w:rPr>
          <w:highlight w:val="yellow"/>
        </w:rPr>
        <w:t>.</w:t>
      </w:r>
    </w:p>
    <w:p w14:paraId="125555CD" w14:textId="77777777" w:rsidR="00CC10B0" w:rsidRPr="002246F2" w:rsidRDefault="00CC10B0" w:rsidP="00376F01">
      <w:pPr>
        <w:pStyle w:val="ListParagraph"/>
        <w:ind w:left="0"/>
        <w:rPr>
          <w:highlight w:val="yellow"/>
        </w:rPr>
      </w:pPr>
    </w:p>
    <w:p w14:paraId="5E771BE8" w14:textId="451DAEA7" w:rsidR="00CC10B0" w:rsidRPr="002246F2" w:rsidRDefault="00191A79" w:rsidP="00E936C2">
      <w:pPr>
        <w:pStyle w:val="ListParagraph"/>
        <w:numPr>
          <w:ilvl w:val="1"/>
          <w:numId w:val="8"/>
        </w:numPr>
        <w:ind w:left="0" w:firstLine="0"/>
        <w:rPr>
          <w:highlight w:val="yellow"/>
        </w:rPr>
      </w:pPr>
      <w:r w:rsidRPr="002246F2">
        <w:rPr>
          <w:highlight w:val="yellow"/>
        </w:rPr>
        <w:t>Acquire z-stacks with 5 µm section thickness through the desired part of the embryos.</w:t>
      </w:r>
      <w:r w:rsidR="00E050B1" w:rsidRPr="00E050B1">
        <w:rPr>
          <w:highlight w:val="yellow"/>
        </w:rPr>
        <w:t xml:space="preserve"> </w:t>
      </w:r>
      <w:r w:rsidR="00E050B1" w:rsidRPr="002246F2">
        <w:rPr>
          <w:highlight w:val="yellow"/>
        </w:rPr>
        <w:t>Embryos can be kept for imaging at later stages of development.</w:t>
      </w:r>
    </w:p>
    <w:p w14:paraId="25D92262" w14:textId="77777777" w:rsidR="00CC10B0" w:rsidRPr="002246F2" w:rsidRDefault="00CC10B0" w:rsidP="00376F01">
      <w:pPr>
        <w:pStyle w:val="ListParagraph"/>
        <w:ind w:left="0"/>
        <w:rPr>
          <w:highlight w:val="yellow"/>
        </w:rPr>
      </w:pPr>
    </w:p>
    <w:p w14:paraId="6244B5A9" w14:textId="1C18420B" w:rsidR="00191A79" w:rsidRPr="002246F2" w:rsidRDefault="00191A79" w:rsidP="00E936C2">
      <w:pPr>
        <w:pStyle w:val="ListParagraph"/>
        <w:numPr>
          <w:ilvl w:val="1"/>
          <w:numId w:val="8"/>
        </w:numPr>
        <w:ind w:left="0" w:firstLine="0"/>
        <w:rPr>
          <w:highlight w:val="yellow"/>
        </w:rPr>
      </w:pPr>
      <w:r w:rsidRPr="002246F2">
        <w:rPr>
          <w:highlight w:val="yellow"/>
        </w:rPr>
        <w:t xml:space="preserve">After imaging, </w:t>
      </w:r>
      <w:r w:rsidR="00E050B1">
        <w:rPr>
          <w:highlight w:val="yellow"/>
        </w:rPr>
        <w:t xml:space="preserve">remove </w:t>
      </w:r>
      <w:r w:rsidRPr="002246F2">
        <w:rPr>
          <w:highlight w:val="yellow"/>
        </w:rPr>
        <w:t>embryos from agarose with fine forceps and ke</w:t>
      </w:r>
      <w:r w:rsidR="00E050B1">
        <w:rPr>
          <w:highlight w:val="yellow"/>
        </w:rPr>
        <w:t>ep</w:t>
      </w:r>
      <w:r w:rsidRPr="002246F2">
        <w:rPr>
          <w:highlight w:val="yellow"/>
        </w:rPr>
        <w:t xml:space="preserve"> in the incubator until desired age in methylene blue-free media with PTU.</w:t>
      </w:r>
    </w:p>
    <w:p w14:paraId="1B97DB97" w14:textId="77777777" w:rsidR="00DF4172" w:rsidRPr="005E4FAB" w:rsidRDefault="00DF4172" w:rsidP="00376F01"/>
    <w:p w14:paraId="00FA0B76" w14:textId="3F5A1504" w:rsidR="00191A79" w:rsidRPr="005E4FAB" w:rsidRDefault="00191A79" w:rsidP="00376F01">
      <w:pPr>
        <w:pStyle w:val="Heading1"/>
        <w:spacing w:before="0" w:after="0"/>
        <w:rPr>
          <w:sz w:val="24"/>
          <w:szCs w:val="24"/>
        </w:rPr>
      </w:pPr>
      <w:r w:rsidRPr="005E4FAB">
        <w:rPr>
          <w:sz w:val="24"/>
          <w:szCs w:val="24"/>
        </w:rPr>
        <w:t xml:space="preserve">6. Image </w:t>
      </w:r>
      <w:r w:rsidR="00E050B1">
        <w:rPr>
          <w:sz w:val="24"/>
          <w:szCs w:val="24"/>
        </w:rPr>
        <w:t>a</w:t>
      </w:r>
      <w:r w:rsidRPr="005E4FAB">
        <w:rPr>
          <w:sz w:val="24"/>
          <w:szCs w:val="24"/>
        </w:rPr>
        <w:t xml:space="preserve">nalysis and </w:t>
      </w:r>
      <w:r w:rsidR="00E050B1">
        <w:rPr>
          <w:sz w:val="24"/>
          <w:szCs w:val="24"/>
        </w:rPr>
        <w:t>p</w:t>
      </w:r>
      <w:r w:rsidRPr="005E4FAB">
        <w:rPr>
          <w:sz w:val="24"/>
          <w:szCs w:val="24"/>
        </w:rPr>
        <w:t>rocessing</w:t>
      </w:r>
    </w:p>
    <w:p w14:paraId="13965309" w14:textId="77777777" w:rsidR="00191A79" w:rsidRPr="00E050B1" w:rsidRDefault="00191A79" w:rsidP="00376F01"/>
    <w:p w14:paraId="381505B0" w14:textId="77777777" w:rsidR="00CC10B0" w:rsidRPr="00E050B1" w:rsidRDefault="00191A79" w:rsidP="00E936C2">
      <w:pPr>
        <w:pStyle w:val="ListParagraph"/>
        <w:numPr>
          <w:ilvl w:val="1"/>
          <w:numId w:val="4"/>
        </w:numPr>
        <w:ind w:left="0" w:firstLine="0"/>
      </w:pPr>
      <w:r w:rsidRPr="00E050B1">
        <w:t>Measurement of H</w:t>
      </w:r>
      <w:r w:rsidRPr="00E050B1">
        <w:rPr>
          <w:vertAlign w:val="subscript"/>
        </w:rPr>
        <w:t>2</w:t>
      </w:r>
      <w:r w:rsidRPr="00E050B1">
        <w:t>O</w:t>
      </w:r>
      <w:r w:rsidRPr="00E050B1">
        <w:rPr>
          <w:vertAlign w:val="subscript"/>
        </w:rPr>
        <w:t>2</w:t>
      </w:r>
      <w:r w:rsidRPr="00E050B1">
        <w:t xml:space="preserve"> levels based on 405/480 ratio values</w:t>
      </w:r>
    </w:p>
    <w:p w14:paraId="24372C96" w14:textId="77777777" w:rsidR="00CC10B0" w:rsidRPr="005E4FAB" w:rsidRDefault="00CC10B0" w:rsidP="00376F01">
      <w:pPr>
        <w:pStyle w:val="ListParagraph"/>
        <w:ind w:left="0"/>
        <w:rPr>
          <w:b/>
          <w:bCs/>
        </w:rPr>
      </w:pPr>
    </w:p>
    <w:p w14:paraId="47D5C321" w14:textId="1F6D3BF5" w:rsidR="00CC10B0" w:rsidRPr="005E4FAB" w:rsidRDefault="00191A79" w:rsidP="00E936C2">
      <w:pPr>
        <w:pStyle w:val="ListParagraph"/>
        <w:numPr>
          <w:ilvl w:val="2"/>
          <w:numId w:val="4"/>
        </w:numPr>
        <w:ind w:left="0" w:firstLine="0"/>
        <w:rPr>
          <w:b/>
          <w:bCs/>
        </w:rPr>
      </w:pPr>
      <w:r w:rsidRPr="005E4FAB">
        <w:t xml:space="preserve">Use </w:t>
      </w:r>
      <w:r w:rsidR="002B7EFC" w:rsidRPr="005E4FAB">
        <w:t xml:space="preserve">a </w:t>
      </w:r>
      <w:r w:rsidRPr="005E4FAB">
        <w:t>suitable software for image analysis. ImageJ software</w:t>
      </w:r>
      <w:r w:rsidR="00DA19BA">
        <w:t xml:space="preserve"> was used here</w:t>
      </w:r>
      <w:r w:rsidRPr="005E4FAB">
        <w:t xml:space="preserve"> for image analysis and processing.</w:t>
      </w:r>
    </w:p>
    <w:p w14:paraId="3E8C6322" w14:textId="77777777" w:rsidR="00CC10B0" w:rsidRPr="005E4FAB" w:rsidRDefault="00CC10B0" w:rsidP="00376F01">
      <w:pPr>
        <w:pStyle w:val="ListParagraph"/>
        <w:ind w:left="0"/>
        <w:rPr>
          <w:b/>
          <w:bCs/>
        </w:rPr>
      </w:pPr>
    </w:p>
    <w:p w14:paraId="5C7F8B9A" w14:textId="327EF427" w:rsidR="00CC10B0" w:rsidRPr="005E4FAB" w:rsidRDefault="00191A79" w:rsidP="00E936C2">
      <w:pPr>
        <w:pStyle w:val="ListParagraph"/>
        <w:numPr>
          <w:ilvl w:val="2"/>
          <w:numId w:val="4"/>
        </w:numPr>
        <w:ind w:left="0" w:firstLine="0"/>
        <w:rPr>
          <w:b/>
          <w:bCs/>
        </w:rPr>
      </w:pPr>
      <w:r w:rsidRPr="005E4FAB">
        <w:t>Open DIC, 405/535 and 480/535 images in ImageJ software</w:t>
      </w:r>
      <w:r w:rsidR="002B7EFC" w:rsidRPr="005E4FAB">
        <w:t xml:space="preserve"> by either dragging the files or clicking </w:t>
      </w:r>
      <w:r w:rsidR="002B7EFC" w:rsidRPr="00E050B1">
        <w:rPr>
          <w:b/>
          <w:bCs/>
        </w:rPr>
        <w:t>File</w:t>
      </w:r>
      <w:r w:rsidR="00E050B1">
        <w:rPr>
          <w:b/>
          <w:bCs/>
        </w:rPr>
        <w:t xml:space="preserve"> | </w:t>
      </w:r>
      <w:r w:rsidR="002B7EFC" w:rsidRPr="00E050B1">
        <w:rPr>
          <w:b/>
          <w:bCs/>
        </w:rPr>
        <w:t>Open</w:t>
      </w:r>
      <w:r w:rsidRPr="005E4FAB">
        <w:t>. If not already done, convert images to 32-bit</w:t>
      </w:r>
      <w:r w:rsidR="002B7EFC" w:rsidRPr="005E4FAB">
        <w:t xml:space="preserve"> by clicking </w:t>
      </w:r>
      <w:r w:rsidR="002B7EFC" w:rsidRPr="00E050B1">
        <w:rPr>
          <w:b/>
          <w:bCs/>
        </w:rPr>
        <w:t>Image</w:t>
      </w:r>
      <w:r w:rsidR="00E050B1">
        <w:rPr>
          <w:b/>
          <w:bCs/>
        </w:rPr>
        <w:t xml:space="preserve"> | </w:t>
      </w:r>
      <w:r w:rsidR="002B7EFC" w:rsidRPr="00E050B1">
        <w:rPr>
          <w:b/>
          <w:bCs/>
        </w:rPr>
        <w:t>Type</w:t>
      </w:r>
      <w:r w:rsidR="00E050B1">
        <w:rPr>
          <w:b/>
          <w:bCs/>
        </w:rPr>
        <w:t xml:space="preserve"> | </w:t>
      </w:r>
      <w:r w:rsidR="002B7EFC" w:rsidRPr="00E050B1">
        <w:rPr>
          <w:b/>
          <w:bCs/>
        </w:rPr>
        <w:t>32-bit</w:t>
      </w:r>
      <w:r w:rsidRPr="005E4FAB">
        <w:t>.</w:t>
      </w:r>
    </w:p>
    <w:p w14:paraId="3700CB23" w14:textId="77777777" w:rsidR="00CC10B0" w:rsidRPr="005E4FAB" w:rsidRDefault="00CC10B0" w:rsidP="00376F01">
      <w:pPr>
        <w:pStyle w:val="ListParagraph"/>
        <w:ind w:left="0"/>
      </w:pPr>
    </w:p>
    <w:p w14:paraId="48D061F0" w14:textId="771DC2A4" w:rsidR="00CC10B0" w:rsidRPr="005E4FAB" w:rsidRDefault="00191A79" w:rsidP="00E936C2">
      <w:pPr>
        <w:pStyle w:val="ListParagraph"/>
        <w:numPr>
          <w:ilvl w:val="2"/>
          <w:numId w:val="4"/>
        </w:numPr>
        <w:ind w:left="0" w:firstLine="0"/>
        <w:rPr>
          <w:b/>
          <w:bCs/>
        </w:rPr>
      </w:pPr>
      <w:r w:rsidRPr="005E4FAB">
        <w:lastRenderedPageBreak/>
        <w:t>Define region of interest (ROI) with free hand tool</w:t>
      </w:r>
      <w:r w:rsidR="002B7EFC" w:rsidRPr="005E4FAB">
        <w:t xml:space="preserve"> from the control bar</w:t>
      </w:r>
      <w:r w:rsidRPr="005E4FAB">
        <w:t xml:space="preserve"> (cell body, growth cone, retina, etc.). </w:t>
      </w:r>
      <w:r w:rsidR="002B7EFC" w:rsidRPr="005E4FAB">
        <w:t xml:space="preserve">Open the ROI manager by clicking </w:t>
      </w:r>
      <w:r w:rsidR="002B7EFC" w:rsidRPr="00E050B1">
        <w:rPr>
          <w:b/>
          <w:bCs/>
        </w:rPr>
        <w:t>Analyze</w:t>
      </w:r>
      <w:r w:rsidR="00E050B1">
        <w:rPr>
          <w:b/>
          <w:bCs/>
        </w:rPr>
        <w:t xml:space="preserve"> | </w:t>
      </w:r>
      <w:r w:rsidR="002B7EFC" w:rsidRPr="00E050B1">
        <w:rPr>
          <w:b/>
          <w:bCs/>
        </w:rPr>
        <w:t>Tools</w:t>
      </w:r>
      <w:r w:rsidR="00E050B1">
        <w:rPr>
          <w:b/>
          <w:bCs/>
        </w:rPr>
        <w:t xml:space="preserve"> | </w:t>
      </w:r>
      <w:r w:rsidR="002B7EFC" w:rsidRPr="00E050B1">
        <w:rPr>
          <w:b/>
          <w:bCs/>
        </w:rPr>
        <w:t>ROI Manager</w:t>
      </w:r>
      <w:r w:rsidR="002B7EFC" w:rsidRPr="005E4FAB">
        <w:t xml:space="preserve">. Click </w:t>
      </w:r>
      <w:r w:rsidR="002B7EFC" w:rsidRPr="00E050B1">
        <w:rPr>
          <w:b/>
          <w:bCs/>
        </w:rPr>
        <w:t>Add</w:t>
      </w:r>
      <w:r w:rsidR="002B7EFC" w:rsidRPr="005E4FAB">
        <w:t xml:space="preserve"> in the </w:t>
      </w:r>
      <w:r w:rsidR="002B7EFC" w:rsidRPr="00E050B1">
        <w:rPr>
          <w:b/>
          <w:bCs/>
        </w:rPr>
        <w:t>ROI Manager</w:t>
      </w:r>
      <w:r w:rsidR="002B7EFC" w:rsidRPr="005E4FAB">
        <w:t xml:space="preserve"> tab to add the defined ROI.</w:t>
      </w:r>
    </w:p>
    <w:p w14:paraId="737832E1" w14:textId="77777777" w:rsidR="00CC10B0" w:rsidRPr="005E4FAB" w:rsidRDefault="00CC10B0" w:rsidP="00376F01">
      <w:pPr>
        <w:pStyle w:val="ListParagraph"/>
        <w:ind w:left="0"/>
      </w:pPr>
    </w:p>
    <w:p w14:paraId="242AE0E8" w14:textId="7E69CA2A" w:rsidR="00CC10B0" w:rsidRPr="005E4FAB" w:rsidRDefault="002B7EFC" w:rsidP="00E936C2">
      <w:pPr>
        <w:pStyle w:val="ListParagraph"/>
        <w:numPr>
          <w:ilvl w:val="2"/>
          <w:numId w:val="4"/>
        </w:numPr>
        <w:ind w:left="0" w:firstLine="0"/>
        <w:rPr>
          <w:b/>
          <w:bCs/>
        </w:rPr>
      </w:pPr>
      <w:r w:rsidRPr="005E4FAB">
        <w:t xml:space="preserve">Draw a region close to ROI and add as background ROI. Measure average background values by selecting the ROI and clicking </w:t>
      </w:r>
      <w:r w:rsidRPr="00E050B1">
        <w:rPr>
          <w:b/>
          <w:bCs/>
        </w:rPr>
        <w:t>Measure</w:t>
      </w:r>
      <w:r w:rsidRPr="005E4FAB">
        <w:t xml:space="preserve"> from the ROI manager tab. </w:t>
      </w:r>
    </w:p>
    <w:p w14:paraId="535AC07E" w14:textId="77777777" w:rsidR="00CC10B0" w:rsidRPr="005E4FAB" w:rsidRDefault="00CC10B0" w:rsidP="00376F01">
      <w:pPr>
        <w:pStyle w:val="ListParagraph"/>
        <w:ind w:left="0"/>
      </w:pPr>
    </w:p>
    <w:p w14:paraId="323E5B1C" w14:textId="4C5166AF" w:rsidR="00CC10B0" w:rsidRPr="005E4FAB" w:rsidRDefault="00CE4CAD" w:rsidP="00E936C2">
      <w:pPr>
        <w:pStyle w:val="ListParagraph"/>
        <w:numPr>
          <w:ilvl w:val="2"/>
          <w:numId w:val="4"/>
        </w:numPr>
        <w:ind w:left="0" w:firstLine="0"/>
        <w:rPr>
          <w:b/>
          <w:bCs/>
        </w:rPr>
      </w:pPr>
      <w:r w:rsidRPr="005E4FAB">
        <w:t xml:space="preserve">Note the average intensity values from the measurement. </w:t>
      </w:r>
      <w:r w:rsidR="00191A79" w:rsidRPr="005E4FAB">
        <w:t xml:space="preserve">Subtract </w:t>
      </w:r>
      <w:r w:rsidRPr="005E4FAB">
        <w:t xml:space="preserve">the value of </w:t>
      </w:r>
      <w:r w:rsidR="00191A79" w:rsidRPr="005E4FAB">
        <w:t xml:space="preserve">average background from </w:t>
      </w:r>
      <w:r w:rsidRPr="005E4FAB">
        <w:t xml:space="preserve">the </w:t>
      </w:r>
      <w:r w:rsidR="00191A79" w:rsidRPr="005E4FAB">
        <w:t>fluorescent images</w:t>
      </w:r>
      <w:r w:rsidRPr="005E4FAB">
        <w:t xml:space="preserve"> by clicking</w:t>
      </w:r>
      <w:r w:rsidRPr="00E050B1">
        <w:rPr>
          <w:b/>
          <w:bCs/>
        </w:rPr>
        <w:t xml:space="preserve"> Process</w:t>
      </w:r>
      <w:r w:rsidR="00E050B1">
        <w:rPr>
          <w:b/>
          <w:bCs/>
        </w:rPr>
        <w:t xml:space="preserve"> | </w:t>
      </w:r>
      <w:r w:rsidRPr="00E050B1">
        <w:rPr>
          <w:b/>
          <w:bCs/>
        </w:rPr>
        <w:t>Math</w:t>
      </w:r>
      <w:r w:rsidR="00E050B1">
        <w:rPr>
          <w:b/>
          <w:bCs/>
        </w:rPr>
        <w:t xml:space="preserve"> | </w:t>
      </w:r>
      <w:r w:rsidRPr="00E050B1">
        <w:rPr>
          <w:b/>
          <w:bCs/>
        </w:rPr>
        <w:t>Subtract</w:t>
      </w:r>
      <w:r w:rsidR="00191A79" w:rsidRPr="005E4FAB">
        <w:t xml:space="preserve">. </w:t>
      </w:r>
      <w:r w:rsidR="003C639D" w:rsidRPr="005E4FAB">
        <w:t>Perform this step for both 405/535 and 480/535 images.</w:t>
      </w:r>
    </w:p>
    <w:p w14:paraId="37AF2F50" w14:textId="77777777" w:rsidR="00CC10B0" w:rsidRPr="005E4FAB" w:rsidRDefault="00CC10B0" w:rsidP="00376F01">
      <w:pPr>
        <w:pStyle w:val="ListParagraph"/>
        <w:ind w:left="0"/>
      </w:pPr>
    </w:p>
    <w:p w14:paraId="3498C463" w14:textId="6BB235C5" w:rsidR="00CC10B0" w:rsidRPr="005E4FAB" w:rsidRDefault="00191A79" w:rsidP="00E936C2">
      <w:pPr>
        <w:pStyle w:val="ListParagraph"/>
        <w:numPr>
          <w:ilvl w:val="2"/>
          <w:numId w:val="4"/>
        </w:numPr>
        <w:ind w:left="0" w:firstLine="0"/>
        <w:rPr>
          <w:b/>
          <w:bCs/>
        </w:rPr>
      </w:pPr>
      <w:r w:rsidRPr="005E4FAB">
        <w:t xml:space="preserve">Add value of “1” to 480/535 fluorescent image to eliminate “0” values by </w:t>
      </w:r>
      <w:r w:rsidR="00CE4CAD" w:rsidRPr="005E4FAB">
        <w:t xml:space="preserve">clicking </w:t>
      </w:r>
      <w:r w:rsidR="00CE4CAD" w:rsidRPr="009B24F9">
        <w:rPr>
          <w:b/>
          <w:bCs/>
        </w:rPr>
        <w:t>Process</w:t>
      </w:r>
      <w:r w:rsidR="009B24F9">
        <w:rPr>
          <w:b/>
          <w:bCs/>
        </w:rPr>
        <w:t xml:space="preserve"> | </w:t>
      </w:r>
      <w:r w:rsidRPr="009B24F9">
        <w:rPr>
          <w:b/>
          <w:bCs/>
        </w:rPr>
        <w:t>Math</w:t>
      </w:r>
      <w:r w:rsidR="009B24F9">
        <w:rPr>
          <w:b/>
          <w:bCs/>
        </w:rPr>
        <w:t xml:space="preserve"> | </w:t>
      </w:r>
      <w:r w:rsidRPr="009B24F9">
        <w:rPr>
          <w:b/>
          <w:bCs/>
        </w:rPr>
        <w:t xml:space="preserve">Add </w:t>
      </w:r>
      <w:r w:rsidRPr="009B24F9">
        <w:t>function</w:t>
      </w:r>
      <w:r w:rsidRPr="005E4FAB">
        <w:t xml:space="preserve"> prior to ratio calculation.</w:t>
      </w:r>
    </w:p>
    <w:p w14:paraId="6286A755" w14:textId="77777777" w:rsidR="00CC10B0" w:rsidRPr="005E4FAB" w:rsidRDefault="00CC10B0" w:rsidP="00376F01">
      <w:pPr>
        <w:pStyle w:val="ListParagraph"/>
        <w:ind w:left="0"/>
      </w:pPr>
    </w:p>
    <w:p w14:paraId="26471D03" w14:textId="7A1DBECF" w:rsidR="00CC10B0" w:rsidRPr="005E4FAB" w:rsidRDefault="00CE4CAD" w:rsidP="00E936C2">
      <w:pPr>
        <w:pStyle w:val="ListParagraph"/>
        <w:numPr>
          <w:ilvl w:val="2"/>
          <w:numId w:val="4"/>
        </w:numPr>
        <w:ind w:left="0" w:firstLine="0"/>
        <w:rPr>
          <w:b/>
          <w:bCs/>
        </w:rPr>
      </w:pPr>
      <w:r w:rsidRPr="005E4FAB">
        <w:t xml:space="preserve">Click </w:t>
      </w:r>
      <w:r w:rsidR="00191A79" w:rsidRPr="009B24F9">
        <w:rPr>
          <w:b/>
          <w:bCs/>
        </w:rPr>
        <w:t>Process</w:t>
      </w:r>
      <w:r w:rsidR="009B24F9">
        <w:rPr>
          <w:b/>
          <w:bCs/>
        </w:rPr>
        <w:t xml:space="preserve"> | </w:t>
      </w:r>
      <w:r w:rsidR="00191A79" w:rsidRPr="009B24F9">
        <w:rPr>
          <w:b/>
          <w:bCs/>
        </w:rPr>
        <w:t>Image Calculator</w:t>
      </w:r>
      <w:r w:rsidR="009B24F9">
        <w:rPr>
          <w:b/>
          <w:bCs/>
        </w:rPr>
        <w:t xml:space="preserve"> | </w:t>
      </w:r>
      <w:r w:rsidR="00191A79" w:rsidRPr="009B24F9">
        <w:rPr>
          <w:b/>
          <w:bCs/>
        </w:rPr>
        <w:t>Divide</w:t>
      </w:r>
      <w:r w:rsidR="00191A79" w:rsidRPr="005E4FAB">
        <w:t xml:space="preserve"> function in ImageJ to divide 405/535 image by 480/535 image pixel-by-pixel. </w:t>
      </w:r>
      <w:r w:rsidRPr="005E4FAB">
        <w:t>Select 405/535 image to be divided by 480/535 image. Select a 32-bit output image.</w:t>
      </w:r>
    </w:p>
    <w:p w14:paraId="0AF49C53" w14:textId="77777777" w:rsidR="00CC10B0" w:rsidRPr="005E4FAB" w:rsidRDefault="00CC10B0" w:rsidP="00376F01">
      <w:pPr>
        <w:pStyle w:val="ListParagraph"/>
        <w:ind w:left="0"/>
      </w:pPr>
    </w:p>
    <w:p w14:paraId="34A7E023" w14:textId="77777777" w:rsidR="00CC10B0" w:rsidRPr="005E4FAB" w:rsidRDefault="00191A79" w:rsidP="00E936C2">
      <w:pPr>
        <w:pStyle w:val="ListParagraph"/>
        <w:numPr>
          <w:ilvl w:val="2"/>
          <w:numId w:val="4"/>
        </w:numPr>
        <w:ind w:left="0" w:firstLine="0"/>
        <w:rPr>
          <w:b/>
          <w:bCs/>
        </w:rPr>
      </w:pPr>
      <w:r w:rsidRPr="005E4FAB">
        <w:t>Apply ROI to ratio image</w:t>
      </w:r>
      <w:r w:rsidR="00CE4CAD" w:rsidRPr="005E4FAB">
        <w:t xml:space="preserve"> by first clicking the ratio image and then the ROI in the ROI manager tab.</w:t>
      </w:r>
    </w:p>
    <w:p w14:paraId="39F9E78C" w14:textId="77777777" w:rsidR="00CC10B0" w:rsidRPr="005E4FAB" w:rsidRDefault="00CC10B0" w:rsidP="00376F01">
      <w:pPr>
        <w:pStyle w:val="ListParagraph"/>
        <w:ind w:left="0"/>
      </w:pPr>
    </w:p>
    <w:p w14:paraId="429933B4" w14:textId="350927FF" w:rsidR="00CC10B0" w:rsidRPr="005E4FAB" w:rsidRDefault="00CE4CAD" w:rsidP="00E936C2">
      <w:pPr>
        <w:pStyle w:val="ListParagraph"/>
        <w:numPr>
          <w:ilvl w:val="2"/>
          <w:numId w:val="4"/>
        </w:numPr>
        <w:ind w:left="0" w:firstLine="0"/>
        <w:rPr>
          <w:b/>
          <w:bCs/>
        </w:rPr>
      </w:pPr>
      <w:r w:rsidRPr="005E4FAB">
        <w:t>M</w:t>
      </w:r>
      <w:r w:rsidR="00191A79" w:rsidRPr="005E4FAB">
        <w:t>easure average ratio values of 405/535 image to 480/535 image</w:t>
      </w:r>
      <w:r w:rsidRPr="005E4FAB">
        <w:t xml:space="preserve"> by clicking </w:t>
      </w:r>
      <w:r w:rsidRPr="009B24F9">
        <w:rPr>
          <w:b/>
          <w:bCs/>
        </w:rPr>
        <w:t>Measure</w:t>
      </w:r>
      <w:r w:rsidRPr="005E4FAB">
        <w:t xml:space="preserve"> in the ROI manager tab</w:t>
      </w:r>
      <w:r w:rsidR="00191A79" w:rsidRPr="005E4FAB">
        <w:t xml:space="preserve">. </w:t>
      </w:r>
    </w:p>
    <w:p w14:paraId="4BA7448F" w14:textId="77777777" w:rsidR="00CC10B0" w:rsidRPr="005E4FAB" w:rsidRDefault="00CC10B0" w:rsidP="00376F01">
      <w:pPr>
        <w:pStyle w:val="ListParagraph"/>
        <w:ind w:left="0"/>
      </w:pPr>
    </w:p>
    <w:p w14:paraId="32E80543" w14:textId="33F96936" w:rsidR="003C639D" w:rsidRPr="005E4FAB" w:rsidRDefault="003C639D" w:rsidP="00E936C2">
      <w:pPr>
        <w:pStyle w:val="ListParagraph"/>
        <w:numPr>
          <w:ilvl w:val="2"/>
          <w:numId w:val="4"/>
        </w:numPr>
        <w:ind w:left="0" w:firstLine="0"/>
        <w:rPr>
          <w:b/>
          <w:bCs/>
        </w:rPr>
      </w:pPr>
      <w:r w:rsidRPr="005E4FAB">
        <w:t xml:space="preserve">Do steps </w:t>
      </w:r>
      <w:r w:rsidR="009B24F9">
        <w:t>6.1.</w:t>
      </w:r>
      <w:r w:rsidRPr="005E4FAB">
        <w:t>2-</w:t>
      </w:r>
      <w:r w:rsidR="009B24F9">
        <w:t>6.1.</w:t>
      </w:r>
      <w:r w:rsidRPr="005E4FAB">
        <w:t>9 for as many samples as possible to perform the appropriate statistical analysis.</w:t>
      </w:r>
    </w:p>
    <w:p w14:paraId="71E681CC" w14:textId="77777777" w:rsidR="00191A79" w:rsidRPr="009B24F9" w:rsidRDefault="00191A79" w:rsidP="00376F01">
      <w:pPr>
        <w:pStyle w:val="ListParagraph"/>
        <w:ind w:left="0"/>
      </w:pPr>
    </w:p>
    <w:p w14:paraId="330E72E9" w14:textId="77777777" w:rsidR="00191A79" w:rsidRPr="009B24F9" w:rsidRDefault="00191A79" w:rsidP="00E936C2">
      <w:pPr>
        <w:pStyle w:val="ListParagraph"/>
        <w:numPr>
          <w:ilvl w:val="1"/>
          <w:numId w:val="4"/>
        </w:numPr>
        <w:ind w:left="0" w:firstLine="0"/>
      </w:pPr>
      <w:r w:rsidRPr="009B24F9">
        <w:t xml:space="preserve">Displaying ratio image </w:t>
      </w:r>
    </w:p>
    <w:p w14:paraId="4C5B1B9A" w14:textId="77777777" w:rsidR="00191A79" w:rsidRPr="009B24F9" w:rsidRDefault="00191A79" w:rsidP="00376F01"/>
    <w:p w14:paraId="25069ED2" w14:textId="1A8648EB" w:rsidR="00FB6532" w:rsidRPr="005E4FAB" w:rsidRDefault="00CC10B0" w:rsidP="00376F01">
      <w:r w:rsidRPr="005E4FAB">
        <w:t xml:space="preserve">NOTE: </w:t>
      </w:r>
      <w:r w:rsidR="00191A79" w:rsidRPr="005E4FAB">
        <w:t>This procedure is to subtract the background outside the specimen and apply a color look</w:t>
      </w:r>
      <w:r w:rsidR="003C639D" w:rsidRPr="005E4FAB">
        <w:t>-</w:t>
      </w:r>
      <w:r w:rsidR="00191A79" w:rsidRPr="005E4FAB">
        <w:t xml:space="preserve">up table to the image. </w:t>
      </w:r>
    </w:p>
    <w:p w14:paraId="74C74780" w14:textId="77777777" w:rsidR="00FB6532" w:rsidRPr="005E4FAB" w:rsidRDefault="00FB6532" w:rsidP="00376F01">
      <w:pPr>
        <w:rPr>
          <w:b/>
          <w:bCs/>
        </w:rPr>
      </w:pPr>
    </w:p>
    <w:p w14:paraId="0ACDE904" w14:textId="009A488F" w:rsidR="00CC10B0" w:rsidRPr="005E4FAB" w:rsidRDefault="00191A79" w:rsidP="00E936C2">
      <w:pPr>
        <w:pStyle w:val="ListParagraph"/>
        <w:numPr>
          <w:ilvl w:val="2"/>
          <w:numId w:val="7"/>
        </w:numPr>
        <w:ind w:left="0" w:firstLine="0"/>
        <w:rPr>
          <w:b/>
          <w:bCs/>
        </w:rPr>
      </w:pPr>
      <w:r w:rsidRPr="005E4FAB">
        <w:t xml:space="preserve">Once the ratio image has been created in ImageJ in </w:t>
      </w:r>
      <w:r w:rsidR="009B24F9">
        <w:t>s</w:t>
      </w:r>
      <w:r w:rsidRPr="005E4FAB">
        <w:t>tep 6.1.</w:t>
      </w:r>
      <w:r w:rsidR="003C639D" w:rsidRPr="005E4FAB">
        <w:t>7</w:t>
      </w:r>
      <w:r w:rsidRPr="005E4FAB">
        <w:t xml:space="preserve">., create a 32-bit black image by </w:t>
      </w:r>
      <w:r w:rsidR="00FB6532" w:rsidRPr="005E4FAB">
        <w:t xml:space="preserve">clicking </w:t>
      </w:r>
      <w:r w:rsidRPr="009B24F9">
        <w:rPr>
          <w:b/>
          <w:bCs/>
        </w:rPr>
        <w:t>File</w:t>
      </w:r>
      <w:r w:rsidR="009B24F9">
        <w:rPr>
          <w:b/>
          <w:bCs/>
        </w:rPr>
        <w:t xml:space="preserve"> | </w:t>
      </w:r>
      <w:r w:rsidRPr="009B24F9">
        <w:rPr>
          <w:b/>
          <w:bCs/>
        </w:rPr>
        <w:t>New</w:t>
      </w:r>
      <w:r w:rsidR="009B24F9">
        <w:rPr>
          <w:b/>
          <w:bCs/>
        </w:rPr>
        <w:t xml:space="preserve"> </w:t>
      </w:r>
      <w:r w:rsidR="009B24F9" w:rsidRPr="009B24F9">
        <w:rPr>
          <w:b/>
          <w:bCs/>
        </w:rPr>
        <w:t>|</w:t>
      </w:r>
      <w:r w:rsidR="009B24F9">
        <w:rPr>
          <w:b/>
          <w:bCs/>
        </w:rPr>
        <w:t xml:space="preserve"> </w:t>
      </w:r>
      <w:r w:rsidRPr="009B24F9">
        <w:rPr>
          <w:b/>
          <w:bCs/>
        </w:rPr>
        <w:t>Image</w:t>
      </w:r>
      <w:r w:rsidRPr="009B24F9">
        <w:t xml:space="preserve">. </w:t>
      </w:r>
    </w:p>
    <w:p w14:paraId="4E52F4AF" w14:textId="77777777" w:rsidR="00CC10B0" w:rsidRPr="005E4FAB" w:rsidRDefault="00CC10B0" w:rsidP="00376F01">
      <w:pPr>
        <w:pStyle w:val="ListParagraph"/>
        <w:ind w:left="0"/>
        <w:rPr>
          <w:b/>
          <w:bCs/>
        </w:rPr>
      </w:pPr>
    </w:p>
    <w:p w14:paraId="3F9CA220" w14:textId="77777777" w:rsidR="00CC10B0" w:rsidRPr="005E4FAB" w:rsidRDefault="00191A79" w:rsidP="00E936C2">
      <w:pPr>
        <w:pStyle w:val="ListParagraph"/>
        <w:numPr>
          <w:ilvl w:val="2"/>
          <w:numId w:val="7"/>
        </w:numPr>
        <w:ind w:left="0" w:firstLine="0"/>
        <w:rPr>
          <w:b/>
          <w:bCs/>
        </w:rPr>
      </w:pPr>
      <w:r w:rsidRPr="005E4FAB">
        <w:t>Apply the ROI you would like to display H</w:t>
      </w:r>
      <w:r w:rsidRPr="005E4FAB">
        <w:rPr>
          <w:vertAlign w:val="subscript"/>
        </w:rPr>
        <w:t>2</w:t>
      </w:r>
      <w:r w:rsidRPr="005E4FAB">
        <w:t>O</w:t>
      </w:r>
      <w:r w:rsidRPr="005E4FAB">
        <w:rPr>
          <w:vertAlign w:val="subscript"/>
        </w:rPr>
        <w:t>2</w:t>
      </w:r>
      <w:r w:rsidRPr="005E4FAB">
        <w:t xml:space="preserve"> levels for to the new image</w:t>
      </w:r>
      <w:r w:rsidR="00C76B83" w:rsidRPr="005E4FAB">
        <w:t xml:space="preserve"> by first clicking the new image and then the ROI from the ROI manager tab</w:t>
      </w:r>
      <w:r w:rsidRPr="005E4FAB">
        <w:t xml:space="preserve">. </w:t>
      </w:r>
    </w:p>
    <w:p w14:paraId="68D913C5" w14:textId="77777777" w:rsidR="00CC10B0" w:rsidRPr="005E4FAB" w:rsidRDefault="00CC10B0" w:rsidP="00376F01">
      <w:pPr>
        <w:pStyle w:val="ListParagraph"/>
        <w:ind w:left="0"/>
      </w:pPr>
    </w:p>
    <w:p w14:paraId="0C8C04F8" w14:textId="11E49CF4" w:rsidR="00CC10B0" w:rsidRPr="005E4FAB" w:rsidRDefault="00191A79" w:rsidP="00E936C2">
      <w:pPr>
        <w:pStyle w:val="ListParagraph"/>
        <w:numPr>
          <w:ilvl w:val="2"/>
          <w:numId w:val="7"/>
        </w:numPr>
        <w:ind w:left="0" w:firstLine="0"/>
        <w:rPr>
          <w:b/>
          <w:bCs/>
        </w:rPr>
      </w:pPr>
      <w:r w:rsidRPr="005E4FAB">
        <w:t xml:space="preserve">Create a mask by </w:t>
      </w:r>
      <w:r w:rsidR="00C76B83" w:rsidRPr="005E4FAB">
        <w:t xml:space="preserve">clicking </w:t>
      </w:r>
      <w:r w:rsidRPr="009B24F9">
        <w:rPr>
          <w:b/>
          <w:bCs/>
        </w:rPr>
        <w:t>Edit</w:t>
      </w:r>
      <w:r w:rsidR="009B24F9">
        <w:rPr>
          <w:b/>
          <w:bCs/>
        </w:rPr>
        <w:t xml:space="preserve"> | </w:t>
      </w:r>
      <w:r w:rsidRPr="009B24F9">
        <w:rPr>
          <w:b/>
          <w:bCs/>
        </w:rPr>
        <w:t>Selection</w:t>
      </w:r>
      <w:r w:rsidR="009B24F9">
        <w:rPr>
          <w:b/>
          <w:bCs/>
        </w:rPr>
        <w:t xml:space="preserve"> | </w:t>
      </w:r>
      <w:r w:rsidRPr="009B24F9">
        <w:rPr>
          <w:b/>
          <w:bCs/>
        </w:rPr>
        <w:t>Create Mask</w:t>
      </w:r>
      <w:r w:rsidRPr="005E4FAB">
        <w:t>.</w:t>
      </w:r>
    </w:p>
    <w:p w14:paraId="05809F97" w14:textId="77777777" w:rsidR="00CC10B0" w:rsidRPr="005E4FAB" w:rsidRDefault="00CC10B0" w:rsidP="00376F01">
      <w:pPr>
        <w:pStyle w:val="ListParagraph"/>
        <w:ind w:left="0"/>
      </w:pPr>
    </w:p>
    <w:p w14:paraId="780DD613" w14:textId="1C1AC3F7" w:rsidR="00CC10B0" w:rsidRPr="005E4FAB" w:rsidRDefault="00191A79" w:rsidP="00E936C2">
      <w:pPr>
        <w:pStyle w:val="ListParagraph"/>
        <w:numPr>
          <w:ilvl w:val="2"/>
          <w:numId w:val="7"/>
        </w:numPr>
        <w:ind w:left="0" w:firstLine="0"/>
        <w:rPr>
          <w:b/>
          <w:bCs/>
        </w:rPr>
      </w:pPr>
      <w:r w:rsidRPr="005E4FAB">
        <w:t>Divide mask image by 255 to adjust ROI value to “1” and background values will be “0”.</w:t>
      </w:r>
      <w:r w:rsidR="00C76B83" w:rsidRPr="005E4FAB">
        <w:t xml:space="preserve"> Click </w:t>
      </w:r>
      <w:r w:rsidR="00C76B83" w:rsidRPr="009B24F9">
        <w:rPr>
          <w:b/>
          <w:bCs/>
        </w:rPr>
        <w:t>Process</w:t>
      </w:r>
      <w:r w:rsidR="009B24F9">
        <w:rPr>
          <w:b/>
          <w:bCs/>
        </w:rPr>
        <w:t xml:space="preserve"> | </w:t>
      </w:r>
      <w:r w:rsidR="00C76B83" w:rsidRPr="009B24F9">
        <w:rPr>
          <w:b/>
          <w:bCs/>
        </w:rPr>
        <w:t>Math</w:t>
      </w:r>
      <w:r w:rsidR="009B24F9">
        <w:rPr>
          <w:b/>
          <w:bCs/>
        </w:rPr>
        <w:t xml:space="preserve"> | </w:t>
      </w:r>
      <w:r w:rsidR="00C76B83" w:rsidRPr="009B24F9">
        <w:rPr>
          <w:b/>
          <w:bCs/>
        </w:rPr>
        <w:t>Divide</w:t>
      </w:r>
      <w:r w:rsidR="00C76B83" w:rsidRPr="005E4FAB">
        <w:t xml:space="preserve"> and type 255.</w:t>
      </w:r>
    </w:p>
    <w:p w14:paraId="47CD2953" w14:textId="77777777" w:rsidR="00CC10B0" w:rsidRPr="005E4FAB" w:rsidRDefault="00CC10B0" w:rsidP="00376F01">
      <w:pPr>
        <w:pStyle w:val="ListParagraph"/>
        <w:ind w:left="0"/>
      </w:pPr>
    </w:p>
    <w:p w14:paraId="6708531C" w14:textId="54558748" w:rsidR="00CC10B0" w:rsidRPr="005E4FAB" w:rsidRDefault="00191A79" w:rsidP="00E936C2">
      <w:pPr>
        <w:pStyle w:val="ListParagraph"/>
        <w:numPr>
          <w:ilvl w:val="2"/>
          <w:numId w:val="7"/>
        </w:numPr>
        <w:ind w:left="0" w:firstLine="0"/>
        <w:rPr>
          <w:b/>
          <w:bCs/>
        </w:rPr>
      </w:pPr>
      <w:r w:rsidRPr="005E4FAB">
        <w:t xml:space="preserve">Multiply mask with </w:t>
      </w:r>
      <w:r w:rsidR="003C639D" w:rsidRPr="005E4FAB">
        <w:t xml:space="preserve">the </w:t>
      </w:r>
      <w:r w:rsidRPr="005E4FAB">
        <w:t xml:space="preserve">ratio image </w:t>
      </w:r>
      <w:r w:rsidR="00C76B83" w:rsidRPr="005E4FAB">
        <w:t xml:space="preserve">by clicking </w:t>
      </w:r>
      <w:r w:rsidRPr="009B24F9">
        <w:rPr>
          <w:b/>
          <w:bCs/>
        </w:rPr>
        <w:t>Process</w:t>
      </w:r>
      <w:r w:rsidR="009B24F9">
        <w:rPr>
          <w:b/>
          <w:bCs/>
        </w:rPr>
        <w:t xml:space="preserve"> | </w:t>
      </w:r>
      <w:r w:rsidRPr="009B24F9">
        <w:rPr>
          <w:b/>
          <w:bCs/>
        </w:rPr>
        <w:t>Image Calculator</w:t>
      </w:r>
      <w:r w:rsidR="009B24F9">
        <w:rPr>
          <w:b/>
          <w:bCs/>
        </w:rPr>
        <w:t xml:space="preserve"> | </w:t>
      </w:r>
      <w:r w:rsidRPr="009B24F9">
        <w:rPr>
          <w:b/>
          <w:bCs/>
        </w:rPr>
        <w:t>Multiply</w:t>
      </w:r>
      <w:r w:rsidRPr="005E4FAB">
        <w:t xml:space="preserve"> </w:t>
      </w:r>
      <w:r w:rsidRPr="005E4FAB">
        <w:lastRenderedPageBreak/>
        <w:t>function.</w:t>
      </w:r>
      <w:r w:rsidR="00C76B83" w:rsidRPr="005E4FAB">
        <w:t xml:space="preserve"> This will result in a gray-scale ratio image showing only the ROI.</w:t>
      </w:r>
    </w:p>
    <w:p w14:paraId="7CA7CE9F" w14:textId="77777777" w:rsidR="00CC10B0" w:rsidRPr="005E4FAB" w:rsidRDefault="00CC10B0" w:rsidP="00376F01">
      <w:pPr>
        <w:pStyle w:val="ListParagraph"/>
        <w:ind w:left="0"/>
      </w:pPr>
    </w:p>
    <w:p w14:paraId="53873174" w14:textId="43638C5C" w:rsidR="00191A79" w:rsidRPr="005E4FAB" w:rsidRDefault="00191A79" w:rsidP="00E936C2">
      <w:pPr>
        <w:pStyle w:val="ListParagraph"/>
        <w:numPr>
          <w:ilvl w:val="2"/>
          <w:numId w:val="7"/>
        </w:numPr>
        <w:ind w:left="0" w:firstLine="0"/>
        <w:rPr>
          <w:b/>
          <w:bCs/>
        </w:rPr>
      </w:pPr>
      <w:r w:rsidRPr="005E4FAB">
        <w:t xml:space="preserve">Change look up table to “Fire” by </w:t>
      </w:r>
      <w:r w:rsidR="00C76B83" w:rsidRPr="005E4FAB">
        <w:t xml:space="preserve">clicking </w:t>
      </w:r>
      <w:r w:rsidRPr="009B24F9">
        <w:rPr>
          <w:b/>
          <w:bCs/>
        </w:rPr>
        <w:t>Image</w:t>
      </w:r>
      <w:r w:rsidR="009B24F9">
        <w:rPr>
          <w:b/>
          <w:bCs/>
        </w:rPr>
        <w:t xml:space="preserve"> | </w:t>
      </w:r>
      <w:r w:rsidRPr="009B24F9">
        <w:rPr>
          <w:b/>
          <w:bCs/>
        </w:rPr>
        <w:t>Look up Tables</w:t>
      </w:r>
      <w:r w:rsidR="009B24F9">
        <w:rPr>
          <w:b/>
          <w:bCs/>
        </w:rPr>
        <w:t xml:space="preserve"> | </w:t>
      </w:r>
      <w:r w:rsidRPr="009B24F9">
        <w:rPr>
          <w:b/>
          <w:bCs/>
        </w:rPr>
        <w:t>Fire</w:t>
      </w:r>
      <w:r w:rsidRPr="005E4FAB">
        <w:t xml:space="preserve">. </w:t>
      </w:r>
    </w:p>
    <w:p w14:paraId="293971B2" w14:textId="77777777" w:rsidR="00CC10B0" w:rsidRPr="005E4FAB" w:rsidRDefault="00CC10B0" w:rsidP="00376F01">
      <w:pPr>
        <w:pBdr>
          <w:top w:val="nil"/>
          <w:left w:val="nil"/>
          <w:bottom w:val="nil"/>
          <w:right w:val="nil"/>
          <w:between w:val="nil"/>
        </w:pBdr>
        <w:rPr>
          <w:bCs/>
        </w:rPr>
      </w:pPr>
    </w:p>
    <w:p w14:paraId="659B72D8" w14:textId="4C2E9E27" w:rsidR="00191A79" w:rsidRPr="005E4FAB" w:rsidRDefault="00191A79" w:rsidP="00376F01">
      <w:pPr>
        <w:pBdr>
          <w:top w:val="nil"/>
          <w:left w:val="nil"/>
          <w:bottom w:val="nil"/>
          <w:right w:val="nil"/>
          <w:between w:val="nil"/>
        </w:pBdr>
        <w:rPr>
          <w:bCs/>
        </w:rPr>
      </w:pPr>
      <w:r w:rsidRPr="005E4FAB">
        <w:rPr>
          <w:bCs/>
        </w:rPr>
        <w:t>NOTE: A multiplication factor can be applied to all images for better visualization of the ratio</w:t>
      </w:r>
      <w:r w:rsidR="00C76B83" w:rsidRPr="005E4FAB">
        <w:rPr>
          <w:bCs/>
        </w:rPr>
        <w:t xml:space="preserve"> by clicking</w:t>
      </w:r>
      <w:r w:rsidR="00C76B83" w:rsidRPr="009B24F9">
        <w:rPr>
          <w:b/>
        </w:rPr>
        <w:t xml:space="preserve"> Process</w:t>
      </w:r>
      <w:r w:rsidR="009B24F9">
        <w:rPr>
          <w:b/>
        </w:rPr>
        <w:t xml:space="preserve"> | </w:t>
      </w:r>
      <w:r w:rsidR="00C76B83" w:rsidRPr="009B24F9">
        <w:rPr>
          <w:b/>
        </w:rPr>
        <w:t>Image</w:t>
      </w:r>
      <w:r w:rsidR="009B24F9">
        <w:rPr>
          <w:b/>
        </w:rPr>
        <w:t xml:space="preserve"> | </w:t>
      </w:r>
      <w:r w:rsidR="00C76B83" w:rsidRPr="009B24F9">
        <w:rPr>
          <w:b/>
        </w:rPr>
        <w:t>Multiply</w:t>
      </w:r>
      <w:r w:rsidRPr="005E4FAB">
        <w:rPr>
          <w:bCs/>
        </w:rPr>
        <w:t>.</w:t>
      </w:r>
    </w:p>
    <w:p w14:paraId="1791BB90" w14:textId="77777777" w:rsidR="00191A79" w:rsidRPr="005E4FAB" w:rsidRDefault="00191A79" w:rsidP="00376F01">
      <w:pPr>
        <w:pBdr>
          <w:top w:val="nil"/>
          <w:left w:val="nil"/>
          <w:bottom w:val="nil"/>
          <w:right w:val="nil"/>
          <w:between w:val="nil"/>
        </w:pBdr>
        <w:rPr>
          <w:bCs/>
        </w:rPr>
      </w:pPr>
    </w:p>
    <w:p w14:paraId="12305527" w14:textId="312153AD" w:rsidR="00CC10B0" w:rsidRPr="005E4FAB" w:rsidRDefault="00191A79" w:rsidP="00E936C2">
      <w:pPr>
        <w:pStyle w:val="ListParagraph"/>
        <w:numPr>
          <w:ilvl w:val="2"/>
          <w:numId w:val="7"/>
        </w:numPr>
        <w:pBdr>
          <w:top w:val="nil"/>
          <w:left w:val="nil"/>
          <w:bottom w:val="nil"/>
          <w:right w:val="nil"/>
          <w:between w:val="nil"/>
        </w:pBdr>
        <w:ind w:left="0" w:firstLine="0"/>
        <w:rPr>
          <w:bCs/>
        </w:rPr>
      </w:pPr>
      <w:r w:rsidRPr="005E4FAB">
        <w:rPr>
          <w:bCs/>
        </w:rPr>
        <w:t>Convert the ratio image to 8-bit</w:t>
      </w:r>
      <w:r w:rsidR="00C76B83" w:rsidRPr="005E4FAB">
        <w:rPr>
          <w:bCs/>
        </w:rPr>
        <w:t xml:space="preserve"> by clicking </w:t>
      </w:r>
      <w:r w:rsidR="00C76B83" w:rsidRPr="009B24F9">
        <w:rPr>
          <w:b/>
        </w:rPr>
        <w:t>Image</w:t>
      </w:r>
      <w:r w:rsidR="009B24F9">
        <w:rPr>
          <w:b/>
        </w:rPr>
        <w:t xml:space="preserve"> | </w:t>
      </w:r>
      <w:r w:rsidR="00C76B83" w:rsidRPr="009B24F9">
        <w:rPr>
          <w:b/>
        </w:rPr>
        <w:t>Type</w:t>
      </w:r>
      <w:r w:rsidR="009B24F9">
        <w:rPr>
          <w:b/>
        </w:rPr>
        <w:t xml:space="preserve"> | </w:t>
      </w:r>
      <w:r w:rsidR="00C76B83" w:rsidRPr="009B24F9">
        <w:rPr>
          <w:b/>
        </w:rPr>
        <w:t>8-bit</w:t>
      </w:r>
      <w:r w:rsidRPr="005E4FAB">
        <w:rPr>
          <w:bCs/>
        </w:rPr>
        <w:t>.</w:t>
      </w:r>
    </w:p>
    <w:p w14:paraId="08921FD8" w14:textId="77777777" w:rsidR="00CC10B0" w:rsidRPr="005E4FAB" w:rsidRDefault="00CC10B0" w:rsidP="00376F01">
      <w:pPr>
        <w:pStyle w:val="ListParagraph"/>
        <w:pBdr>
          <w:top w:val="nil"/>
          <w:left w:val="nil"/>
          <w:bottom w:val="nil"/>
          <w:right w:val="nil"/>
          <w:between w:val="nil"/>
        </w:pBdr>
        <w:ind w:left="0"/>
        <w:rPr>
          <w:bCs/>
        </w:rPr>
      </w:pPr>
    </w:p>
    <w:p w14:paraId="2AA3B50E" w14:textId="51B815B2" w:rsidR="00191A79" w:rsidRPr="005E4FAB" w:rsidRDefault="00191A79" w:rsidP="00E936C2">
      <w:pPr>
        <w:pStyle w:val="ListParagraph"/>
        <w:numPr>
          <w:ilvl w:val="2"/>
          <w:numId w:val="7"/>
        </w:numPr>
        <w:pBdr>
          <w:top w:val="nil"/>
          <w:left w:val="nil"/>
          <w:bottom w:val="nil"/>
          <w:right w:val="nil"/>
          <w:between w:val="nil"/>
        </w:pBdr>
        <w:ind w:left="0" w:firstLine="0"/>
        <w:rPr>
          <w:bCs/>
        </w:rPr>
      </w:pPr>
      <w:r w:rsidRPr="005E4FAB">
        <w:rPr>
          <w:bCs/>
        </w:rPr>
        <w:t xml:space="preserve">Add calibration bar by </w:t>
      </w:r>
      <w:r w:rsidR="00C76B83" w:rsidRPr="005E4FAB">
        <w:rPr>
          <w:bCs/>
        </w:rPr>
        <w:t xml:space="preserve">clicking </w:t>
      </w:r>
      <w:r w:rsidRPr="009B24F9">
        <w:rPr>
          <w:b/>
        </w:rPr>
        <w:t>Analyze</w:t>
      </w:r>
      <w:r w:rsidR="009B24F9">
        <w:rPr>
          <w:b/>
        </w:rPr>
        <w:t xml:space="preserve"> | </w:t>
      </w:r>
      <w:r w:rsidRPr="009B24F9">
        <w:rPr>
          <w:b/>
        </w:rPr>
        <w:t>Tools</w:t>
      </w:r>
      <w:r w:rsidR="009B24F9">
        <w:rPr>
          <w:b/>
        </w:rPr>
        <w:t xml:space="preserve"> | </w:t>
      </w:r>
      <w:r w:rsidRPr="009B24F9">
        <w:rPr>
          <w:b/>
        </w:rPr>
        <w:t>Calibration Bar</w:t>
      </w:r>
      <w:r w:rsidRPr="005E4FAB">
        <w:rPr>
          <w:bCs/>
        </w:rPr>
        <w:t>.</w:t>
      </w:r>
    </w:p>
    <w:bookmarkEnd w:id="0"/>
    <w:p w14:paraId="51B14F9C" w14:textId="77777777" w:rsidR="00191A79" w:rsidRPr="005E4FAB" w:rsidRDefault="00191A79" w:rsidP="00376F01">
      <w:pPr>
        <w:pStyle w:val="ListParagraph"/>
        <w:pBdr>
          <w:top w:val="nil"/>
          <w:left w:val="nil"/>
          <w:bottom w:val="nil"/>
          <w:right w:val="nil"/>
          <w:between w:val="nil"/>
        </w:pBdr>
        <w:ind w:left="0"/>
        <w:rPr>
          <w:bCs/>
          <w:u w:val="single"/>
        </w:rPr>
      </w:pPr>
    </w:p>
    <w:p w14:paraId="1A480604" w14:textId="77777777" w:rsidR="00191A79" w:rsidRPr="005E4FAB" w:rsidRDefault="00191A79" w:rsidP="00376F01">
      <w:pPr>
        <w:pBdr>
          <w:top w:val="nil"/>
          <w:left w:val="nil"/>
          <w:bottom w:val="nil"/>
          <w:right w:val="nil"/>
          <w:between w:val="nil"/>
        </w:pBdr>
      </w:pPr>
      <w:r w:rsidRPr="005E4FAB">
        <w:rPr>
          <w:b/>
        </w:rPr>
        <w:t xml:space="preserve">REPRESENTATIVE RESULTS:  </w:t>
      </w:r>
    </w:p>
    <w:p w14:paraId="581B81F9" w14:textId="77777777" w:rsidR="00191A79" w:rsidRPr="005E4FAB" w:rsidRDefault="00191A79" w:rsidP="00376F01"/>
    <w:p w14:paraId="325601FA" w14:textId="77C7783B" w:rsidR="00191A79" w:rsidRPr="005E4FAB" w:rsidRDefault="00191A79" w:rsidP="00376F01">
      <w:r w:rsidRPr="005E4FAB">
        <w:t>Cultured zebrafish RGCs extend axons within 1d. A representative 405/480 ratio image of the H</w:t>
      </w:r>
      <w:r w:rsidRPr="005E4FAB">
        <w:rPr>
          <w:vertAlign w:val="subscript"/>
        </w:rPr>
        <w:t>2</w:t>
      </w:r>
      <w:r w:rsidRPr="005E4FAB">
        <w:t>O</w:t>
      </w:r>
      <w:r w:rsidRPr="005E4FAB">
        <w:rPr>
          <w:vertAlign w:val="subscript"/>
        </w:rPr>
        <w:t>2</w:t>
      </w:r>
      <w:r w:rsidRPr="005E4FAB">
        <w:t xml:space="preserve">-biosensor is shown in </w:t>
      </w:r>
      <w:r w:rsidRPr="009B24F9">
        <w:rPr>
          <w:b/>
          <w:bCs/>
        </w:rPr>
        <w:t xml:space="preserve">Figure </w:t>
      </w:r>
      <w:r w:rsidR="00DA77B9" w:rsidRPr="009B24F9">
        <w:rPr>
          <w:b/>
          <w:bCs/>
        </w:rPr>
        <w:t>4</w:t>
      </w:r>
      <w:r w:rsidR="00FA522A" w:rsidRPr="009B24F9">
        <w:rPr>
          <w:b/>
          <w:bCs/>
        </w:rPr>
        <w:t>A</w:t>
      </w:r>
      <w:r w:rsidRPr="005E4FAB">
        <w:t>. The cell body, axon, and growth cones are clearly visible in individual neurons. These neurons can be subjected to different treatments over time to monitor H</w:t>
      </w:r>
      <w:r w:rsidRPr="005E4FAB">
        <w:rPr>
          <w:vertAlign w:val="subscript"/>
        </w:rPr>
        <w:t>2</w:t>
      </w:r>
      <w:r w:rsidRPr="005E4FAB">
        <w:t>O</w:t>
      </w:r>
      <w:r w:rsidRPr="005E4FAB">
        <w:rPr>
          <w:vertAlign w:val="subscript"/>
        </w:rPr>
        <w:t>2</w:t>
      </w:r>
      <w:r w:rsidRPr="005E4FAB">
        <w:t xml:space="preserve"> changes. We previously found that adding 100 µM H</w:t>
      </w:r>
      <w:r w:rsidRPr="005E4FAB">
        <w:rPr>
          <w:vertAlign w:val="subscript"/>
        </w:rPr>
        <w:t>2</w:t>
      </w:r>
      <w:r w:rsidRPr="005E4FAB">
        <w:t>O</w:t>
      </w:r>
      <w:r w:rsidRPr="005E4FAB">
        <w:rPr>
          <w:vertAlign w:val="subscript"/>
        </w:rPr>
        <w:t>2</w:t>
      </w:r>
      <w:r w:rsidRPr="005E4FAB">
        <w:t xml:space="preserve"> to culture media increases the ratio values, showing that real-time changes can be detected with this system (</w:t>
      </w:r>
      <w:r w:rsidRPr="009B24F9">
        <w:rPr>
          <w:b/>
          <w:bCs/>
        </w:rPr>
        <w:t xml:space="preserve">Figure </w:t>
      </w:r>
      <w:r w:rsidR="00DA77B9" w:rsidRPr="009B24F9">
        <w:rPr>
          <w:b/>
          <w:bCs/>
        </w:rPr>
        <w:t>4</w:t>
      </w:r>
      <w:r w:rsidRPr="005E4FAB">
        <w:t>)</w:t>
      </w:r>
      <w:r w:rsidRPr="005E4FAB">
        <w:rPr>
          <w:noProof/>
          <w:vertAlign w:val="superscript"/>
        </w:rPr>
        <w:t>24</w:t>
      </w:r>
      <w:r w:rsidRPr="005E4FAB">
        <w:t xml:space="preserve">. </w:t>
      </w:r>
    </w:p>
    <w:p w14:paraId="2896A977" w14:textId="77777777" w:rsidR="00191A79" w:rsidRPr="005E4FAB" w:rsidRDefault="00191A79" w:rsidP="00376F01"/>
    <w:p w14:paraId="36F0054F" w14:textId="7903FCCF" w:rsidR="00191A79" w:rsidRPr="005E4FAB" w:rsidRDefault="00191A79" w:rsidP="00376F01">
      <w:r w:rsidRPr="005E4FAB">
        <w:t>[</w:t>
      </w:r>
      <w:r w:rsidR="00723FB3" w:rsidRPr="005E4FAB">
        <w:t xml:space="preserve">Place </w:t>
      </w:r>
      <w:r w:rsidR="00723FB3" w:rsidRPr="005E4FAB">
        <w:rPr>
          <w:b/>
          <w:bCs/>
        </w:rPr>
        <w:t xml:space="preserve">Figure </w:t>
      </w:r>
      <w:r w:rsidR="005167A5" w:rsidRPr="005E4FAB">
        <w:rPr>
          <w:b/>
          <w:bCs/>
        </w:rPr>
        <w:t>4</w:t>
      </w:r>
      <w:r w:rsidR="005167A5" w:rsidRPr="005E4FAB">
        <w:t xml:space="preserve"> </w:t>
      </w:r>
      <w:r w:rsidR="00723FB3" w:rsidRPr="005E4FAB">
        <w:t>here</w:t>
      </w:r>
      <w:r w:rsidRPr="005E4FAB">
        <w:t>]</w:t>
      </w:r>
    </w:p>
    <w:p w14:paraId="310881B0" w14:textId="77777777" w:rsidR="00191A79" w:rsidRPr="005E4FAB" w:rsidRDefault="00191A79" w:rsidP="00376F01"/>
    <w:p w14:paraId="2E641C8C" w14:textId="2AE2AE53" w:rsidR="00191A79" w:rsidRPr="005E4FAB" w:rsidRDefault="00191A79" w:rsidP="00376F01">
      <w:r w:rsidRPr="005E4FAB">
        <w:t>H</w:t>
      </w:r>
      <w:r w:rsidRPr="005E4FAB">
        <w:rPr>
          <w:vertAlign w:val="subscript"/>
        </w:rPr>
        <w:t>2</w:t>
      </w:r>
      <w:r w:rsidRPr="005E4FAB">
        <w:t>O</w:t>
      </w:r>
      <w:r w:rsidRPr="005E4FAB">
        <w:rPr>
          <w:vertAlign w:val="subscript"/>
        </w:rPr>
        <w:t>2</w:t>
      </w:r>
      <w:r w:rsidRPr="005E4FAB">
        <w:t xml:space="preserve"> levels can also be determined in whole zebrafish embryos (</w:t>
      </w:r>
      <w:r w:rsidRPr="009B24F9">
        <w:rPr>
          <w:b/>
          <w:bCs/>
        </w:rPr>
        <w:t xml:space="preserve">Figure </w:t>
      </w:r>
      <w:r w:rsidR="00DA77B9" w:rsidRPr="009B24F9">
        <w:rPr>
          <w:b/>
          <w:bCs/>
        </w:rPr>
        <w:t>5</w:t>
      </w:r>
      <w:r w:rsidRPr="005E4FAB">
        <w:t xml:space="preserve">). As the mRNA is injected during the one-cell stage, all tissues express the </w:t>
      </w:r>
      <w:r w:rsidR="002A2E83" w:rsidRPr="005E4FAB">
        <w:t>roGFP2-Orp1</w:t>
      </w:r>
      <w:r w:rsidRPr="005E4FAB">
        <w:t xml:space="preserve"> biosensor. In </w:t>
      </w:r>
      <w:r w:rsidR="00EE5ED7" w:rsidRPr="009B24F9">
        <w:rPr>
          <w:b/>
          <w:bCs/>
        </w:rPr>
        <w:t>F</w:t>
      </w:r>
      <w:r w:rsidRPr="009B24F9">
        <w:rPr>
          <w:b/>
          <w:bCs/>
        </w:rPr>
        <w:t xml:space="preserve">igure </w:t>
      </w:r>
      <w:r w:rsidR="00DA77B9" w:rsidRPr="009B24F9">
        <w:rPr>
          <w:b/>
          <w:bCs/>
        </w:rPr>
        <w:t>5</w:t>
      </w:r>
      <w:r w:rsidR="00FA522A" w:rsidRPr="009B24F9">
        <w:rPr>
          <w:b/>
          <w:bCs/>
        </w:rPr>
        <w:t>A</w:t>
      </w:r>
      <w:r w:rsidRPr="005E4FAB">
        <w:t>, we show the head region of zebrafish larvae at two different time points, focusing on the H</w:t>
      </w:r>
      <w:r w:rsidRPr="005E4FAB">
        <w:rPr>
          <w:vertAlign w:val="subscript"/>
        </w:rPr>
        <w:t>2</w:t>
      </w:r>
      <w:r w:rsidRPr="005E4FAB">
        <w:t>O</w:t>
      </w:r>
      <w:r w:rsidRPr="005E4FAB">
        <w:rPr>
          <w:vertAlign w:val="subscript"/>
        </w:rPr>
        <w:t xml:space="preserve">2 </w:t>
      </w:r>
      <w:r w:rsidRPr="005E4FAB">
        <w:t>levels in the retina, as an example. We have previously shown that addition of H</w:t>
      </w:r>
      <w:r w:rsidRPr="005E4FAB">
        <w:rPr>
          <w:vertAlign w:val="subscript"/>
        </w:rPr>
        <w:t>2</w:t>
      </w:r>
      <w:r w:rsidRPr="005E4FAB">
        <w:t>O</w:t>
      </w:r>
      <w:r w:rsidRPr="005E4FAB">
        <w:rPr>
          <w:vertAlign w:val="subscript"/>
        </w:rPr>
        <w:t xml:space="preserve">2 </w:t>
      </w:r>
      <w:r w:rsidRPr="005E4FAB">
        <w:t xml:space="preserve">increases the ratio values in real time, while addition of the reducing agent DTT reverses this effect </w:t>
      </w:r>
      <w:r w:rsidRPr="009B24F9">
        <w:t>in vivo</w:t>
      </w:r>
      <w:r w:rsidRPr="005E4FAB">
        <w:rPr>
          <w:noProof/>
          <w:vertAlign w:val="superscript"/>
        </w:rPr>
        <w:t>24</w:t>
      </w:r>
      <w:r w:rsidRPr="005E4FAB">
        <w:t>. Here, we measured the basal levels of H</w:t>
      </w:r>
      <w:r w:rsidRPr="005E4FAB">
        <w:rPr>
          <w:vertAlign w:val="subscript"/>
        </w:rPr>
        <w:t>2</w:t>
      </w:r>
      <w:r w:rsidRPr="005E4FAB">
        <w:t>O</w:t>
      </w:r>
      <w:r w:rsidRPr="005E4FAB">
        <w:rPr>
          <w:vertAlign w:val="subscript"/>
        </w:rPr>
        <w:t>2</w:t>
      </w:r>
      <w:r w:rsidRPr="005E4FAB">
        <w:t xml:space="preserve"> in the same zebrafish embryos at 2 dpf and 5 dpf. At 2 dpf, the ratio values were significantly lower than at 5 dpf (p&lt;0.0001; </w:t>
      </w:r>
      <w:r w:rsidRPr="009B24F9">
        <w:rPr>
          <w:b/>
          <w:bCs/>
        </w:rPr>
        <w:t xml:space="preserve">Figure </w:t>
      </w:r>
      <w:r w:rsidR="00DA77B9" w:rsidRPr="009B24F9">
        <w:rPr>
          <w:b/>
          <w:bCs/>
        </w:rPr>
        <w:t>5</w:t>
      </w:r>
      <w:r w:rsidR="00FA522A" w:rsidRPr="009B24F9">
        <w:rPr>
          <w:b/>
          <w:bCs/>
        </w:rPr>
        <w:t>B</w:t>
      </w:r>
      <w:r w:rsidRPr="005E4FAB">
        <w:t>). Furthermore, each animal showed a different level of increase in their retinal H</w:t>
      </w:r>
      <w:r w:rsidRPr="005E4FAB">
        <w:rPr>
          <w:vertAlign w:val="subscript"/>
        </w:rPr>
        <w:t>2</w:t>
      </w:r>
      <w:r w:rsidRPr="005E4FAB">
        <w:t>O</w:t>
      </w:r>
      <w:r w:rsidRPr="005E4FAB">
        <w:rPr>
          <w:vertAlign w:val="subscript"/>
        </w:rPr>
        <w:t>2</w:t>
      </w:r>
      <w:r w:rsidRPr="005E4FAB">
        <w:t xml:space="preserve"> content (</w:t>
      </w:r>
      <w:r w:rsidRPr="009B24F9">
        <w:rPr>
          <w:b/>
          <w:bCs/>
        </w:rPr>
        <w:t xml:space="preserve">Figure </w:t>
      </w:r>
      <w:r w:rsidR="00DA77B9" w:rsidRPr="009B24F9">
        <w:rPr>
          <w:b/>
          <w:bCs/>
        </w:rPr>
        <w:t>5</w:t>
      </w:r>
      <w:r w:rsidR="00FA522A" w:rsidRPr="009B24F9">
        <w:rPr>
          <w:b/>
          <w:bCs/>
        </w:rPr>
        <w:t>C</w:t>
      </w:r>
      <w:r w:rsidRPr="005E4FAB">
        <w:t xml:space="preserve">). </w:t>
      </w:r>
    </w:p>
    <w:p w14:paraId="51A7F802" w14:textId="77777777" w:rsidR="00191A79" w:rsidRPr="005E4FAB" w:rsidRDefault="00191A79" w:rsidP="00376F01"/>
    <w:p w14:paraId="33E233B4" w14:textId="4E6ACA1C" w:rsidR="00191A79" w:rsidRPr="005E4FAB" w:rsidRDefault="00191A79" w:rsidP="00376F01">
      <w:r w:rsidRPr="005E4FAB">
        <w:t>[</w:t>
      </w:r>
      <w:r w:rsidR="00723FB3" w:rsidRPr="005E4FAB">
        <w:t xml:space="preserve">Place </w:t>
      </w:r>
      <w:r w:rsidR="00723FB3" w:rsidRPr="005E4FAB">
        <w:rPr>
          <w:b/>
          <w:bCs/>
        </w:rPr>
        <w:t xml:space="preserve">Figure </w:t>
      </w:r>
      <w:r w:rsidR="005167A5" w:rsidRPr="005E4FAB">
        <w:rPr>
          <w:b/>
          <w:bCs/>
        </w:rPr>
        <w:t>5</w:t>
      </w:r>
      <w:r w:rsidR="005167A5" w:rsidRPr="005E4FAB">
        <w:t xml:space="preserve"> </w:t>
      </w:r>
      <w:r w:rsidR="00723FB3" w:rsidRPr="005E4FAB">
        <w:t>here</w:t>
      </w:r>
      <w:r w:rsidRPr="005E4FAB">
        <w:t>]</w:t>
      </w:r>
    </w:p>
    <w:p w14:paraId="3D1A3556" w14:textId="77777777" w:rsidR="00381C10" w:rsidRPr="005E4FAB" w:rsidRDefault="00381C10" w:rsidP="00376F01"/>
    <w:p w14:paraId="27F5BF94" w14:textId="53A5A494" w:rsidR="00191A79" w:rsidRPr="005E4FAB" w:rsidRDefault="00191A79" w:rsidP="00376F01">
      <w:r w:rsidRPr="005E4FAB">
        <w:rPr>
          <w:b/>
        </w:rPr>
        <w:t>FIGURE LEGENDS:</w:t>
      </w:r>
      <w:r w:rsidRPr="005E4FAB">
        <w:t xml:space="preserve"> </w:t>
      </w:r>
    </w:p>
    <w:p w14:paraId="14A79F81" w14:textId="7E2D7400" w:rsidR="005C1B4E" w:rsidRPr="005E4FAB" w:rsidRDefault="005C1B4E" w:rsidP="00376F01"/>
    <w:p w14:paraId="4967ABAA" w14:textId="77777777" w:rsidR="009B24F9" w:rsidRDefault="005C1B4E" w:rsidP="00376F01">
      <w:r w:rsidRPr="005E4FAB">
        <w:rPr>
          <w:b/>
          <w:bCs/>
        </w:rPr>
        <w:t xml:space="preserve">Figure 1: </w:t>
      </w:r>
      <w:r w:rsidR="005167A5" w:rsidRPr="005E4FAB">
        <w:rPr>
          <w:b/>
          <w:bCs/>
        </w:rPr>
        <w:t xml:space="preserve">Schematic representation and excitation spectra of </w:t>
      </w:r>
      <w:r w:rsidR="00857136" w:rsidRPr="005E4FAB">
        <w:rPr>
          <w:b/>
          <w:bCs/>
        </w:rPr>
        <w:t>roGFP2-Orp1</w:t>
      </w:r>
      <w:r w:rsidR="005167A5" w:rsidRPr="005E4FAB">
        <w:rPr>
          <w:b/>
          <w:bCs/>
        </w:rPr>
        <w:t xml:space="preserve">. </w:t>
      </w:r>
      <w:r w:rsidR="005167A5" w:rsidRPr="009B24F9">
        <w:t>(</w:t>
      </w:r>
      <w:r w:rsidR="005167A5" w:rsidRPr="005E4FAB">
        <w:rPr>
          <w:b/>
          <w:bCs/>
        </w:rPr>
        <w:t>A</w:t>
      </w:r>
      <w:r w:rsidR="005167A5" w:rsidRPr="009B24F9">
        <w:t>)</w:t>
      </w:r>
      <w:r w:rsidR="005167A5" w:rsidRPr="005E4FAB">
        <w:t xml:space="preserve"> Oxidant transfer occurs between </w:t>
      </w:r>
      <w:r w:rsidR="00732634" w:rsidRPr="005E4FAB">
        <w:t>O</w:t>
      </w:r>
      <w:r w:rsidR="005167A5" w:rsidRPr="005E4FAB">
        <w:t>rp1 and roGFP2 in response to H</w:t>
      </w:r>
      <w:r w:rsidR="005167A5" w:rsidRPr="005E4FAB">
        <w:rPr>
          <w:vertAlign w:val="subscript"/>
        </w:rPr>
        <w:t>2</w:t>
      </w:r>
      <w:r w:rsidR="005167A5" w:rsidRPr="005E4FAB">
        <w:t>O</w:t>
      </w:r>
      <w:r w:rsidR="005167A5" w:rsidRPr="005E4FAB">
        <w:rPr>
          <w:vertAlign w:val="subscript"/>
        </w:rPr>
        <w:t>2</w:t>
      </w:r>
      <w:r w:rsidR="005167A5" w:rsidRPr="005E4FAB">
        <w:t xml:space="preserve">, leading </w:t>
      </w:r>
      <w:r w:rsidR="00732634" w:rsidRPr="005E4FAB">
        <w:t xml:space="preserve">to </w:t>
      </w:r>
      <w:r w:rsidR="005167A5" w:rsidRPr="005E4FAB">
        <w:t xml:space="preserve">conformational changes in roGFP2. </w:t>
      </w:r>
      <w:r w:rsidR="005167A5" w:rsidRPr="009B24F9">
        <w:t>(</w:t>
      </w:r>
      <w:r w:rsidR="005167A5" w:rsidRPr="005E4FAB">
        <w:rPr>
          <w:b/>
          <w:bCs/>
        </w:rPr>
        <w:t>B</w:t>
      </w:r>
      <w:r w:rsidR="005167A5" w:rsidRPr="009B24F9">
        <w:t>)</w:t>
      </w:r>
      <w:r w:rsidR="005167A5" w:rsidRPr="005E4FAB">
        <w:t xml:space="preserve"> The excitation spectra of the </w:t>
      </w:r>
      <w:r w:rsidR="00857136" w:rsidRPr="005E4FAB">
        <w:t>roGFP2-Orp1</w:t>
      </w:r>
      <w:r w:rsidR="005167A5" w:rsidRPr="005E4FAB">
        <w:t xml:space="preserve"> exhibits two excitation peaks at 405 nm and 480 nm</w:t>
      </w:r>
      <w:r w:rsidR="007C395A" w:rsidRPr="005E4FAB">
        <w:t xml:space="preserve"> and single emission peak at 5</w:t>
      </w:r>
      <w:r w:rsidR="00732634" w:rsidRPr="005E4FAB">
        <w:t>1</w:t>
      </w:r>
      <w:r w:rsidR="007C395A" w:rsidRPr="005E4FAB">
        <w:t>5 nm</w:t>
      </w:r>
      <w:r w:rsidR="005167A5" w:rsidRPr="005E4FAB">
        <w:t>. Upon oxidation by H</w:t>
      </w:r>
      <w:r w:rsidR="005167A5" w:rsidRPr="005E4FAB">
        <w:rPr>
          <w:vertAlign w:val="subscript"/>
        </w:rPr>
        <w:t>2</w:t>
      </w:r>
      <w:r w:rsidR="005167A5" w:rsidRPr="005E4FAB">
        <w:t>O</w:t>
      </w:r>
      <w:r w:rsidR="005167A5" w:rsidRPr="005E4FAB">
        <w:rPr>
          <w:vertAlign w:val="subscript"/>
        </w:rPr>
        <w:t>2</w:t>
      </w:r>
      <w:r w:rsidR="005167A5" w:rsidRPr="005E4FAB">
        <w:t>, the 405 nm excitation increases while 480 nm excitation decreases. This results in ratiometric readout for H</w:t>
      </w:r>
      <w:r w:rsidR="005167A5" w:rsidRPr="005E4FAB">
        <w:rPr>
          <w:vertAlign w:val="subscript"/>
        </w:rPr>
        <w:t>2</w:t>
      </w:r>
      <w:r w:rsidR="005167A5" w:rsidRPr="005E4FAB">
        <w:t>O</w:t>
      </w:r>
      <w:r w:rsidR="005167A5" w:rsidRPr="005E4FAB">
        <w:rPr>
          <w:vertAlign w:val="subscript"/>
        </w:rPr>
        <w:t xml:space="preserve">2 </w:t>
      </w:r>
      <w:r w:rsidR="005167A5" w:rsidRPr="005E4FAB">
        <w:t xml:space="preserve">presence. </w:t>
      </w:r>
      <w:r w:rsidR="00C06C0F" w:rsidRPr="005E4FAB">
        <w:t xml:space="preserve">The figure </w:t>
      </w:r>
      <w:r w:rsidR="00242F76">
        <w:t>has been modified</w:t>
      </w:r>
      <w:r w:rsidR="00C06C0F" w:rsidRPr="005E4FAB">
        <w:t xml:space="preserve"> from</w:t>
      </w:r>
      <w:r w:rsidR="00C06C0F" w:rsidRPr="009B24F9">
        <w:t xml:space="preserve"> Bilan </w:t>
      </w:r>
      <w:r w:rsidR="009B24F9">
        <w:t>and</w:t>
      </w:r>
      <w:r w:rsidR="00C06C0F" w:rsidRPr="009B24F9">
        <w:t xml:space="preserve"> Belousov (2017)</w:t>
      </w:r>
      <w:r w:rsidR="007F1AF2" w:rsidRPr="005E4FAB">
        <w:rPr>
          <w:vertAlign w:val="superscript"/>
        </w:rPr>
        <w:t>16</w:t>
      </w:r>
      <w:r w:rsidR="00634D0A" w:rsidRPr="005E4FAB">
        <w:rPr>
          <w:vertAlign w:val="superscript"/>
        </w:rPr>
        <w:t xml:space="preserve"> </w:t>
      </w:r>
      <w:r w:rsidR="00634D0A" w:rsidRPr="005E4FAB">
        <w:t xml:space="preserve">and </w:t>
      </w:r>
      <w:r w:rsidR="00634D0A" w:rsidRPr="009B24F9">
        <w:t>Morgan et al. (2011)</w:t>
      </w:r>
      <w:r w:rsidR="00634D0A" w:rsidRPr="009B24F9">
        <w:rPr>
          <w:vertAlign w:val="superscript"/>
        </w:rPr>
        <w:t>25</w:t>
      </w:r>
      <w:r w:rsidR="00C06C0F" w:rsidRPr="009B24F9">
        <w:t>.</w:t>
      </w:r>
    </w:p>
    <w:p w14:paraId="19C34F09" w14:textId="0D77D65F" w:rsidR="00191A79" w:rsidRPr="009B24F9" w:rsidRDefault="00C06C0F" w:rsidP="00376F01">
      <w:r w:rsidRPr="009B24F9">
        <w:t xml:space="preserve"> </w:t>
      </w:r>
    </w:p>
    <w:p w14:paraId="74BBBD92" w14:textId="4B7B3E25" w:rsidR="00191A79" w:rsidRPr="005E4FAB" w:rsidRDefault="00191A79" w:rsidP="00376F01">
      <w:r w:rsidRPr="005E4FAB">
        <w:rPr>
          <w:b/>
          <w:bCs/>
        </w:rPr>
        <w:t xml:space="preserve">Figure </w:t>
      </w:r>
      <w:r w:rsidR="00242F76">
        <w:rPr>
          <w:b/>
          <w:bCs/>
        </w:rPr>
        <w:t>2</w:t>
      </w:r>
      <w:r w:rsidRPr="005E4FAB">
        <w:rPr>
          <w:b/>
          <w:bCs/>
        </w:rPr>
        <w:t>. Outline of the experimental approach.</w:t>
      </w:r>
      <w:r w:rsidRPr="005E4FAB">
        <w:t xml:space="preserve"> Briefly</w:t>
      </w:r>
      <w:r w:rsidR="00592844">
        <w:t>,</w:t>
      </w:r>
      <w:r w:rsidRPr="005E4FAB">
        <w:t xml:space="preserve"> after embryo collection, </w:t>
      </w:r>
      <w:r w:rsidR="002A2E83" w:rsidRPr="005E4FAB">
        <w:t>roGFP2-Orp1</w:t>
      </w:r>
      <w:r w:rsidRPr="005E4FAB">
        <w:t xml:space="preserve"> mRNA is injected into the yolk of one-cell stage zebrafish embryos. Developing embryos can be </w:t>
      </w:r>
      <w:r w:rsidRPr="005E4FAB">
        <w:lastRenderedPageBreak/>
        <w:t xml:space="preserve">used for both </w:t>
      </w:r>
      <w:r w:rsidRPr="009B24F9">
        <w:t>(</w:t>
      </w:r>
      <w:r w:rsidRPr="005E4FAB">
        <w:rPr>
          <w:b/>
          <w:bCs/>
        </w:rPr>
        <w:t>A</w:t>
      </w:r>
      <w:r w:rsidRPr="009B24F9">
        <w:t>)</w:t>
      </w:r>
      <w:r w:rsidRPr="005E4FAB">
        <w:t xml:space="preserve"> </w:t>
      </w:r>
      <w:r w:rsidRPr="009B24F9">
        <w:rPr>
          <w:iCs/>
        </w:rPr>
        <w:t>in vitro</w:t>
      </w:r>
      <w:r w:rsidRPr="005E4FAB">
        <w:t xml:space="preserve"> and </w:t>
      </w:r>
      <w:r w:rsidRPr="009B24F9">
        <w:t>(</w:t>
      </w:r>
      <w:r w:rsidRPr="005E4FAB">
        <w:rPr>
          <w:b/>
          <w:bCs/>
        </w:rPr>
        <w:t>B</w:t>
      </w:r>
      <w:r w:rsidRPr="009B24F9">
        <w:t>)</w:t>
      </w:r>
      <w:r w:rsidRPr="005E4FAB">
        <w:t xml:space="preserve"> </w:t>
      </w:r>
      <w:r w:rsidRPr="009B24F9">
        <w:rPr>
          <w:iCs/>
        </w:rPr>
        <w:t>in vivo</w:t>
      </w:r>
      <w:r w:rsidRPr="005E4FAB">
        <w:t xml:space="preserve"> imaging. </w:t>
      </w:r>
      <w:r w:rsidRPr="009B24F9">
        <w:t>(</w:t>
      </w:r>
      <w:r w:rsidRPr="005E4FAB">
        <w:rPr>
          <w:b/>
          <w:bCs/>
        </w:rPr>
        <w:t>A</w:t>
      </w:r>
      <w:r w:rsidRPr="009B24F9">
        <w:t>)</w:t>
      </w:r>
      <w:r w:rsidRPr="005E4FAB">
        <w:t xml:space="preserve"> GFP-positive embryos are used to dissect retinas for RGC collection at 34 hpf. Dissociated RGCs are plated on PDL/laminin-coated coverslips in ZFCM (+) media. Growth cone imaging can be conducted as RGCs extend their axons after 6-24 h of plating. Cells can be subjected to different treatments to measure the potential changes in H</w:t>
      </w:r>
      <w:r w:rsidRPr="005E4FAB">
        <w:rPr>
          <w:vertAlign w:val="subscript"/>
        </w:rPr>
        <w:t>2</w:t>
      </w:r>
      <w:r w:rsidRPr="005E4FAB">
        <w:t>O</w:t>
      </w:r>
      <w:r w:rsidRPr="005E4FAB">
        <w:rPr>
          <w:vertAlign w:val="subscript"/>
        </w:rPr>
        <w:t>2</w:t>
      </w:r>
      <w:r w:rsidRPr="005E4FAB">
        <w:t>-levels. Here, we measured H</w:t>
      </w:r>
      <w:r w:rsidRPr="005E4FAB">
        <w:rPr>
          <w:vertAlign w:val="subscript"/>
        </w:rPr>
        <w:t>2</w:t>
      </w:r>
      <w:r w:rsidRPr="005E4FAB">
        <w:t>O</w:t>
      </w:r>
      <w:r w:rsidRPr="005E4FAB">
        <w:rPr>
          <w:vertAlign w:val="subscript"/>
        </w:rPr>
        <w:t>2</w:t>
      </w:r>
      <w:r w:rsidRPr="005E4FAB">
        <w:t xml:space="preserve">-levels in the growth cones of RGCs (red). </w:t>
      </w:r>
      <w:r w:rsidRPr="009B24F9">
        <w:t>(</w:t>
      </w:r>
      <w:r w:rsidRPr="005E4FAB">
        <w:rPr>
          <w:b/>
          <w:bCs/>
        </w:rPr>
        <w:t>B</w:t>
      </w:r>
      <w:r w:rsidRPr="009B24F9">
        <w:t>)</w:t>
      </w:r>
      <w:r w:rsidRPr="005E4FAB">
        <w:t xml:space="preserve"> GFP positive embryos are used for </w:t>
      </w:r>
      <w:r w:rsidRPr="009B24F9">
        <w:rPr>
          <w:iCs/>
        </w:rPr>
        <w:t>in vivo</w:t>
      </w:r>
      <w:r w:rsidRPr="005E4FAB">
        <w:t xml:space="preserve"> imaging. At the desired age, embryos can be anesthetized and mounted on 35</w:t>
      </w:r>
      <w:r w:rsidR="009B24F9">
        <w:t xml:space="preserve"> </w:t>
      </w:r>
      <w:r w:rsidRPr="005E4FAB">
        <w:t>mm glass bottom dishes for confocal imaging. Here, embryos are mounted ventrally for retinal imaging. Schematic shows retinal development in zebrafish. RGCs form ganglion cell layer (GCL), which is the innermost layer in retina. RGC axons develop into optic nerve to cross midline, forming optic chiasm. Then, RGC axons grow dorsally to make synapses in the optic tectum in the midbrain.</w:t>
      </w:r>
    </w:p>
    <w:p w14:paraId="616477CF" w14:textId="548AF290" w:rsidR="00191A79" w:rsidRDefault="00191A79" w:rsidP="00376F01"/>
    <w:p w14:paraId="0FBF21EB" w14:textId="4387F27A" w:rsidR="00242F76" w:rsidRPr="005E4FAB" w:rsidRDefault="00242F76" w:rsidP="00242F76">
      <w:r w:rsidRPr="005E4FAB">
        <w:rPr>
          <w:b/>
          <w:bCs/>
        </w:rPr>
        <w:t xml:space="preserve">Figure </w:t>
      </w:r>
      <w:r>
        <w:rPr>
          <w:b/>
          <w:bCs/>
        </w:rPr>
        <w:t>3</w:t>
      </w:r>
      <w:r w:rsidRPr="005E4FAB">
        <w:rPr>
          <w:b/>
          <w:bCs/>
        </w:rPr>
        <w:t xml:space="preserve">: Injection mold images. </w:t>
      </w:r>
      <w:r w:rsidRPr="009B24F9">
        <w:t>(</w:t>
      </w:r>
      <w:r w:rsidRPr="005E4FAB">
        <w:rPr>
          <w:b/>
          <w:bCs/>
        </w:rPr>
        <w:t>A</w:t>
      </w:r>
      <w:r w:rsidRPr="009B24F9">
        <w:t>)</w:t>
      </w:r>
      <w:r w:rsidRPr="005E4FAB">
        <w:rPr>
          <w:b/>
          <w:bCs/>
        </w:rPr>
        <w:t xml:space="preserve"> </w:t>
      </w:r>
      <w:r w:rsidRPr="005E4FAB">
        <w:t>The plastic mold that is used to make injection plates. The mold has six ramps, one 90</w:t>
      </w:r>
      <w:r w:rsidR="009B24F9">
        <w:t>˚</w:t>
      </w:r>
      <w:r w:rsidRPr="005E4FAB">
        <w:t xml:space="preserve"> and one 45</w:t>
      </w:r>
      <w:r w:rsidR="009B24F9">
        <w:t>˚</w:t>
      </w:r>
      <w:r w:rsidRPr="005E4FAB">
        <w:t xml:space="preserve"> beveled side for holding embryos in place. </w:t>
      </w:r>
      <w:r w:rsidRPr="009B24F9">
        <w:t>(</w:t>
      </w:r>
      <w:r w:rsidRPr="005E4FAB">
        <w:rPr>
          <w:b/>
          <w:bCs/>
        </w:rPr>
        <w:t>B</w:t>
      </w:r>
      <w:r w:rsidRPr="009B24F9">
        <w:t>)</w:t>
      </w:r>
      <w:r w:rsidRPr="005E4FAB">
        <w:t xml:space="preserve"> The injection plate after the agarose solidified and mold is removed. Scale bars = 1 cm.</w:t>
      </w:r>
    </w:p>
    <w:p w14:paraId="0E68833E" w14:textId="77777777" w:rsidR="00242F76" w:rsidRPr="005E4FAB" w:rsidRDefault="00242F76" w:rsidP="00376F01"/>
    <w:p w14:paraId="6A6FFC52" w14:textId="043F31E0" w:rsidR="00191A79" w:rsidRPr="005E4FAB" w:rsidRDefault="00191A79" w:rsidP="00376F01">
      <w:r w:rsidRPr="005E4FAB">
        <w:rPr>
          <w:b/>
          <w:bCs/>
        </w:rPr>
        <w:t xml:space="preserve">Figure </w:t>
      </w:r>
      <w:r w:rsidR="005167A5" w:rsidRPr="005E4FAB">
        <w:rPr>
          <w:b/>
          <w:bCs/>
        </w:rPr>
        <w:t>4</w:t>
      </w:r>
      <w:r w:rsidR="00D2672D">
        <w:rPr>
          <w:b/>
          <w:bCs/>
        </w:rPr>
        <w:t>:</w:t>
      </w:r>
      <w:r w:rsidRPr="005E4FAB">
        <w:rPr>
          <w:b/>
          <w:bCs/>
          <w:i/>
        </w:rPr>
        <w:t xml:space="preserve"> </w:t>
      </w:r>
      <w:r w:rsidRPr="005E4FAB">
        <w:rPr>
          <w:b/>
          <w:bCs/>
        </w:rPr>
        <w:t>H</w:t>
      </w:r>
      <w:r w:rsidRPr="005E4FAB">
        <w:rPr>
          <w:b/>
          <w:bCs/>
          <w:vertAlign w:val="subscript"/>
        </w:rPr>
        <w:t>2</w:t>
      </w:r>
      <w:r w:rsidRPr="005E4FAB">
        <w:rPr>
          <w:b/>
          <w:bCs/>
        </w:rPr>
        <w:t>O</w:t>
      </w:r>
      <w:r w:rsidRPr="005E4FAB">
        <w:rPr>
          <w:b/>
          <w:bCs/>
          <w:vertAlign w:val="subscript"/>
        </w:rPr>
        <w:t>2</w:t>
      </w:r>
      <w:r w:rsidRPr="005E4FAB">
        <w:rPr>
          <w:b/>
          <w:bCs/>
        </w:rPr>
        <w:t xml:space="preserve"> imaging in cultured zebrafish RGCs with </w:t>
      </w:r>
      <w:r w:rsidR="002A2E83" w:rsidRPr="005E4FAB">
        <w:rPr>
          <w:b/>
          <w:bCs/>
        </w:rPr>
        <w:t>roGFP2-Orp1</w:t>
      </w:r>
      <w:r w:rsidRPr="005E4FAB">
        <w:rPr>
          <w:b/>
          <w:bCs/>
        </w:rPr>
        <w:t>.</w:t>
      </w:r>
      <w:r w:rsidR="009B24F9">
        <w:t xml:space="preserve"> </w:t>
      </w:r>
      <w:r w:rsidRPr="009B24F9">
        <w:t>(</w:t>
      </w:r>
      <w:r w:rsidRPr="005E4FAB">
        <w:rPr>
          <w:b/>
          <w:bCs/>
        </w:rPr>
        <w:t>A</w:t>
      </w:r>
      <w:r w:rsidRPr="009B24F9">
        <w:t>)</w:t>
      </w:r>
      <w:r w:rsidRPr="005E4FAB">
        <w:t xml:space="preserve"> Representative</w:t>
      </w:r>
      <w:r w:rsidR="005C1B4E" w:rsidRPr="005E4FAB">
        <w:t xml:space="preserve"> 405/480 nm</w:t>
      </w:r>
      <w:r w:rsidRPr="005E4FAB">
        <w:t xml:space="preserve"> ratio images of cultured RGC neurons</w:t>
      </w:r>
      <w:r w:rsidR="005C1B4E" w:rsidRPr="005E4FAB">
        <w:t xml:space="preserve"> from 34 hpf old zebrafish embryos. Neuron on the left was</w:t>
      </w:r>
      <w:r w:rsidRPr="005E4FAB">
        <w:t xml:space="preserve"> treated with serum-free control medium and </w:t>
      </w:r>
      <w:r w:rsidR="005C1B4E" w:rsidRPr="005E4FAB">
        <w:t xml:space="preserve">neuron on the right was </w:t>
      </w:r>
      <w:r w:rsidRPr="005E4FAB">
        <w:t>treated with 100 µM H</w:t>
      </w:r>
      <w:r w:rsidRPr="005E4FAB">
        <w:rPr>
          <w:vertAlign w:val="subscript"/>
        </w:rPr>
        <w:t>2</w:t>
      </w:r>
      <w:r w:rsidRPr="005E4FAB">
        <w:t>O</w:t>
      </w:r>
      <w:r w:rsidRPr="005E4FAB">
        <w:rPr>
          <w:vertAlign w:val="subscript"/>
        </w:rPr>
        <w:t>2</w:t>
      </w:r>
      <w:r w:rsidR="005C1B4E" w:rsidRPr="005E4FAB">
        <w:t xml:space="preserve"> for 30 min</w:t>
      </w:r>
      <w:r w:rsidRPr="005E4FAB">
        <w:t xml:space="preserve">. Scale bar = 10 µm. </w:t>
      </w:r>
      <w:r w:rsidRPr="009B24F9">
        <w:t>(</w:t>
      </w:r>
      <w:r w:rsidRPr="005E4FAB">
        <w:rPr>
          <w:b/>
          <w:bCs/>
        </w:rPr>
        <w:t>B</w:t>
      </w:r>
      <w:r w:rsidRPr="009B24F9">
        <w:t>)</w:t>
      </w:r>
      <w:r w:rsidRPr="005E4FAB">
        <w:t xml:space="preserve"> </w:t>
      </w:r>
      <w:r w:rsidR="00C00DB3" w:rsidRPr="005E4FAB">
        <w:t>Bar graphs showing the average H</w:t>
      </w:r>
      <w:r w:rsidR="00C00DB3" w:rsidRPr="005E4FAB">
        <w:rPr>
          <w:vertAlign w:val="subscript"/>
        </w:rPr>
        <w:t>2</w:t>
      </w:r>
      <w:r w:rsidR="00C00DB3" w:rsidRPr="005E4FAB">
        <w:t>O</w:t>
      </w:r>
      <w:r w:rsidR="00C00DB3" w:rsidRPr="005E4FAB">
        <w:rPr>
          <w:vertAlign w:val="subscript"/>
        </w:rPr>
        <w:t>2</w:t>
      </w:r>
      <w:r w:rsidR="00C00DB3" w:rsidRPr="005E4FAB">
        <w:t xml:space="preserve"> levels in the wild type zebrafish RGC growth cones before and after treatment with either control or 100 µM H</w:t>
      </w:r>
      <w:r w:rsidR="00C00DB3" w:rsidRPr="005E4FAB">
        <w:rPr>
          <w:vertAlign w:val="subscript"/>
        </w:rPr>
        <w:t>2</w:t>
      </w:r>
      <w:r w:rsidR="00C00DB3" w:rsidRPr="005E4FAB">
        <w:t>O</w:t>
      </w:r>
      <w:r w:rsidR="00C00DB3" w:rsidRPr="005E4FAB">
        <w:rPr>
          <w:vertAlign w:val="subscript"/>
        </w:rPr>
        <w:t>2</w:t>
      </w:r>
      <w:r w:rsidR="00C00DB3" w:rsidRPr="005E4FAB">
        <w:t xml:space="preserve">. The data were normalized to control treatment. </w:t>
      </w:r>
      <w:r w:rsidRPr="005E4FAB">
        <w:t>Data are shown mean ± SEM. Number of growth cones are shown in parentheses for each group. Two-tailed Wilcoxon matched-pairs signed rank test;</w:t>
      </w:r>
      <w:r w:rsidRPr="005E4FAB" w:rsidDel="00811B18">
        <w:t xml:space="preserve"> </w:t>
      </w:r>
      <w:r w:rsidRPr="005E4FAB">
        <w:t xml:space="preserve">**p = 0.0009. The figure </w:t>
      </w:r>
      <w:r w:rsidR="00242F76">
        <w:t>has been modified</w:t>
      </w:r>
      <w:r w:rsidRPr="005E4FAB">
        <w:t xml:space="preserve"> from our previous publication</w:t>
      </w:r>
      <w:r w:rsidRPr="005E4FAB">
        <w:rPr>
          <w:noProof/>
          <w:vertAlign w:val="superscript"/>
        </w:rPr>
        <w:t>24</w:t>
      </w:r>
      <w:r w:rsidRPr="005E4FAB">
        <w:t xml:space="preserve">. </w:t>
      </w:r>
    </w:p>
    <w:p w14:paraId="652FB6D2" w14:textId="77777777" w:rsidR="00191A79" w:rsidRPr="005E4FAB" w:rsidRDefault="00191A79" w:rsidP="00376F01"/>
    <w:p w14:paraId="728578BE" w14:textId="40A31F82" w:rsidR="00191A79" w:rsidRPr="005E4FAB" w:rsidRDefault="00191A79" w:rsidP="00376F01">
      <w:r w:rsidRPr="005E4FAB">
        <w:rPr>
          <w:b/>
          <w:bCs/>
        </w:rPr>
        <w:t xml:space="preserve">Figure </w:t>
      </w:r>
      <w:r w:rsidR="005167A5" w:rsidRPr="005E4FAB">
        <w:rPr>
          <w:b/>
          <w:bCs/>
        </w:rPr>
        <w:t>5</w:t>
      </w:r>
      <w:r w:rsidR="00D2672D">
        <w:rPr>
          <w:b/>
          <w:bCs/>
        </w:rPr>
        <w:t>:</w:t>
      </w:r>
      <w:r w:rsidRPr="005E4FAB">
        <w:rPr>
          <w:b/>
          <w:bCs/>
        </w:rPr>
        <w:t xml:space="preserve"> </w:t>
      </w:r>
      <w:r w:rsidRPr="009B24F9">
        <w:rPr>
          <w:b/>
          <w:bCs/>
          <w:iCs/>
        </w:rPr>
        <w:t>In vivo</w:t>
      </w:r>
      <w:r w:rsidRPr="005E4FAB">
        <w:rPr>
          <w:b/>
          <w:bCs/>
          <w:i/>
        </w:rPr>
        <w:t xml:space="preserve"> </w:t>
      </w:r>
      <w:r w:rsidRPr="005E4FAB">
        <w:rPr>
          <w:b/>
          <w:bCs/>
        </w:rPr>
        <w:t>H</w:t>
      </w:r>
      <w:r w:rsidRPr="005E4FAB">
        <w:rPr>
          <w:b/>
          <w:bCs/>
          <w:vertAlign w:val="subscript"/>
        </w:rPr>
        <w:t>2</w:t>
      </w:r>
      <w:r w:rsidRPr="005E4FAB">
        <w:rPr>
          <w:b/>
          <w:bCs/>
        </w:rPr>
        <w:t>O</w:t>
      </w:r>
      <w:r w:rsidRPr="005E4FAB">
        <w:rPr>
          <w:b/>
          <w:bCs/>
          <w:vertAlign w:val="subscript"/>
        </w:rPr>
        <w:t>2</w:t>
      </w:r>
      <w:r w:rsidRPr="005E4FAB">
        <w:rPr>
          <w:b/>
          <w:bCs/>
        </w:rPr>
        <w:t xml:space="preserve"> imaging in zebrafish larvae with </w:t>
      </w:r>
      <w:r w:rsidR="002A2E83" w:rsidRPr="005E4FAB">
        <w:rPr>
          <w:b/>
          <w:bCs/>
        </w:rPr>
        <w:t>roGFP2-Orp1</w:t>
      </w:r>
      <w:r w:rsidRPr="005E4FAB">
        <w:rPr>
          <w:b/>
          <w:bCs/>
        </w:rPr>
        <w:t xml:space="preserve">. </w:t>
      </w:r>
      <w:r w:rsidRPr="009B24F9">
        <w:t>(</w:t>
      </w:r>
      <w:r w:rsidRPr="005E4FAB">
        <w:rPr>
          <w:b/>
          <w:bCs/>
        </w:rPr>
        <w:t>A</w:t>
      </w:r>
      <w:r w:rsidRPr="009B24F9">
        <w:t>)</w:t>
      </w:r>
      <w:r w:rsidRPr="005E4FAB">
        <w:rPr>
          <w:b/>
          <w:bCs/>
        </w:rPr>
        <w:t xml:space="preserve"> </w:t>
      </w:r>
      <w:r w:rsidRPr="005E4FAB">
        <w:t>DIC and 405/480 nm ratio images of 2 and 5 dpf zebrafish larvae. ROI is defined as retina (yell</w:t>
      </w:r>
      <w:r w:rsidRPr="009B24F9">
        <w:t xml:space="preserve">ow lines) to measure ratio values. </w:t>
      </w:r>
      <w:r w:rsidR="00592844" w:rsidRPr="009B24F9">
        <w:t xml:space="preserve">The same larvae were analyzed at 2 and 5 dpf. </w:t>
      </w:r>
      <w:r w:rsidRPr="009B24F9">
        <w:t xml:space="preserve">Scale bars = 50 </w:t>
      </w:r>
      <w:r w:rsidRPr="005E4FAB">
        <w:t xml:space="preserve">µm. </w:t>
      </w:r>
      <w:r w:rsidRPr="009B24F9">
        <w:t>(</w:t>
      </w:r>
      <w:r w:rsidRPr="005E4FAB">
        <w:rPr>
          <w:b/>
          <w:bCs/>
        </w:rPr>
        <w:t>B</w:t>
      </w:r>
      <w:r w:rsidRPr="009B24F9">
        <w:t>)</w:t>
      </w:r>
      <w:r w:rsidRPr="005E4FAB">
        <w:t xml:space="preserve"> Measurement of average H</w:t>
      </w:r>
      <w:r w:rsidRPr="005E4FAB">
        <w:rPr>
          <w:vertAlign w:val="subscript"/>
        </w:rPr>
        <w:t>2</w:t>
      </w:r>
      <w:r w:rsidRPr="005E4FAB">
        <w:t>O</w:t>
      </w:r>
      <w:r w:rsidRPr="005E4FAB">
        <w:rPr>
          <w:vertAlign w:val="subscript"/>
        </w:rPr>
        <w:t>2</w:t>
      </w:r>
      <w:r w:rsidRPr="005E4FAB">
        <w:t xml:space="preserve"> levels in retinas of 2 and 5 dpf zebrafish. At 5 dpf, H</w:t>
      </w:r>
      <w:r w:rsidRPr="005E4FAB">
        <w:rPr>
          <w:vertAlign w:val="subscript"/>
        </w:rPr>
        <w:t>2</w:t>
      </w:r>
      <w:r w:rsidRPr="005E4FAB">
        <w:t>O</w:t>
      </w:r>
      <w:r w:rsidRPr="005E4FAB">
        <w:rPr>
          <w:vertAlign w:val="subscript"/>
        </w:rPr>
        <w:t>2</w:t>
      </w:r>
      <w:r w:rsidRPr="005E4FAB">
        <w:t xml:space="preserve">-levels are increased significantly in the retina compared to 2 dpf. </w:t>
      </w:r>
      <w:r w:rsidRPr="009B24F9">
        <w:t>(</w:t>
      </w:r>
      <w:r w:rsidRPr="005E4FAB">
        <w:rPr>
          <w:b/>
          <w:bCs/>
        </w:rPr>
        <w:t>C</w:t>
      </w:r>
      <w:r w:rsidRPr="009B24F9">
        <w:t>)</w:t>
      </w:r>
      <w:r w:rsidRPr="005E4FAB">
        <w:t xml:space="preserve"> Line graph of measurements of individual fish. Each animal exhibits an increase in the H</w:t>
      </w:r>
      <w:r w:rsidRPr="005E4FAB">
        <w:rPr>
          <w:vertAlign w:val="subscript"/>
        </w:rPr>
        <w:t>2</w:t>
      </w:r>
      <w:r w:rsidRPr="005E4FAB">
        <w:t>O</w:t>
      </w:r>
      <w:r w:rsidRPr="005E4FAB">
        <w:rPr>
          <w:vertAlign w:val="subscript"/>
        </w:rPr>
        <w:t>2</w:t>
      </w:r>
      <w:r w:rsidRPr="005E4FAB">
        <w:t>-levels in their retina from 2 to 5 dpf.  Data are shown as mean ± SEM. Number of larvae analyzed are shown in parentheses for each group. Two-tailed Wilcoxon matched-pairs signed rank test, ****p&lt;0.0001.</w:t>
      </w:r>
    </w:p>
    <w:p w14:paraId="057604CB" w14:textId="77777777" w:rsidR="00191A79" w:rsidRPr="005E4FAB" w:rsidRDefault="00191A79" w:rsidP="00376F01"/>
    <w:p w14:paraId="1BA2854A" w14:textId="77777777" w:rsidR="00191A79" w:rsidRPr="005E4FAB" w:rsidRDefault="00191A79" w:rsidP="00376F01">
      <w:pPr>
        <w:rPr>
          <w:b/>
          <w:bCs/>
        </w:rPr>
      </w:pPr>
      <w:r w:rsidRPr="005E4FAB">
        <w:rPr>
          <w:b/>
          <w:bCs/>
        </w:rPr>
        <w:t>TABLE LEGENDS:</w:t>
      </w:r>
    </w:p>
    <w:p w14:paraId="44E01B6F" w14:textId="77777777" w:rsidR="00191A79" w:rsidRPr="005E4FAB" w:rsidRDefault="00191A79" w:rsidP="00376F01">
      <w:pPr>
        <w:rPr>
          <w:b/>
          <w:bCs/>
        </w:rPr>
      </w:pPr>
    </w:p>
    <w:p w14:paraId="648949F6" w14:textId="4430D106" w:rsidR="00191A79" w:rsidRPr="005E4FAB" w:rsidRDefault="00191A79" w:rsidP="00376F01">
      <w:pPr>
        <w:rPr>
          <w:b/>
          <w:bCs/>
        </w:rPr>
      </w:pPr>
      <w:r w:rsidRPr="005E4FAB">
        <w:rPr>
          <w:b/>
          <w:bCs/>
        </w:rPr>
        <w:t>Table 1: Components of 1</w:t>
      </w:r>
      <w:r w:rsidR="00D2672D">
        <w:rPr>
          <w:b/>
          <w:bCs/>
        </w:rPr>
        <w:t>x</w:t>
      </w:r>
      <w:r w:rsidRPr="005E4FAB">
        <w:rPr>
          <w:b/>
          <w:bCs/>
        </w:rPr>
        <w:t xml:space="preserve"> E2 media for zebrafish cell culture.</w:t>
      </w:r>
    </w:p>
    <w:p w14:paraId="01E75E01" w14:textId="77777777" w:rsidR="00191A79" w:rsidRPr="005E4FAB" w:rsidRDefault="00191A79" w:rsidP="00376F01">
      <w:pPr>
        <w:rPr>
          <w:b/>
          <w:bCs/>
        </w:rPr>
      </w:pPr>
    </w:p>
    <w:p w14:paraId="240DF49A" w14:textId="1ABFFC88" w:rsidR="00191A79" w:rsidRPr="005E4FAB" w:rsidRDefault="00191A79" w:rsidP="00376F01">
      <w:pPr>
        <w:rPr>
          <w:b/>
          <w:bCs/>
        </w:rPr>
      </w:pPr>
      <w:r w:rsidRPr="005E4FAB">
        <w:rPr>
          <w:b/>
          <w:bCs/>
        </w:rPr>
        <w:t>Table 2: Components of 100</w:t>
      </w:r>
      <w:r w:rsidR="00D2672D">
        <w:rPr>
          <w:b/>
          <w:bCs/>
        </w:rPr>
        <w:t>x</w:t>
      </w:r>
      <w:r w:rsidRPr="005E4FAB">
        <w:rPr>
          <w:b/>
          <w:bCs/>
        </w:rPr>
        <w:t xml:space="preserve"> E3 media for maintaining zebrafish embryos.</w:t>
      </w:r>
    </w:p>
    <w:p w14:paraId="466D802E" w14:textId="77777777" w:rsidR="00191A79" w:rsidRPr="005E4FAB" w:rsidRDefault="00191A79" w:rsidP="00376F01">
      <w:pPr>
        <w:rPr>
          <w:b/>
          <w:bCs/>
        </w:rPr>
      </w:pPr>
    </w:p>
    <w:p w14:paraId="71DB3315" w14:textId="7844BC48" w:rsidR="00191A79" w:rsidRPr="005E4FAB" w:rsidRDefault="00191A79" w:rsidP="00376F01">
      <w:pPr>
        <w:rPr>
          <w:b/>
          <w:bCs/>
        </w:rPr>
      </w:pPr>
      <w:r w:rsidRPr="005E4FAB">
        <w:rPr>
          <w:b/>
          <w:bCs/>
        </w:rPr>
        <w:t>Table 3: Components of 80</w:t>
      </w:r>
      <w:r w:rsidR="00D2672D">
        <w:rPr>
          <w:b/>
          <w:bCs/>
        </w:rPr>
        <w:t>x</w:t>
      </w:r>
      <w:r w:rsidRPr="005E4FAB">
        <w:rPr>
          <w:b/>
          <w:bCs/>
        </w:rPr>
        <w:t xml:space="preserve"> saline solution for zebrafish cell culture media.</w:t>
      </w:r>
    </w:p>
    <w:p w14:paraId="0143ACAF" w14:textId="77777777" w:rsidR="00191A79" w:rsidRPr="005E4FAB" w:rsidRDefault="00191A79" w:rsidP="00376F01">
      <w:pPr>
        <w:rPr>
          <w:b/>
          <w:bCs/>
        </w:rPr>
      </w:pPr>
    </w:p>
    <w:p w14:paraId="1C447963" w14:textId="77777777" w:rsidR="00191A79" w:rsidRPr="005E4FAB" w:rsidRDefault="00191A79" w:rsidP="00376F01">
      <w:pPr>
        <w:rPr>
          <w:b/>
          <w:bCs/>
        </w:rPr>
      </w:pPr>
      <w:r w:rsidRPr="005E4FAB">
        <w:rPr>
          <w:b/>
          <w:bCs/>
        </w:rPr>
        <w:t>Table 4: Components of zebrafish cell culture medium with serum and antibiotics.</w:t>
      </w:r>
    </w:p>
    <w:p w14:paraId="09F18D35" w14:textId="77777777" w:rsidR="00191A79" w:rsidRPr="005E4FAB" w:rsidRDefault="00191A79" w:rsidP="00376F01">
      <w:pPr>
        <w:rPr>
          <w:b/>
          <w:bCs/>
        </w:rPr>
      </w:pPr>
    </w:p>
    <w:p w14:paraId="12C2D8C0" w14:textId="45A447FC" w:rsidR="00191A79" w:rsidRPr="00D2672D" w:rsidRDefault="00191A79" w:rsidP="00376F01">
      <w:pPr>
        <w:rPr>
          <w:b/>
          <w:bCs/>
        </w:rPr>
      </w:pPr>
      <w:r w:rsidRPr="005E4FAB">
        <w:rPr>
          <w:b/>
          <w:bCs/>
        </w:rPr>
        <w:t>Table 5: Components of zebr</w:t>
      </w:r>
      <w:r w:rsidRPr="00D2672D">
        <w:rPr>
          <w:b/>
          <w:bCs/>
        </w:rPr>
        <w:t>afish cell culture medium without serum and antibiotics for in vitro imaging.</w:t>
      </w:r>
    </w:p>
    <w:p w14:paraId="4A6A6D55" w14:textId="07DD86E9" w:rsidR="002B7EFC" w:rsidRPr="005E4FAB" w:rsidRDefault="002B7EFC" w:rsidP="00376F01">
      <w:pPr>
        <w:rPr>
          <w:b/>
          <w:bCs/>
        </w:rPr>
      </w:pPr>
    </w:p>
    <w:p w14:paraId="588D6080" w14:textId="3D16161A" w:rsidR="002B7EFC" w:rsidRPr="005E4FAB" w:rsidRDefault="002B7EFC" w:rsidP="00376F01">
      <w:pPr>
        <w:rPr>
          <w:b/>
          <w:bCs/>
        </w:rPr>
      </w:pPr>
      <w:r w:rsidRPr="005E4FAB">
        <w:rPr>
          <w:b/>
          <w:bCs/>
        </w:rPr>
        <w:t xml:space="preserve">Table 6: Reaction setup for </w:t>
      </w:r>
      <w:r w:rsidR="00857136" w:rsidRPr="005E4FAB">
        <w:rPr>
          <w:b/>
          <w:bCs/>
        </w:rPr>
        <w:t>roGFP2-Orp1</w:t>
      </w:r>
      <w:r w:rsidRPr="005E4FAB">
        <w:rPr>
          <w:b/>
          <w:bCs/>
        </w:rPr>
        <w:t xml:space="preserve"> mRNA </w:t>
      </w:r>
      <w:r w:rsidRPr="00D2672D">
        <w:rPr>
          <w:b/>
          <w:bCs/>
        </w:rPr>
        <w:t xml:space="preserve">in vitro </w:t>
      </w:r>
      <w:r w:rsidRPr="005E4FAB">
        <w:rPr>
          <w:b/>
          <w:bCs/>
        </w:rPr>
        <w:t xml:space="preserve">transcription. </w:t>
      </w:r>
    </w:p>
    <w:p w14:paraId="5801F934" w14:textId="77777777" w:rsidR="00191A79" w:rsidRPr="005E4FAB" w:rsidRDefault="00191A79" w:rsidP="00376F01"/>
    <w:p w14:paraId="5EC231F8" w14:textId="77777777" w:rsidR="00191A79" w:rsidRPr="005E4FAB" w:rsidRDefault="00191A79" w:rsidP="00376F01">
      <w:pPr>
        <w:rPr>
          <w:b/>
        </w:rPr>
      </w:pPr>
      <w:r w:rsidRPr="005E4FAB">
        <w:rPr>
          <w:b/>
        </w:rPr>
        <w:t xml:space="preserve">DISCUSSION: </w:t>
      </w:r>
    </w:p>
    <w:p w14:paraId="1F543C06" w14:textId="47F583D0" w:rsidR="00B76DBD" w:rsidRDefault="00B56702" w:rsidP="00376F01">
      <w:pPr>
        <w:pBdr>
          <w:top w:val="nil"/>
          <w:left w:val="nil"/>
          <w:bottom w:val="nil"/>
          <w:right w:val="nil"/>
          <w:between w:val="nil"/>
        </w:pBdr>
      </w:pPr>
      <w:r>
        <w:t xml:space="preserve">There are several critical steps that needs attention throughout this protocol. </w:t>
      </w:r>
      <w:r w:rsidR="00B76DBD">
        <w:t xml:space="preserve">We believe considering these points will improve the experimental flow. </w:t>
      </w:r>
      <w:r w:rsidR="00B76DBD" w:rsidRPr="005E4FAB">
        <w:t xml:space="preserve">For primary RGC culture, the sterility of the </w:t>
      </w:r>
      <w:proofErr w:type="gramStart"/>
      <w:r w:rsidR="00B76DBD" w:rsidRPr="005E4FAB">
        <w:t>ZFCM(</w:t>
      </w:r>
      <w:proofErr w:type="gramEnd"/>
      <w:r w:rsidR="00B76DBD" w:rsidRPr="005E4FAB">
        <w:t xml:space="preserve">-) is very important, since this culture media does not contain antibiotics and contamination can occur before or during imaging. To avoid it, we advise to prepare and use </w:t>
      </w:r>
      <w:proofErr w:type="gramStart"/>
      <w:r w:rsidR="00B76DBD" w:rsidRPr="005E4FAB">
        <w:t>ZFCM(</w:t>
      </w:r>
      <w:proofErr w:type="gramEnd"/>
      <w:r w:rsidR="00B76DBD" w:rsidRPr="005E4FAB">
        <w:t>-) only inside a biosafety cabinet and make fresh ZFCM(-) media regularly</w:t>
      </w:r>
      <w:r w:rsidR="00B76DBD">
        <w:t xml:space="preserve"> (Step 1.5)</w:t>
      </w:r>
      <w:r w:rsidR="00B76DBD" w:rsidRPr="005E4FAB">
        <w:t xml:space="preserve">. </w:t>
      </w:r>
      <w:r w:rsidR="00B76DBD">
        <w:t>In addition, l</w:t>
      </w:r>
      <w:r w:rsidR="00B76DBD" w:rsidRPr="005E4FAB">
        <w:t xml:space="preserve">aminin stocks should be kept at -80 °C. Thawed laminin should be stored at 4 °C at all times. Do not keep laminin solutions at room temperature or refreeze, </w:t>
      </w:r>
      <w:r w:rsidR="00B76DBD">
        <w:t xml:space="preserve">as </w:t>
      </w:r>
      <w:r w:rsidR="00B76DBD" w:rsidRPr="005E4FAB">
        <w:t xml:space="preserve">it decreases the neurite outgrowth promoting activity of the protein. </w:t>
      </w:r>
    </w:p>
    <w:p w14:paraId="1FAB6CA7" w14:textId="35977635" w:rsidR="00B76DBD" w:rsidRDefault="00B76DBD" w:rsidP="00376F01">
      <w:pPr>
        <w:pBdr>
          <w:top w:val="nil"/>
          <w:left w:val="nil"/>
          <w:bottom w:val="nil"/>
          <w:right w:val="nil"/>
          <w:between w:val="nil"/>
        </w:pBdr>
      </w:pPr>
    </w:p>
    <w:p w14:paraId="106B7C2C" w14:textId="1EBDD093" w:rsidR="00191A79" w:rsidRPr="005E4FAB" w:rsidRDefault="00191A79" w:rsidP="00376F01">
      <w:pPr>
        <w:pBdr>
          <w:top w:val="nil"/>
          <w:left w:val="nil"/>
          <w:bottom w:val="nil"/>
          <w:right w:val="nil"/>
          <w:between w:val="nil"/>
        </w:pBdr>
      </w:pPr>
      <w:r w:rsidRPr="005E4FAB">
        <w:t xml:space="preserve">Dissecting zebrafish retina at the proper time is important to yield enough RGCs that extend axons. Zebrafish RGCs are born at 28 hpf and extend axons out of retina starting 32-36 hpf. Therefore, it is critical to plate RGCs after 28 hpf, preferably between 32-36 hpf, to allow for full differentiation of RGCs. Cultures prepared at earlier time points may not yield enough </w:t>
      </w:r>
      <w:r w:rsidR="005415B2" w:rsidRPr="005E4FAB">
        <w:t>RGCs or</w:t>
      </w:r>
      <w:r w:rsidRPr="005E4FAB">
        <w:t xml:space="preserve"> will yield RGCs that may not extend axons within 24 hours after plating. It is</w:t>
      </w:r>
      <w:r w:rsidR="00B76DBD">
        <w:t xml:space="preserve"> highly</w:t>
      </w:r>
      <w:r w:rsidRPr="005E4FAB">
        <w:t xml:space="preserve"> recommended to change the </w:t>
      </w:r>
      <w:proofErr w:type="gramStart"/>
      <w:r w:rsidRPr="005E4FAB">
        <w:t>ZFCM(</w:t>
      </w:r>
      <w:proofErr w:type="gramEnd"/>
      <w:r w:rsidRPr="005E4FAB">
        <w:t>-) media when imaging for more than 30 min. As this media lacks phenol red, pH changes are not visible and may need to be considered. Exchange media very carefully to avoid dislodging neurons during the process</w:t>
      </w:r>
      <w:r w:rsidR="00B76DBD">
        <w:t xml:space="preserve"> (Step 4.7)</w:t>
      </w:r>
      <w:r w:rsidRPr="005E4FAB">
        <w:t>.</w:t>
      </w:r>
    </w:p>
    <w:p w14:paraId="06874B2D" w14:textId="77777777" w:rsidR="00191A79" w:rsidRPr="005E4FAB" w:rsidRDefault="00191A79" w:rsidP="00376F01">
      <w:pPr>
        <w:pBdr>
          <w:top w:val="nil"/>
          <w:left w:val="nil"/>
          <w:bottom w:val="nil"/>
          <w:right w:val="nil"/>
          <w:between w:val="nil"/>
        </w:pBdr>
      </w:pPr>
    </w:p>
    <w:p w14:paraId="0F5BB0C0" w14:textId="62ACD139" w:rsidR="00191A79" w:rsidRPr="005E4FAB" w:rsidRDefault="00B76DBD" w:rsidP="00376F01">
      <w:pPr>
        <w:pBdr>
          <w:top w:val="nil"/>
          <w:left w:val="nil"/>
          <w:bottom w:val="nil"/>
          <w:right w:val="nil"/>
          <w:between w:val="nil"/>
        </w:pBdr>
      </w:pPr>
      <w:r>
        <w:t xml:space="preserve">Finally, </w:t>
      </w:r>
      <w:r w:rsidR="00191A79" w:rsidRPr="005E4FAB">
        <w:t xml:space="preserve">Changing the media to E3 with PTU but without methylene blue is necessary by 24 hpf. PTU prevents pigmentation for enhanced larval transparency required for </w:t>
      </w:r>
      <w:r w:rsidR="00191A79" w:rsidRPr="00D2672D">
        <w:rPr>
          <w:iCs/>
        </w:rPr>
        <w:t xml:space="preserve">in vivo </w:t>
      </w:r>
      <w:r w:rsidR="00191A79" w:rsidRPr="005E4FAB">
        <w:t>fluorescence imaging; however, earlier treatment with PTU can cause developmental defects</w:t>
      </w:r>
      <w:r w:rsidR="00191A79" w:rsidRPr="005E4FAB">
        <w:rPr>
          <w:noProof/>
          <w:vertAlign w:val="superscript"/>
        </w:rPr>
        <w:t>2</w:t>
      </w:r>
      <w:r w:rsidR="002D4E1F" w:rsidRPr="005E4FAB">
        <w:rPr>
          <w:noProof/>
          <w:vertAlign w:val="superscript"/>
        </w:rPr>
        <w:t>6</w:t>
      </w:r>
      <w:r w:rsidR="00191A79" w:rsidRPr="005E4FAB">
        <w:t xml:space="preserve">. Methylene blue is removed from E3 media to </w:t>
      </w:r>
      <w:r w:rsidR="00B55A0D" w:rsidRPr="005E4FAB">
        <w:t xml:space="preserve">reduce </w:t>
      </w:r>
      <w:r w:rsidR="00191A79" w:rsidRPr="005E4FAB">
        <w:t>autofluorescence, mainly originating from the yolk</w:t>
      </w:r>
      <w:r>
        <w:t xml:space="preserve"> (Step 5.1)</w:t>
      </w:r>
      <w:r w:rsidR="00191A79" w:rsidRPr="005E4FAB">
        <w:t xml:space="preserve">. </w:t>
      </w:r>
    </w:p>
    <w:p w14:paraId="31751CED" w14:textId="77777777" w:rsidR="00971841" w:rsidRPr="005E4FAB" w:rsidRDefault="00971841" w:rsidP="00376F01">
      <w:pPr>
        <w:pBdr>
          <w:top w:val="nil"/>
          <w:left w:val="nil"/>
          <w:bottom w:val="nil"/>
          <w:right w:val="nil"/>
          <w:between w:val="nil"/>
        </w:pBdr>
      </w:pPr>
    </w:p>
    <w:p w14:paraId="63B93784" w14:textId="44309C3F" w:rsidR="00191A79" w:rsidRPr="005E4FAB" w:rsidRDefault="00191A79" w:rsidP="00376F01">
      <w:pPr>
        <w:pBdr>
          <w:top w:val="nil"/>
          <w:left w:val="nil"/>
          <w:bottom w:val="nil"/>
          <w:right w:val="nil"/>
          <w:between w:val="nil"/>
        </w:pBdr>
      </w:pPr>
      <w:r w:rsidRPr="005E4FAB">
        <w:t>This method allows cytoplasmic detection of H</w:t>
      </w:r>
      <w:r w:rsidRPr="005E4FAB">
        <w:rPr>
          <w:vertAlign w:val="subscript"/>
        </w:rPr>
        <w:t>2</w:t>
      </w:r>
      <w:r w:rsidRPr="005E4FAB">
        <w:t>O</w:t>
      </w:r>
      <w:r w:rsidRPr="005E4FAB">
        <w:rPr>
          <w:vertAlign w:val="subscript"/>
        </w:rPr>
        <w:t>2</w:t>
      </w:r>
      <w:r w:rsidRPr="005E4FAB">
        <w:t>. However, subcellular compartmentalization of H</w:t>
      </w:r>
      <w:r w:rsidRPr="005E4FAB">
        <w:rPr>
          <w:vertAlign w:val="subscript"/>
        </w:rPr>
        <w:t>2</w:t>
      </w:r>
      <w:r w:rsidRPr="005E4FAB">
        <w:t>O</w:t>
      </w:r>
      <w:r w:rsidRPr="005E4FAB">
        <w:rPr>
          <w:vertAlign w:val="subscript"/>
        </w:rPr>
        <w:t>2</w:t>
      </w:r>
      <w:r w:rsidRPr="005E4FAB">
        <w:t xml:space="preserve"> contributes to local signaling, and cytoplasmic H</w:t>
      </w:r>
      <w:r w:rsidRPr="005E4FAB">
        <w:rPr>
          <w:vertAlign w:val="subscript"/>
        </w:rPr>
        <w:t>2</w:t>
      </w:r>
      <w:r w:rsidRPr="005E4FAB">
        <w:t>O</w:t>
      </w:r>
      <w:r w:rsidRPr="005E4FAB">
        <w:rPr>
          <w:vertAlign w:val="subscript"/>
        </w:rPr>
        <w:t>2</w:t>
      </w:r>
      <w:r w:rsidRPr="005E4FAB">
        <w:t>-levels may not provide sufficient information on specific signaling roles of H</w:t>
      </w:r>
      <w:r w:rsidRPr="005E4FAB">
        <w:rPr>
          <w:vertAlign w:val="subscript"/>
        </w:rPr>
        <w:t>2</w:t>
      </w:r>
      <w:r w:rsidRPr="005E4FAB">
        <w:t>O</w:t>
      </w:r>
      <w:r w:rsidRPr="005E4FAB">
        <w:rPr>
          <w:vertAlign w:val="subscript"/>
        </w:rPr>
        <w:t>2</w:t>
      </w:r>
      <w:r w:rsidRPr="005E4FAB">
        <w:t xml:space="preserve">. As </w:t>
      </w:r>
      <w:r w:rsidR="002A2E83" w:rsidRPr="005E4FAB">
        <w:t>roGFP2-Orp1</w:t>
      </w:r>
      <w:r w:rsidRPr="005E4FAB">
        <w:t xml:space="preserve"> is a genetically encoded biosensor, it can be targeted for tissue-specific expression (e.g., neurons, astrocytes, glial cells, etc.) or specific subcellular locations (e.g., plasma membrane, mitochondria, nucleus, etc.). As </w:t>
      </w:r>
      <w:r w:rsidR="002A2E83" w:rsidRPr="005E4FAB">
        <w:t>roGFP2-Orp1</w:t>
      </w:r>
      <w:r w:rsidRPr="005E4FAB">
        <w:t xml:space="preserve"> is a GFP-based biosensor, the combination with other fluorescent probes is limited to emission wavelengths outside the green spectrum. Since GFP is widely used as transgenesis marker, utilization of GFP-based biosensors can be limited. To address this challenge, red-fluorescent proteins for H</w:t>
      </w:r>
      <w:r w:rsidRPr="005E4FAB">
        <w:rPr>
          <w:vertAlign w:val="subscript"/>
        </w:rPr>
        <w:t>2</w:t>
      </w:r>
      <w:r w:rsidRPr="005E4FAB">
        <w:t>O</w:t>
      </w:r>
      <w:r w:rsidRPr="005E4FAB">
        <w:rPr>
          <w:vertAlign w:val="subscript"/>
        </w:rPr>
        <w:t>2</w:t>
      </w:r>
      <w:r w:rsidRPr="005E4FAB">
        <w:t>-detection have been developed recently</w:t>
      </w:r>
      <w:r w:rsidRPr="005E4FAB">
        <w:rPr>
          <w:noProof/>
          <w:vertAlign w:val="superscript"/>
        </w:rPr>
        <w:t>2</w:t>
      </w:r>
      <w:r w:rsidR="002D4E1F" w:rsidRPr="005E4FAB">
        <w:rPr>
          <w:noProof/>
          <w:vertAlign w:val="superscript"/>
        </w:rPr>
        <w:t>7</w:t>
      </w:r>
      <w:r w:rsidRPr="005E4FAB">
        <w:t xml:space="preserve">. Furthermore, </w:t>
      </w:r>
      <w:r w:rsidR="002A2E83" w:rsidRPr="005E4FAB">
        <w:t>roGFP2-Orp1</w:t>
      </w:r>
      <w:r w:rsidRPr="005E4FAB">
        <w:t xml:space="preserve"> is transiently expressed in the method presented here. Hence, the mRNA and protein expression will decay over time. We were still able to detect the signal in 5 dpf larvae; however, transgenic fish lines need to be established for stable expression of the biosensor throughout development and into adulthood.</w:t>
      </w:r>
    </w:p>
    <w:p w14:paraId="5900DF10" w14:textId="77777777" w:rsidR="007E0E0E" w:rsidRPr="005E4FAB" w:rsidRDefault="007E0E0E" w:rsidP="00376F01">
      <w:pPr>
        <w:pBdr>
          <w:top w:val="nil"/>
          <w:left w:val="nil"/>
          <w:bottom w:val="nil"/>
          <w:right w:val="nil"/>
          <w:between w:val="nil"/>
        </w:pBdr>
      </w:pPr>
    </w:p>
    <w:p w14:paraId="1033D721" w14:textId="24442D17" w:rsidR="00971841" w:rsidRPr="005E4FAB" w:rsidRDefault="00191A79" w:rsidP="00376F01">
      <w:pPr>
        <w:pBdr>
          <w:top w:val="nil"/>
          <w:left w:val="nil"/>
          <w:bottom w:val="nil"/>
          <w:right w:val="nil"/>
          <w:between w:val="nil"/>
        </w:pBdr>
      </w:pPr>
      <w:r w:rsidRPr="005E4FAB">
        <w:t>Several dye-based assays are available for detecting intracellular ROS (e.g.</w:t>
      </w:r>
      <w:r w:rsidR="00D2672D">
        <w:t>,</w:t>
      </w:r>
      <w:r w:rsidRPr="005E4FAB">
        <w:t xml:space="preserve"> H2DCF-DA), or specifically, H</w:t>
      </w:r>
      <w:r w:rsidRPr="005E4FAB">
        <w:rPr>
          <w:vertAlign w:val="subscript"/>
        </w:rPr>
        <w:t>2</w:t>
      </w:r>
      <w:r w:rsidRPr="005E4FAB">
        <w:t>O</w:t>
      </w:r>
      <w:r w:rsidRPr="005E4FAB">
        <w:rPr>
          <w:vertAlign w:val="subscript"/>
        </w:rPr>
        <w:t>2</w:t>
      </w:r>
      <w:r w:rsidRPr="005E4FAB">
        <w:t xml:space="preserve"> (PF6-AM)</w:t>
      </w:r>
      <w:r w:rsidRPr="005E4FAB">
        <w:rPr>
          <w:noProof/>
          <w:vertAlign w:val="superscript"/>
        </w:rPr>
        <w:t>2</w:t>
      </w:r>
      <w:r w:rsidR="002D4E1F" w:rsidRPr="005E4FAB">
        <w:rPr>
          <w:noProof/>
          <w:vertAlign w:val="superscript"/>
        </w:rPr>
        <w:t>8</w:t>
      </w:r>
      <w:r w:rsidRPr="005E4FAB">
        <w:rPr>
          <w:noProof/>
          <w:vertAlign w:val="superscript"/>
        </w:rPr>
        <w:t>,2</w:t>
      </w:r>
      <w:r w:rsidR="002D4E1F" w:rsidRPr="005E4FAB">
        <w:rPr>
          <w:noProof/>
          <w:vertAlign w:val="superscript"/>
        </w:rPr>
        <w:t>9</w:t>
      </w:r>
      <w:r w:rsidRPr="005E4FAB">
        <w:t xml:space="preserve">. Using a genetically encoded biosensor, such as </w:t>
      </w:r>
      <w:r w:rsidR="002A2E83" w:rsidRPr="005E4FAB">
        <w:t>roGFP2-Orp1</w:t>
      </w:r>
      <w:r w:rsidRPr="005E4FAB">
        <w:t>, has several advantages over dye-based methods. First, it allows detection of both transient changes in oxidative status because of reversibility as well as at specific subcellular locations. Hence, the dynamic changes are well monitored with high degree of spatial resolution</w:t>
      </w:r>
      <w:r w:rsidR="002D4E1F" w:rsidRPr="005E4FAB">
        <w:rPr>
          <w:vertAlign w:val="superscript"/>
        </w:rPr>
        <w:t>30</w:t>
      </w:r>
      <w:r w:rsidRPr="005E4FAB">
        <w:t>. Second, it generally exhibits less toxicity to cells or tissues when compared to dye molecules. Finally, the biosensor can be further genetically manipulated to meet the needs of specific experiments</w:t>
      </w:r>
      <w:r w:rsidRPr="005E4FAB">
        <w:rPr>
          <w:noProof/>
          <w:vertAlign w:val="superscript"/>
        </w:rPr>
        <w:t>3</w:t>
      </w:r>
      <w:r w:rsidR="002D4E1F" w:rsidRPr="005E4FAB">
        <w:rPr>
          <w:noProof/>
          <w:vertAlign w:val="superscript"/>
        </w:rPr>
        <w:t>1</w:t>
      </w:r>
      <w:r w:rsidRPr="005E4FAB">
        <w:t xml:space="preserve">. </w:t>
      </w:r>
      <w:r w:rsidR="002A2E83" w:rsidRPr="005E4FAB">
        <w:t>roGFP2-Orp1</w:t>
      </w:r>
      <w:r w:rsidRPr="005E4FAB">
        <w:t xml:space="preserve"> is a ratiometric biosensor, since it has two excitation and one emission </w:t>
      </w:r>
      <w:r w:rsidR="00971841" w:rsidRPr="005E4FAB">
        <w:t>peak</w:t>
      </w:r>
      <w:r w:rsidRPr="005E4FAB">
        <w:t>. Upon interaction with H</w:t>
      </w:r>
      <w:r w:rsidRPr="005E4FAB">
        <w:rPr>
          <w:vertAlign w:val="subscript"/>
        </w:rPr>
        <w:t>2</w:t>
      </w:r>
      <w:r w:rsidRPr="005E4FAB">
        <w:t>O</w:t>
      </w:r>
      <w:r w:rsidRPr="005E4FAB">
        <w:rPr>
          <w:vertAlign w:val="subscript"/>
        </w:rPr>
        <w:t>2</w:t>
      </w:r>
      <w:r w:rsidRPr="005E4FAB">
        <w:t xml:space="preserve">, 405 nm excitation </w:t>
      </w:r>
      <w:r w:rsidR="00B56702" w:rsidRPr="005E4FAB">
        <w:t>increases,</w:t>
      </w:r>
      <w:r w:rsidRPr="005E4FAB">
        <w:t xml:space="preserve"> and 480 nm excitation decreases. Hence, the readout is the ratio of the intensity values acquired by 405 and 480 nm excitation, respectively. Because this probe is ratiometric, application of a second probe becomes unnecessary to correct for potential volume effects. Furthermore, since this probe involves only expression of one polypeptide, it does not suffer from potential problems of differential expression of more than one protein, such as in the case of intermolecular Fluorescence Resonance Energy Transfer (FRET). </w:t>
      </w:r>
    </w:p>
    <w:p w14:paraId="7FE68C96" w14:textId="77777777" w:rsidR="00971841" w:rsidRPr="005E4FAB" w:rsidRDefault="00971841" w:rsidP="00376F01">
      <w:pPr>
        <w:pBdr>
          <w:top w:val="nil"/>
          <w:left w:val="nil"/>
          <w:bottom w:val="nil"/>
          <w:right w:val="nil"/>
          <w:between w:val="nil"/>
        </w:pBdr>
      </w:pPr>
    </w:p>
    <w:p w14:paraId="2F536520" w14:textId="7663F56A" w:rsidR="00C8756F" w:rsidRPr="005E4FAB" w:rsidRDefault="00C8756F" w:rsidP="00376F01">
      <w:pPr>
        <w:pBdr>
          <w:top w:val="nil"/>
          <w:left w:val="nil"/>
          <w:bottom w:val="nil"/>
          <w:right w:val="nil"/>
          <w:between w:val="nil"/>
        </w:pBdr>
      </w:pPr>
      <w:r w:rsidRPr="005E4FAB">
        <w:t xml:space="preserve">The </w:t>
      </w:r>
      <w:r w:rsidR="00857136" w:rsidRPr="005E4FAB">
        <w:t>roGFP2-Orp1</w:t>
      </w:r>
      <w:r w:rsidRPr="005E4FAB">
        <w:t xml:space="preserve"> is </w:t>
      </w:r>
      <w:r w:rsidR="008B062B" w:rsidRPr="005E4FAB">
        <w:t>a versatile</w:t>
      </w:r>
      <w:r w:rsidRPr="005E4FAB">
        <w:t xml:space="preserve"> H</w:t>
      </w:r>
      <w:r w:rsidRPr="005E4FAB">
        <w:rPr>
          <w:vertAlign w:val="subscript"/>
        </w:rPr>
        <w:t>2</w:t>
      </w:r>
      <w:r w:rsidRPr="005E4FAB">
        <w:t>O</w:t>
      </w:r>
      <w:r w:rsidRPr="005E4FAB">
        <w:rPr>
          <w:vertAlign w:val="subscript"/>
        </w:rPr>
        <w:t>2</w:t>
      </w:r>
      <w:r w:rsidRPr="005E4FAB">
        <w:t xml:space="preserve"> probe to study </w:t>
      </w:r>
      <w:r w:rsidR="00F02903" w:rsidRPr="005E4FAB">
        <w:t>ROS production and signaling</w:t>
      </w:r>
      <w:r w:rsidRPr="005E4FAB">
        <w:t xml:space="preserve">. </w:t>
      </w:r>
      <w:r w:rsidR="00D900D0" w:rsidRPr="005E4FAB">
        <w:t>In l</w:t>
      </w:r>
      <w:r w:rsidRPr="005E4FAB">
        <w:t>ive cells</w:t>
      </w:r>
      <w:r w:rsidR="00D900D0" w:rsidRPr="005E4FAB">
        <w:t>, this probe</w:t>
      </w:r>
      <w:r w:rsidRPr="005E4FAB">
        <w:t xml:space="preserve"> exhibit</w:t>
      </w:r>
      <w:r w:rsidR="00D900D0" w:rsidRPr="005E4FAB">
        <w:t>s</w:t>
      </w:r>
      <w:r w:rsidRPr="005E4FAB">
        <w:t xml:space="preserve"> dynamic range of 4.8</w:t>
      </w:r>
      <w:r w:rsidR="00D900D0" w:rsidRPr="005E4FAB">
        <w:t xml:space="preserve"> (</w:t>
      </w:r>
      <w:r w:rsidRPr="005E4FAB">
        <w:t>around 4 in transgenic zebrafish embryos</w:t>
      </w:r>
      <w:r w:rsidR="00D900D0" w:rsidRPr="005E4FAB">
        <w:t>)</w:t>
      </w:r>
      <w:r w:rsidR="00596AE2" w:rsidRPr="005E4FAB">
        <w:rPr>
          <w:vertAlign w:val="superscript"/>
        </w:rPr>
        <w:t>15,3</w:t>
      </w:r>
      <w:r w:rsidR="002D4E1F" w:rsidRPr="005E4FAB">
        <w:rPr>
          <w:vertAlign w:val="superscript"/>
        </w:rPr>
        <w:t>2</w:t>
      </w:r>
      <w:r w:rsidRPr="005E4FAB">
        <w:t xml:space="preserve">. </w:t>
      </w:r>
      <w:r w:rsidR="008B062B" w:rsidRPr="005E4FAB">
        <w:t xml:space="preserve">However, the redox state of </w:t>
      </w:r>
      <w:r w:rsidR="00857136" w:rsidRPr="005E4FAB">
        <w:t>roGFP2-Orp1</w:t>
      </w:r>
      <w:r w:rsidR="008B062B" w:rsidRPr="005E4FAB">
        <w:t xml:space="preserve"> is subject to alterations by endogenous thioredoxin and </w:t>
      </w:r>
      <w:proofErr w:type="spellStart"/>
      <w:r w:rsidR="008B062B" w:rsidRPr="005E4FAB">
        <w:t>glutaredoxin</w:t>
      </w:r>
      <w:proofErr w:type="spellEnd"/>
      <w:r w:rsidR="008B062B" w:rsidRPr="005E4FAB">
        <w:t xml:space="preserve"> systems</w:t>
      </w:r>
      <w:r w:rsidR="00F60F68" w:rsidRPr="005E4FAB">
        <w:t>;</w:t>
      </w:r>
      <w:r w:rsidR="008B062B" w:rsidRPr="005E4FAB">
        <w:t xml:space="preserve"> hence, more sensitive probes were developed by replacing </w:t>
      </w:r>
      <w:r w:rsidR="00D900D0" w:rsidRPr="005E4FAB">
        <w:t>O</w:t>
      </w:r>
      <w:r w:rsidR="008B062B" w:rsidRPr="005E4FAB">
        <w:t>rp1 with another yeast peroxiredoxin, Tsa2</w:t>
      </w:r>
      <w:r w:rsidR="00804212" w:rsidRPr="005E4FAB">
        <w:rPr>
          <w:vertAlign w:val="superscript"/>
        </w:rPr>
        <w:t>3</w:t>
      </w:r>
      <w:r w:rsidR="002D4E1F" w:rsidRPr="005E4FAB">
        <w:rPr>
          <w:vertAlign w:val="superscript"/>
        </w:rPr>
        <w:t>3</w:t>
      </w:r>
      <w:r w:rsidR="00804212" w:rsidRPr="005E4FAB">
        <w:rPr>
          <w:vertAlign w:val="superscript"/>
        </w:rPr>
        <w:t>,3</w:t>
      </w:r>
      <w:r w:rsidR="002D4E1F" w:rsidRPr="005E4FAB">
        <w:rPr>
          <w:vertAlign w:val="superscript"/>
        </w:rPr>
        <w:t>4</w:t>
      </w:r>
      <w:r w:rsidR="008B062B" w:rsidRPr="005E4FAB">
        <w:t xml:space="preserve">. While </w:t>
      </w:r>
      <w:r w:rsidR="00857136" w:rsidRPr="005E4FAB">
        <w:t>roGFP2-Orp1</w:t>
      </w:r>
      <w:r w:rsidR="008B062B" w:rsidRPr="005E4FAB">
        <w:t xml:space="preserve"> is useful to detect changes in H</w:t>
      </w:r>
      <w:r w:rsidR="008B062B" w:rsidRPr="005E4FAB">
        <w:rPr>
          <w:vertAlign w:val="subscript"/>
        </w:rPr>
        <w:t>2</w:t>
      </w:r>
      <w:r w:rsidR="008B062B" w:rsidRPr="005E4FAB">
        <w:t>O</w:t>
      </w:r>
      <w:r w:rsidR="008B062B" w:rsidRPr="005E4FAB">
        <w:rPr>
          <w:vertAlign w:val="subscript"/>
        </w:rPr>
        <w:t>2</w:t>
      </w:r>
      <w:r w:rsidR="0016399D" w:rsidRPr="005E4FAB">
        <w:rPr>
          <w:vertAlign w:val="subscript"/>
        </w:rPr>
        <w:t xml:space="preserve"> </w:t>
      </w:r>
      <w:r w:rsidR="0016399D" w:rsidRPr="005E4FAB">
        <w:t>in zebrafish embryos</w:t>
      </w:r>
      <w:r w:rsidR="008B062B" w:rsidRPr="005E4FAB">
        <w:t xml:space="preserve">, the sensitivity is mostly limited to higher concentrations of </w:t>
      </w:r>
      <w:r w:rsidR="0016399D" w:rsidRPr="005E4FAB">
        <w:t xml:space="preserve">exogenously </w:t>
      </w:r>
      <w:r w:rsidR="008B062B" w:rsidRPr="005E4FAB">
        <w:t>applied H</w:t>
      </w:r>
      <w:r w:rsidR="008B062B" w:rsidRPr="005E4FAB">
        <w:rPr>
          <w:vertAlign w:val="subscript"/>
        </w:rPr>
        <w:t>2</w:t>
      </w:r>
      <w:r w:rsidR="008B062B" w:rsidRPr="005E4FAB">
        <w:t>O</w:t>
      </w:r>
      <w:r w:rsidR="008B062B" w:rsidRPr="005E4FAB">
        <w:rPr>
          <w:vertAlign w:val="subscript"/>
        </w:rPr>
        <w:t>2</w:t>
      </w:r>
      <w:r w:rsidR="00653FCE" w:rsidRPr="005E4FAB">
        <w:rPr>
          <w:vertAlign w:val="superscript"/>
        </w:rPr>
        <w:t>24,31</w:t>
      </w:r>
      <w:r w:rsidR="0016399D" w:rsidRPr="005E4FAB">
        <w:t xml:space="preserve">, or </w:t>
      </w:r>
      <w:r w:rsidR="00D900D0" w:rsidRPr="005E4FAB">
        <w:t>to</w:t>
      </w:r>
      <w:r w:rsidR="0016399D" w:rsidRPr="005E4FAB">
        <w:t xml:space="preserve"> potent stimul</w:t>
      </w:r>
      <w:r w:rsidR="00D900D0" w:rsidRPr="005E4FAB">
        <w:t>i</w:t>
      </w:r>
      <w:r w:rsidR="008B062B" w:rsidRPr="005E4FAB">
        <w:t xml:space="preserve">. For instance, </w:t>
      </w:r>
      <w:r w:rsidR="0016399D" w:rsidRPr="005E4FAB">
        <w:t xml:space="preserve">slit2 treatment increased </w:t>
      </w:r>
      <w:r w:rsidR="00F60F68" w:rsidRPr="005E4FAB">
        <w:t xml:space="preserve">the </w:t>
      </w:r>
      <w:r w:rsidR="00857136" w:rsidRPr="005E4FAB">
        <w:t>roGFP2-Orp1</w:t>
      </w:r>
      <w:r w:rsidR="0016399D" w:rsidRPr="005E4FAB">
        <w:t xml:space="preserve"> signal in wild</w:t>
      </w:r>
      <w:r w:rsidR="001941A7" w:rsidRPr="005E4FAB">
        <w:t xml:space="preserve"> </w:t>
      </w:r>
      <w:r w:rsidR="0016399D" w:rsidRPr="005E4FAB">
        <w:t xml:space="preserve">type RGCs, but not in </w:t>
      </w:r>
      <w:r w:rsidR="0016399D" w:rsidRPr="005E4FAB">
        <w:rPr>
          <w:i/>
          <w:iCs/>
        </w:rPr>
        <w:t>nox2</w:t>
      </w:r>
      <w:r w:rsidR="0016399D" w:rsidRPr="005E4FAB">
        <w:t xml:space="preserve"> mutant RGCs</w:t>
      </w:r>
      <w:r w:rsidR="00653FCE" w:rsidRPr="005E4FAB">
        <w:rPr>
          <w:vertAlign w:val="superscript"/>
        </w:rPr>
        <w:t>3</w:t>
      </w:r>
      <w:r w:rsidR="002D4E1F" w:rsidRPr="005E4FAB">
        <w:rPr>
          <w:vertAlign w:val="superscript"/>
        </w:rPr>
        <w:t>5</w:t>
      </w:r>
      <w:r w:rsidR="0016399D" w:rsidRPr="005E4FAB">
        <w:t>. On the other hand, there was no difference in basal H</w:t>
      </w:r>
      <w:r w:rsidR="0016399D" w:rsidRPr="005E4FAB">
        <w:rPr>
          <w:vertAlign w:val="subscript"/>
        </w:rPr>
        <w:t>2</w:t>
      </w:r>
      <w:r w:rsidR="0016399D" w:rsidRPr="005E4FAB">
        <w:t>O</w:t>
      </w:r>
      <w:r w:rsidR="0016399D" w:rsidRPr="005E4FAB">
        <w:rPr>
          <w:vertAlign w:val="subscript"/>
        </w:rPr>
        <w:t>2</w:t>
      </w:r>
      <w:r w:rsidR="0016399D" w:rsidRPr="005E4FAB">
        <w:t xml:space="preserve"> </w:t>
      </w:r>
      <w:r w:rsidR="00D900D0" w:rsidRPr="005E4FAB">
        <w:t>levels</w:t>
      </w:r>
      <w:r w:rsidR="0016399D" w:rsidRPr="005E4FAB">
        <w:t xml:space="preserve"> between wildtype and </w:t>
      </w:r>
      <w:r w:rsidR="0016399D" w:rsidRPr="005E4FAB">
        <w:rPr>
          <w:i/>
          <w:iCs/>
        </w:rPr>
        <w:t>nox2</w:t>
      </w:r>
      <w:r w:rsidR="0016399D" w:rsidRPr="005E4FAB">
        <w:t xml:space="preserve"> mutant RGCs and 2 </w:t>
      </w:r>
      <w:proofErr w:type="spellStart"/>
      <w:r w:rsidR="0016399D" w:rsidRPr="005E4FAB">
        <w:t>dpf</w:t>
      </w:r>
      <w:proofErr w:type="spellEnd"/>
      <w:r w:rsidR="0016399D" w:rsidRPr="005E4FAB">
        <w:t xml:space="preserve"> embryos</w:t>
      </w:r>
      <w:r w:rsidR="00653FCE" w:rsidRPr="005E4FAB">
        <w:rPr>
          <w:vertAlign w:val="superscript"/>
        </w:rPr>
        <w:t>24,3</w:t>
      </w:r>
      <w:r w:rsidR="002D4E1F" w:rsidRPr="005E4FAB">
        <w:rPr>
          <w:vertAlign w:val="superscript"/>
        </w:rPr>
        <w:t>5</w:t>
      </w:r>
      <w:r w:rsidR="0016399D" w:rsidRPr="005E4FAB">
        <w:t xml:space="preserve">. Hence, </w:t>
      </w:r>
      <w:r w:rsidR="00F60F68" w:rsidRPr="005E4FAB">
        <w:t xml:space="preserve">to </w:t>
      </w:r>
      <w:r w:rsidR="0016399D" w:rsidRPr="005E4FAB">
        <w:t xml:space="preserve">detect basal levels or </w:t>
      </w:r>
      <w:r w:rsidR="00D900D0" w:rsidRPr="005E4FAB">
        <w:t>small</w:t>
      </w:r>
      <w:r w:rsidR="0016399D" w:rsidRPr="005E4FAB">
        <w:t xml:space="preserve"> changes in H</w:t>
      </w:r>
      <w:r w:rsidR="0016399D" w:rsidRPr="005E4FAB">
        <w:rPr>
          <w:vertAlign w:val="subscript"/>
        </w:rPr>
        <w:t>2</w:t>
      </w:r>
      <w:r w:rsidR="0016399D" w:rsidRPr="005E4FAB">
        <w:t>O</w:t>
      </w:r>
      <w:r w:rsidR="0016399D" w:rsidRPr="005E4FAB">
        <w:rPr>
          <w:vertAlign w:val="subscript"/>
        </w:rPr>
        <w:t>2</w:t>
      </w:r>
      <w:r w:rsidR="00F60F68" w:rsidRPr="005E4FAB">
        <w:t>, higher sensitivity probes will be needed</w:t>
      </w:r>
      <w:r w:rsidR="0016399D" w:rsidRPr="005E4FAB">
        <w:t>.</w:t>
      </w:r>
    </w:p>
    <w:p w14:paraId="4A30E777" w14:textId="3714AD91" w:rsidR="00C8756F" w:rsidRPr="005E4FAB" w:rsidRDefault="00C8756F" w:rsidP="00376F01">
      <w:pPr>
        <w:pBdr>
          <w:top w:val="nil"/>
          <w:left w:val="nil"/>
          <w:bottom w:val="nil"/>
          <w:right w:val="nil"/>
          <w:between w:val="nil"/>
        </w:pBdr>
      </w:pPr>
      <w:r w:rsidRPr="005E4FAB">
        <w:t xml:space="preserve"> </w:t>
      </w:r>
    </w:p>
    <w:p w14:paraId="5393B897" w14:textId="2840626C" w:rsidR="00191A79" w:rsidRPr="005E4FAB" w:rsidRDefault="00191A79" w:rsidP="00376F01">
      <w:pPr>
        <w:pStyle w:val="NoSpacing"/>
      </w:pPr>
      <w:r w:rsidRPr="005E4FAB">
        <w:t xml:space="preserve">HyPer is another widely used genetically encoded and </w:t>
      </w:r>
      <w:proofErr w:type="spellStart"/>
      <w:r w:rsidRPr="005E4FAB">
        <w:t>ratiometric</w:t>
      </w:r>
      <w:proofErr w:type="spellEnd"/>
      <w:r w:rsidRPr="005E4FAB">
        <w:t xml:space="preserve"> H</w:t>
      </w:r>
      <w:r w:rsidRPr="005E4FAB">
        <w:rPr>
          <w:vertAlign w:val="subscript"/>
        </w:rPr>
        <w:t>2</w:t>
      </w:r>
      <w:r w:rsidRPr="005E4FAB">
        <w:t>O</w:t>
      </w:r>
      <w:r w:rsidRPr="005E4FAB">
        <w:rPr>
          <w:vertAlign w:val="subscript"/>
        </w:rPr>
        <w:t>2</w:t>
      </w:r>
      <w:r w:rsidRPr="005E4FAB">
        <w:t>-specific biosensor</w:t>
      </w:r>
      <w:r w:rsidRPr="005E4FAB">
        <w:rPr>
          <w:noProof/>
          <w:vertAlign w:val="superscript"/>
        </w:rPr>
        <w:t>3</w:t>
      </w:r>
      <w:r w:rsidR="002D4E1F" w:rsidRPr="005E4FAB">
        <w:rPr>
          <w:noProof/>
          <w:vertAlign w:val="superscript"/>
        </w:rPr>
        <w:t>6</w:t>
      </w:r>
      <w:r w:rsidRPr="005E4FAB">
        <w:t xml:space="preserve">. </w:t>
      </w:r>
      <w:r w:rsidR="00F34A8B" w:rsidRPr="005E4FAB">
        <w:t xml:space="preserve">The sensitivities of both probes </w:t>
      </w:r>
      <w:r w:rsidR="005C43C2">
        <w:t>are</w:t>
      </w:r>
      <w:r w:rsidR="00F34A8B" w:rsidRPr="005E4FAB">
        <w:t xml:space="preserve"> similar</w:t>
      </w:r>
      <w:r w:rsidR="00F60F68" w:rsidRPr="005E4FAB">
        <w:t>;</w:t>
      </w:r>
      <w:r w:rsidR="00F34A8B" w:rsidRPr="005E4FAB">
        <w:t xml:space="preserve"> however, </w:t>
      </w:r>
      <w:r w:rsidR="00857136" w:rsidRPr="005E4FAB">
        <w:t>roGFP2-Orp1</w:t>
      </w:r>
      <w:r w:rsidR="00F34A8B" w:rsidRPr="005E4FAB">
        <w:t xml:space="preserve"> exhibited slower responsiveness to H</w:t>
      </w:r>
      <w:r w:rsidR="00F34A8B" w:rsidRPr="005E4FAB">
        <w:rPr>
          <w:vertAlign w:val="subscript"/>
        </w:rPr>
        <w:t>2</w:t>
      </w:r>
      <w:r w:rsidR="00F34A8B" w:rsidRPr="005E4FAB">
        <w:t>O</w:t>
      </w:r>
      <w:r w:rsidR="00F34A8B" w:rsidRPr="005E4FAB">
        <w:rPr>
          <w:vertAlign w:val="subscript"/>
        </w:rPr>
        <w:t xml:space="preserve">2 </w:t>
      </w:r>
      <w:r w:rsidR="00F34A8B" w:rsidRPr="005E4FAB">
        <w:t>changes</w:t>
      </w:r>
      <w:r w:rsidR="00653FCE" w:rsidRPr="005E4FAB">
        <w:rPr>
          <w:vertAlign w:val="superscript"/>
        </w:rPr>
        <w:t>15</w:t>
      </w:r>
      <w:r w:rsidR="00F34A8B" w:rsidRPr="005E4FAB">
        <w:t>.</w:t>
      </w:r>
      <w:r w:rsidRPr="005E4FAB">
        <w:t xml:space="preserve"> </w:t>
      </w:r>
      <w:r w:rsidR="00F34A8B" w:rsidRPr="005E4FAB">
        <w:t>Therefore, precise detection of real</w:t>
      </w:r>
      <w:r w:rsidR="00F60F68" w:rsidRPr="005E4FAB">
        <w:t>-</w:t>
      </w:r>
      <w:r w:rsidR="00F34A8B" w:rsidRPr="005E4FAB">
        <w:t xml:space="preserve">time changes might require HyPer instead of </w:t>
      </w:r>
      <w:r w:rsidR="00857136" w:rsidRPr="005E4FAB">
        <w:t>roGFP2-Orp1</w:t>
      </w:r>
      <w:r w:rsidR="00F34A8B" w:rsidRPr="005E4FAB">
        <w:t xml:space="preserve">. </w:t>
      </w:r>
      <w:r w:rsidRPr="005E4FAB">
        <w:t xml:space="preserve">Whereas </w:t>
      </w:r>
      <w:r w:rsidR="00F34A8B" w:rsidRPr="005E4FAB">
        <w:t xml:space="preserve">initial </w:t>
      </w:r>
      <w:r w:rsidRPr="005E4FAB">
        <w:t xml:space="preserve">HyPer </w:t>
      </w:r>
      <w:r w:rsidR="00F34A8B" w:rsidRPr="005E4FAB">
        <w:t>versions are</w:t>
      </w:r>
      <w:r w:rsidRPr="005E4FAB">
        <w:t xml:space="preserve"> affected by pH changes, </w:t>
      </w:r>
      <w:r w:rsidR="002A2E83" w:rsidRPr="005E4FAB">
        <w:t>roGFP2-Orp1</w:t>
      </w:r>
      <w:r w:rsidRPr="005E4FAB">
        <w:t xml:space="preserve"> is not</w:t>
      </w:r>
      <w:r w:rsidRPr="005E4FAB">
        <w:rPr>
          <w:noProof/>
          <w:vertAlign w:val="superscript"/>
        </w:rPr>
        <w:t>16,3</w:t>
      </w:r>
      <w:r w:rsidR="002D4E1F" w:rsidRPr="005E4FAB">
        <w:rPr>
          <w:noProof/>
          <w:vertAlign w:val="superscript"/>
        </w:rPr>
        <w:t>6</w:t>
      </w:r>
      <w:r w:rsidRPr="005E4FAB">
        <w:t xml:space="preserve">.  Hence, it is critical to include a pH control probe </w:t>
      </w:r>
      <w:r w:rsidR="007E0E0E" w:rsidRPr="005E4FAB">
        <w:t xml:space="preserve">(SypHer3s) </w:t>
      </w:r>
      <w:r w:rsidRPr="005E4FAB">
        <w:t>while using HyPer</w:t>
      </w:r>
      <w:r w:rsidR="00653FCE" w:rsidRPr="005E4FAB">
        <w:rPr>
          <w:vertAlign w:val="superscript"/>
        </w:rPr>
        <w:t>3</w:t>
      </w:r>
      <w:r w:rsidR="002D4E1F" w:rsidRPr="005E4FAB">
        <w:rPr>
          <w:vertAlign w:val="superscript"/>
        </w:rPr>
        <w:t>7</w:t>
      </w:r>
      <w:r w:rsidRPr="005E4FAB">
        <w:t>.</w:t>
      </w:r>
      <w:r w:rsidR="007E0E0E" w:rsidRPr="005E4FAB">
        <w:t xml:space="preserve"> </w:t>
      </w:r>
      <w:r w:rsidR="00242D70" w:rsidRPr="005E4FAB">
        <w:t>The most recent HyPer probe, HyPer7, overc</w:t>
      </w:r>
      <w:r w:rsidR="00F02903" w:rsidRPr="005E4FAB">
        <w:t>a</w:t>
      </w:r>
      <w:r w:rsidR="00242D70" w:rsidRPr="005E4FAB">
        <w:t>me many of the drawbacks of existing H</w:t>
      </w:r>
      <w:r w:rsidR="00242D70" w:rsidRPr="005E4FAB">
        <w:rPr>
          <w:vertAlign w:val="subscript"/>
        </w:rPr>
        <w:t>2</w:t>
      </w:r>
      <w:r w:rsidR="00242D70" w:rsidRPr="005E4FAB">
        <w:t>O</w:t>
      </w:r>
      <w:r w:rsidR="00242D70" w:rsidRPr="005E4FAB">
        <w:rPr>
          <w:vertAlign w:val="subscript"/>
        </w:rPr>
        <w:t>2</w:t>
      </w:r>
      <w:r w:rsidR="00242D70" w:rsidRPr="005E4FAB">
        <w:t xml:space="preserve"> probes</w:t>
      </w:r>
      <w:r w:rsidR="00D16E15" w:rsidRPr="005E4FAB">
        <w:t>:</w:t>
      </w:r>
      <w:r w:rsidR="00242D70" w:rsidRPr="005E4FAB">
        <w:t xml:space="preserve"> HyPer7 has a higher pH stability</w:t>
      </w:r>
      <w:r w:rsidR="00D16E15" w:rsidRPr="005E4FAB">
        <w:t>, increased brightness, faster kinetics and higher dynamic range</w:t>
      </w:r>
      <w:r w:rsidR="00653FCE" w:rsidRPr="005E4FAB">
        <w:rPr>
          <w:vertAlign w:val="superscript"/>
        </w:rPr>
        <w:t>3</w:t>
      </w:r>
      <w:r w:rsidR="002D4E1F" w:rsidRPr="005E4FAB">
        <w:rPr>
          <w:vertAlign w:val="superscript"/>
        </w:rPr>
        <w:t>8</w:t>
      </w:r>
      <w:r w:rsidR="00D16E15" w:rsidRPr="005E4FAB">
        <w:t xml:space="preserve">. </w:t>
      </w:r>
      <w:r w:rsidR="007E0E0E" w:rsidRPr="005E4FAB">
        <w:t>Furthermore, HyPer7 is validated both</w:t>
      </w:r>
      <w:r w:rsidR="007E0E0E" w:rsidRPr="00D2672D">
        <w:t xml:space="preserve"> in vitro and in vivo, </w:t>
      </w:r>
      <w:r w:rsidR="007E0E0E" w:rsidRPr="005E4FAB">
        <w:t xml:space="preserve">showing the </w:t>
      </w:r>
      <w:r w:rsidR="00AA41BA" w:rsidRPr="005E4FAB">
        <w:t>sub</w:t>
      </w:r>
      <w:r w:rsidR="007E0E0E" w:rsidRPr="005E4FAB">
        <w:t xml:space="preserve">cellular compartmentalization and monitoring </w:t>
      </w:r>
      <w:r w:rsidR="00AA41BA" w:rsidRPr="005E4FAB">
        <w:t xml:space="preserve">real time </w:t>
      </w:r>
      <w:r w:rsidR="007E0E0E" w:rsidRPr="005E4FAB">
        <w:t>H</w:t>
      </w:r>
      <w:r w:rsidR="007E0E0E" w:rsidRPr="005E4FAB">
        <w:rPr>
          <w:vertAlign w:val="subscript"/>
        </w:rPr>
        <w:t>2</w:t>
      </w:r>
      <w:r w:rsidR="007E0E0E" w:rsidRPr="005E4FAB">
        <w:t>O</w:t>
      </w:r>
      <w:r w:rsidR="007E0E0E" w:rsidRPr="005E4FAB">
        <w:rPr>
          <w:vertAlign w:val="subscript"/>
        </w:rPr>
        <w:t>2</w:t>
      </w:r>
      <w:r w:rsidR="007E0E0E" w:rsidRPr="005E4FAB">
        <w:t xml:space="preserve"> </w:t>
      </w:r>
      <w:r w:rsidR="00AA41BA" w:rsidRPr="005E4FAB">
        <w:t xml:space="preserve">changes </w:t>
      </w:r>
      <w:r w:rsidR="007E0E0E" w:rsidRPr="005E4FAB">
        <w:t>in zebrafish embryos during wound healing</w:t>
      </w:r>
      <w:r w:rsidR="00653FCE" w:rsidRPr="005E4FAB">
        <w:rPr>
          <w:vertAlign w:val="superscript"/>
        </w:rPr>
        <w:t>3</w:t>
      </w:r>
      <w:r w:rsidR="002D4E1F" w:rsidRPr="005E4FAB">
        <w:rPr>
          <w:vertAlign w:val="superscript"/>
        </w:rPr>
        <w:t>8</w:t>
      </w:r>
      <w:r w:rsidR="007E0E0E" w:rsidRPr="005E4FAB">
        <w:t xml:space="preserve">.  </w:t>
      </w:r>
    </w:p>
    <w:p w14:paraId="651D5970" w14:textId="77777777" w:rsidR="00191A79" w:rsidRPr="005E4FAB" w:rsidRDefault="00191A79" w:rsidP="00376F01">
      <w:pPr>
        <w:pBdr>
          <w:top w:val="nil"/>
          <w:left w:val="nil"/>
          <w:bottom w:val="nil"/>
          <w:right w:val="nil"/>
          <w:between w:val="nil"/>
        </w:pBdr>
      </w:pPr>
    </w:p>
    <w:p w14:paraId="403021C6" w14:textId="378828CC" w:rsidR="00D951FF" w:rsidRPr="00D2672D" w:rsidRDefault="00191A79" w:rsidP="00376F01">
      <w:pPr>
        <w:pBdr>
          <w:top w:val="nil"/>
          <w:left w:val="nil"/>
          <w:bottom w:val="nil"/>
          <w:right w:val="nil"/>
          <w:between w:val="nil"/>
        </w:pBdr>
      </w:pPr>
      <w:r w:rsidRPr="005E4FAB">
        <w:t>Th</w:t>
      </w:r>
      <w:r w:rsidR="00F60F68" w:rsidRPr="005E4FAB">
        <w:t xml:space="preserve">e </w:t>
      </w:r>
      <w:r w:rsidRPr="005E4FAB">
        <w:t>methodolo</w:t>
      </w:r>
      <w:r w:rsidRPr="00D2672D">
        <w:t xml:space="preserve">gy </w:t>
      </w:r>
      <w:r w:rsidR="00F60F68" w:rsidRPr="00D2672D">
        <w:t xml:space="preserve">presented here </w:t>
      </w:r>
      <w:r w:rsidRPr="00D2672D">
        <w:t xml:space="preserve">can be expanded to study the role of ROS signaling both in vitro and in vivo. </w:t>
      </w:r>
      <w:r w:rsidR="002A2E83" w:rsidRPr="00D2672D">
        <w:t>ro</w:t>
      </w:r>
      <w:r w:rsidR="002A2E83" w:rsidRPr="005E4FAB">
        <w:t>GFP2-Orp1</w:t>
      </w:r>
      <w:r w:rsidRPr="005E4FAB">
        <w:t xml:space="preserve"> expressing neurons can be subjected to different treatments to study their effect on H</w:t>
      </w:r>
      <w:r w:rsidRPr="005E4FAB">
        <w:rPr>
          <w:vertAlign w:val="subscript"/>
        </w:rPr>
        <w:t>2</w:t>
      </w:r>
      <w:r w:rsidRPr="005E4FAB">
        <w:t>O</w:t>
      </w:r>
      <w:r w:rsidRPr="005E4FAB">
        <w:rPr>
          <w:vertAlign w:val="subscript"/>
        </w:rPr>
        <w:t>2</w:t>
      </w:r>
      <w:r w:rsidRPr="005E4FAB">
        <w:t xml:space="preserve"> signaling. For instance, we showed that RGCs respond to changes in H</w:t>
      </w:r>
      <w:r w:rsidRPr="005E4FAB">
        <w:rPr>
          <w:vertAlign w:val="subscript"/>
        </w:rPr>
        <w:t>2</w:t>
      </w:r>
      <w:r w:rsidRPr="005E4FAB">
        <w:t>O</w:t>
      </w:r>
      <w:r w:rsidRPr="005E4FAB">
        <w:rPr>
          <w:vertAlign w:val="subscript"/>
        </w:rPr>
        <w:t>2</w:t>
      </w:r>
      <w:r w:rsidRPr="005E4FAB">
        <w:t xml:space="preserve"> levels </w:t>
      </w:r>
      <w:r w:rsidR="005C43C2">
        <w:t xml:space="preserve">in </w:t>
      </w:r>
      <w:r w:rsidRPr="005E4FAB">
        <w:t>real time (</w:t>
      </w:r>
      <w:r w:rsidRPr="00D2672D">
        <w:rPr>
          <w:b/>
          <w:bCs/>
        </w:rPr>
        <w:t xml:space="preserve">Figure </w:t>
      </w:r>
      <w:r w:rsidR="00C00DB3" w:rsidRPr="00D2672D">
        <w:rPr>
          <w:b/>
          <w:bCs/>
        </w:rPr>
        <w:t>4</w:t>
      </w:r>
      <w:r w:rsidRPr="005E4FAB">
        <w:t xml:space="preserve">), suggesting that the biosensor can detect </w:t>
      </w:r>
      <w:r w:rsidR="005C43C2">
        <w:t>immediate</w:t>
      </w:r>
      <w:r w:rsidR="005C43C2" w:rsidRPr="005E4FAB">
        <w:t xml:space="preserve"> </w:t>
      </w:r>
      <w:r w:rsidRPr="005E4FAB">
        <w:t>changes in H</w:t>
      </w:r>
      <w:r w:rsidRPr="005E4FAB">
        <w:rPr>
          <w:vertAlign w:val="subscript"/>
        </w:rPr>
        <w:t>2</w:t>
      </w:r>
      <w:r w:rsidRPr="005E4FAB">
        <w:t>O</w:t>
      </w:r>
      <w:r w:rsidRPr="005E4FAB">
        <w:rPr>
          <w:vertAlign w:val="subscript"/>
        </w:rPr>
        <w:t>2</w:t>
      </w:r>
      <w:r w:rsidRPr="005E4FAB">
        <w:t xml:space="preserve">. </w:t>
      </w:r>
      <w:r w:rsidR="0073731C" w:rsidRPr="00D2672D">
        <w:t xml:space="preserve">However, </w:t>
      </w:r>
      <w:r w:rsidR="00B87029" w:rsidRPr="00D2672D">
        <w:t xml:space="preserve">determining </w:t>
      </w:r>
      <w:r w:rsidR="001763B8" w:rsidRPr="00D2672D">
        <w:t>absolute</w:t>
      </w:r>
      <w:r w:rsidR="00EB596E" w:rsidRPr="00D2672D">
        <w:t xml:space="preserve"> intracellular </w:t>
      </w:r>
      <w:r w:rsidR="005C43C2" w:rsidRPr="00D2672D">
        <w:t>H</w:t>
      </w:r>
      <w:r w:rsidR="005C43C2" w:rsidRPr="00D2672D">
        <w:rPr>
          <w:vertAlign w:val="subscript"/>
        </w:rPr>
        <w:t>2</w:t>
      </w:r>
      <w:r w:rsidR="005C43C2" w:rsidRPr="00D2672D">
        <w:t>O</w:t>
      </w:r>
      <w:r w:rsidR="005C43C2" w:rsidRPr="00D2672D">
        <w:rPr>
          <w:vertAlign w:val="subscript"/>
        </w:rPr>
        <w:t xml:space="preserve">2 </w:t>
      </w:r>
      <w:r w:rsidR="00EB596E" w:rsidRPr="00D2672D">
        <w:t>concentrations</w:t>
      </w:r>
      <w:r w:rsidR="00B87029" w:rsidRPr="00D2672D">
        <w:t xml:space="preserve"> would require extensive </w:t>
      </w:r>
      <w:r w:rsidR="00B87029" w:rsidRPr="00D2672D">
        <w:lastRenderedPageBreak/>
        <w:t>calibration of the system. The detection limit of the biosensor is also unclear</w:t>
      </w:r>
      <w:r w:rsidR="00EB596E" w:rsidRPr="00D2672D">
        <w:t xml:space="preserve">. Additionally, the </w:t>
      </w:r>
      <w:r w:rsidR="00B87029" w:rsidRPr="00D2672D">
        <w:t xml:space="preserve">detailed </w:t>
      </w:r>
      <w:r w:rsidR="00EB596E" w:rsidRPr="00D2672D">
        <w:t xml:space="preserve">spatial distribution of the biosensor in the cell is </w:t>
      </w:r>
      <w:r w:rsidR="00B87029" w:rsidRPr="00D2672D">
        <w:t xml:space="preserve">not completely </w:t>
      </w:r>
      <w:r w:rsidR="00EB596E" w:rsidRPr="00D2672D">
        <w:t xml:space="preserve">known, which </w:t>
      </w:r>
      <w:r w:rsidR="00B87029" w:rsidRPr="00D2672D">
        <w:t>could</w:t>
      </w:r>
      <w:r w:rsidR="00EB596E" w:rsidRPr="00D2672D">
        <w:t xml:space="preserve"> interfere with the interpretation of the results. Furthermore, determin</w:t>
      </w:r>
      <w:r w:rsidR="00B87029" w:rsidRPr="00D2672D">
        <w:t>ing</w:t>
      </w:r>
      <w:r w:rsidR="00EB596E" w:rsidRPr="00D2672D">
        <w:t xml:space="preserve"> the exact location signal from roGFP2-Orp1 could </w:t>
      </w:r>
      <w:r w:rsidR="00B87029" w:rsidRPr="00D2672D">
        <w:t xml:space="preserve">reveal whether </w:t>
      </w:r>
      <w:r w:rsidR="00EB596E" w:rsidRPr="00D2672D">
        <w:t>there is site-specific H</w:t>
      </w:r>
      <w:r w:rsidR="00EB596E" w:rsidRPr="00D2672D">
        <w:rPr>
          <w:vertAlign w:val="subscript"/>
        </w:rPr>
        <w:t>2</w:t>
      </w:r>
      <w:r w:rsidR="00EB596E" w:rsidRPr="00D2672D">
        <w:t>O</w:t>
      </w:r>
      <w:r w:rsidR="00EB596E" w:rsidRPr="00D2672D">
        <w:rPr>
          <w:vertAlign w:val="subscript"/>
        </w:rPr>
        <w:t>2</w:t>
      </w:r>
      <w:r w:rsidR="00EB596E" w:rsidRPr="00D2672D">
        <w:t xml:space="preserve"> production that contributes to localized intracellular signaling.  </w:t>
      </w:r>
    </w:p>
    <w:p w14:paraId="00B7CBB8" w14:textId="77777777" w:rsidR="00D951FF" w:rsidRDefault="00D951FF" w:rsidP="00376F01">
      <w:pPr>
        <w:pBdr>
          <w:top w:val="nil"/>
          <w:left w:val="nil"/>
          <w:bottom w:val="nil"/>
          <w:right w:val="nil"/>
          <w:between w:val="nil"/>
        </w:pBdr>
      </w:pPr>
    </w:p>
    <w:p w14:paraId="31FCFCB3" w14:textId="041562F8" w:rsidR="00191A79" w:rsidRPr="00D2672D" w:rsidRDefault="001763B8" w:rsidP="00376F01">
      <w:pPr>
        <w:pBdr>
          <w:top w:val="nil"/>
          <w:left w:val="nil"/>
          <w:bottom w:val="nil"/>
          <w:right w:val="nil"/>
          <w:between w:val="nil"/>
        </w:pBdr>
      </w:pPr>
      <w:r>
        <w:t>C</w:t>
      </w:r>
      <w:r w:rsidR="00191A79" w:rsidRPr="005E4FAB">
        <w:t xml:space="preserve">reating transgenic fish expressing </w:t>
      </w:r>
      <w:r w:rsidR="002A2E83" w:rsidRPr="005E4FAB">
        <w:t>roGFP2-Orp1</w:t>
      </w:r>
      <w:r w:rsidR="00191A79" w:rsidRPr="005E4FAB">
        <w:t xml:space="preserve"> has numerous advantages. The biosensor can </w:t>
      </w:r>
      <w:r w:rsidR="00191A79" w:rsidRPr="00D2672D">
        <w:t>be expressed ubiquitously, or under a tissue-specific promoter for studying cell-specific H</w:t>
      </w:r>
      <w:r w:rsidR="00191A79" w:rsidRPr="00D2672D">
        <w:rPr>
          <w:vertAlign w:val="subscript"/>
        </w:rPr>
        <w:t>2</w:t>
      </w:r>
      <w:r w:rsidR="00191A79" w:rsidRPr="00D2672D">
        <w:t>O</w:t>
      </w:r>
      <w:r w:rsidR="00191A79" w:rsidRPr="00D2672D">
        <w:rPr>
          <w:vertAlign w:val="subscript"/>
        </w:rPr>
        <w:t>2</w:t>
      </w:r>
      <w:r w:rsidR="00191A79" w:rsidRPr="00D2672D">
        <w:t xml:space="preserve"> signaling by using Tol2 transgenesis in zebrafish</w:t>
      </w:r>
      <w:r w:rsidR="00191A79" w:rsidRPr="00D2672D">
        <w:rPr>
          <w:noProof/>
          <w:vertAlign w:val="superscript"/>
        </w:rPr>
        <w:t>3</w:t>
      </w:r>
      <w:r w:rsidR="002D4E1F" w:rsidRPr="00D2672D">
        <w:rPr>
          <w:noProof/>
          <w:vertAlign w:val="superscript"/>
        </w:rPr>
        <w:t>9</w:t>
      </w:r>
      <w:r w:rsidR="00191A79" w:rsidRPr="00D2672D">
        <w:t>.</w:t>
      </w:r>
      <w:r w:rsidR="00D2672D">
        <w:t xml:space="preserve"> </w:t>
      </w:r>
      <w:r w:rsidR="00146E19" w:rsidRPr="00D2672D">
        <w:t>The role of H</w:t>
      </w:r>
      <w:r w:rsidR="00146E19" w:rsidRPr="00D2672D">
        <w:rPr>
          <w:vertAlign w:val="subscript"/>
        </w:rPr>
        <w:t>2</w:t>
      </w:r>
      <w:r w:rsidR="00146E19" w:rsidRPr="00D2672D">
        <w:t>O</w:t>
      </w:r>
      <w:r w:rsidR="00146E19" w:rsidRPr="00D2672D">
        <w:rPr>
          <w:vertAlign w:val="subscript"/>
        </w:rPr>
        <w:t>2</w:t>
      </w:r>
      <w:r w:rsidR="00146E19" w:rsidRPr="00D2672D">
        <w:t xml:space="preserve"> in development can be studied by u</w:t>
      </w:r>
      <w:r w:rsidR="00D951FF" w:rsidRPr="00D2672D">
        <w:t>biquitous expression of the biosensor</w:t>
      </w:r>
      <w:r w:rsidR="00146E19" w:rsidRPr="00D2672D">
        <w:t>.</w:t>
      </w:r>
      <w:r w:rsidR="00D951FF" w:rsidRPr="00D2672D">
        <w:t xml:space="preserve"> </w:t>
      </w:r>
      <w:r w:rsidR="00146E19" w:rsidRPr="00D2672D">
        <w:t xml:space="preserve">For instance, transgenic zebrafish embryos can be monitored to assess changes in </w:t>
      </w:r>
      <w:r w:rsidR="00684717" w:rsidRPr="00D2672D">
        <w:t>H</w:t>
      </w:r>
      <w:r w:rsidR="00684717" w:rsidRPr="00D2672D">
        <w:rPr>
          <w:vertAlign w:val="subscript"/>
        </w:rPr>
        <w:t>2</w:t>
      </w:r>
      <w:r w:rsidR="00684717" w:rsidRPr="00D2672D">
        <w:t>O</w:t>
      </w:r>
      <w:r w:rsidR="00684717" w:rsidRPr="00D2672D">
        <w:rPr>
          <w:vertAlign w:val="subscript"/>
        </w:rPr>
        <w:t>2</w:t>
      </w:r>
      <w:r w:rsidR="00684717" w:rsidRPr="00D2672D">
        <w:t xml:space="preserve"> </w:t>
      </w:r>
      <w:r w:rsidRPr="00D2672D">
        <w:t xml:space="preserve">levels </w:t>
      </w:r>
      <w:r w:rsidR="00684717" w:rsidRPr="00D2672D">
        <w:t xml:space="preserve">and how </w:t>
      </w:r>
      <w:r w:rsidRPr="00D2672D">
        <w:t>these</w:t>
      </w:r>
      <w:r w:rsidR="00684717" w:rsidRPr="00D2672D">
        <w:t xml:space="preserve"> change</w:t>
      </w:r>
      <w:r w:rsidRPr="00D2672D">
        <w:t>s</w:t>
      </w:r>
      <w:r w:rsidR="00684717" w:rsidRPr="00D2672D">
        <w:t xml:space="preserve"> contribute to different developmental stages. On the other hand, tissue-specific expression of the roGFP2-Orp1 focuses on the effects of H</w:t>
      </w:r>
      <w:r w:rsidR="00684717" w:rsidRPr="00D2672D">
        <w:rPr>
          <w:vertAlign w:val="subscript"/>
        </w:rPr>
        <w:t>2</w:t>
      </w:r>
      <w:r w:rsidR="00684717" w:rsidRPr="00D2672D">
        <w:t>O</w:t>
      </w:r>
      <w:r w:rsidR="00684717" w:rsidRPr="00D2672D">
        <w:rPr>
          <w:vertAlign w:val="subscript"/>
        </w:rPr>
        <w:t>2</w:t>
      </w:r>
      <w:r w:rsidR="00684717" w:rsidRPr="00D2672D">
        <w:t xml:space="preserve"> production in cell</w:t>
      </w:r>
      <w:r w:rsidRPr="00D2672D">
        <w:t>s</w:t>
      </w:r>
      <w:r w:rsidR="00684717" w:rsidRPr="00D2672D">
        <w:t xml:space="preserve"> or tissue</w:t>
      </w:r>
      <w:r w:rsidRPr="00D2672D">
        <w:t>s</w:t>
      </w:r>
      <w:r w:rsidR="00684717" w:rsidRPr="00D2672D">
        <w:t xml:space="preserve"> of interest. </w:t>
      </w:r>
      <w:r w:rsidRPr="00D2672D">
        <w:t>T</w:t>
      </w:r>
      <w:r w:rsidR="00684717" w:rsidRPr="00D2672D">
        <w:t>issue</w:t>
      </w:r>
      <w:r w:rsidR="00331107" w:rsidRPr="00D2672D">
        <w:t xml:space="preserve"> or cell</w:t>
      </w:r>
      <w:r w:rsidR="00684717" w:rsidRPr="00D2672D">
        <w:t>-specific promoters can be used to drive expression of roGFP2-Orp1</w:t>
      </w:r>
      <w:r w:rsidRPr="00D2672D">
        <w:t xml:space="preserve"> in specific cells.</w:t>
      </w:r>
      <w:r w:rsidR="00684717" w:rsidRPr="00D2672D">
        <w:t xml:space="preserve"> </w:t>
      </w:r>
      <w:r w:rsidRPr="00D2672D">
        <w:t>Furthermore</w:t>
      </w:r>
      <w:r w:rsidR="007412CE" w:rsidRPr="00D2672D">
        <w:t>,</w:t>
      </w:r>
      <w:r w:rsidRPr="00D2672D">
        <w:t xml:space="preserve"> the </w:t>
      </w:r>
      <w:r w:rsidR="00331107" w:rsidRPr="00D2672D">
        <w:t xml:space="preserve">Gal4/UAS system </w:t>
      </w:r>
      <w:r w:rsidRPr="00D2672D">
        <w:t xml:space="preserve">can be used for </w:t>
      </w:r>
      <w:r w:rsidR="00191A79" w:rsidRPr="00D2672D">
        <w:t xml:space="preserve">sparse labeling of individual neurons. </w:t>
      </w:r>
      <w:r w:rsidR="00331107" w:rsidRPr="00D2672D">
        <w:t xml:space="preserve">Hence, this </w:t>
      </w:r>
      <w:r w:rsidR="00191A79" w:rsidRPr="00D2672D">
        <w:t>approach allows detecting H</w:t>
      </w:r>
      <w:r w:rsidR="00191A79" w:rsidRPr="00D2672D">
        <w:rPr>
          <w:vertAlign w:val="subscript"/>
        </w:rPr>
        <w:t>2</w:t>
      </w:r>
      <w:r w:rsidR="00191A79" w:rsidRPr="00D2672D">
        <w:t>O</w:t>
      </w:r>
      <w:r w:rsidR="00191A79" w:rsidRPr="00D2672D">
        <w:rPr>
          <w:vertAlign w:val="subscript"/>
        </w:rPr>
        <w:t>2</w:t>
      </w:r>
      <w:r w:rsidR="00191A79" w:rsidRPr="00D2672D">
        <w:t xml:space="preserve"> levels at a cellular resolution</w:t>
      </w:r>
      <w:r w:rsidR="00191A79" w:rsidRPr="00D2672D">
        <w:rPr>
          <w:i/>
        </w:rPr>
        <w:t xml:space="preserve"> </w:t>
      </w:r>
      <w:r w:rsidR="00191A79" w:rsidRPr="00D2672D">
        <w:rPr>
          <w:iCs/>
        </w:rPr>
        <w:t>in vivo</w:t>
      </w:r>
      <w:r w:rsidR="00191A79" w:rsidRPr="00D2672D">
        <w:t xml:space="preserve">. Finally, stable transgenic lines can be used for high-throughput drug screening that involves ROS signaling and oxidative stress in zebrafish embryos.  </w:t>
      </w:r>
    </w:p>
    <w:p w14:paraId="51771ECA" w14:textId="77777777" w:rsidR="00191A79" w:rsidRPr="005E4FAB" w:rsidRDefault="00191A79" w:rsidP="00376F01"/>
    <w:p w14:paraId="61E51B53" w14:textId="77777777" w:rsidR="00191A79" w:rsidRPr="005E4FAB" w:rsidRDefault="00191A79" w:rsidP="00376F01">
      <w:pPr>
        <w:pBdr>
          <w:top w:val="nil"/>
          <w:left w:val="nil"/>
          <w:bottom w:val="nil"/>
          <w:right w:val="nil"/>
          <w:between w:val="nil"/>
        </w:pBdr>
        <w:rPr>
          <w:b/>
        </w:rPr>
      </w:pPr>
      <w:r w:rsidRPr="005E4FAB">
        <w:rPr>
          <w:b/>
        </w:rPr>
        <w:t xml:space="preserve">ACKNOWLEDGMENTS:  </w:t>
      </w:r>
    </w:p>
    <w:p w14:paraId="5D2BC15F" w14:textId="62D8FB80" w:rsidR="00191A79" w:rsidRPr="005E4FAB" w:rsidRDefault="00191A79" w:rsidP="00376F01">
      <w:r w:rsidRPr="005E4FAB">
        <w:t xml:space="preserve">This work was supported by the National Institutes of Health (Grant R01NS117701), National Science Foundation (Grant 1146944-IOS), the Indiana Traumatic Spinal Cord and Brain Injury Research Fund (Grant 20000289), the Purdue Research Foundation (Grant 209911), and the Office of the Executive Vice President for Research and Partnerships at Purdue University (Grant 210362). We thank Dr. Cory J. Weaver and Haley Roeder for establishing zebrafish RGC culture protocol. We thank Haley Roeder additionally for </w:t>
      </w:r>
      <w:r w:rsidRPr="005E4FAB">
        <w:rPr>
          <w:iCs/>
        </w:rPr>
        <w:t xml:space="preserve">providing the data of Figure </w:t>
      </w:r>
      <w:r w:rsidR="007F1AF2" w:rsidRPr="005E4FAB">
        <w:rPr>
          <w:iCs/>
        </w:rPr>
        <w:t>4</w:t>
      </w:r>
      <w:r w:rsidRPr="005E4FAB">
        <w:t xml:space="preserve">. We thank Leah Biasi and Kenny Nguyen for the help with RGC culture. We thank Gentry Lee for editing the text. We thank Dr. Tobias Dick for providing </w:t>
      </w:r>
      <w:r w:rsidR="002A2E83" w:rsidRPr="005E4FAB">
        <w:t>roGFP2-Orp1</w:t>
      </w:r>
      <w:r w:rsidRPr="005E4FAB">
        <w:t xml:space="preserve"> and Dr. Qing Deng for pCS2+ vector containing </w:t>
      </w:r>
      <w:r w:rsidR="002A2E83" w:rsidRPr="005E4FAB">
        <w:t>roGFP2-Orp1</w:t>
      </w:r>
      <w:r w:rsidRPr="005E4FAB">
        <w:t xml:space="preserve">. Figure </w:t>
      </w:r>
      <w:r w:rsidR="007F1AF2" w:rsidRPr="005E4FAB">
        <w:t xml:space="preserve">3 </w:t>
      </w:r>
      <w:r w:rsidRPr="005E4FAB">
        <w:t>is created with Biorender.com.</w:t>
      </w:r>
    </w:p>
    <w:p w14:paraId="72A64987" w14:textId="77777777" w:rsidR="00191A79" w:rsidRPr="005E4FAB" w:rsidRDefault="00191A79" w:rsidP="00376F01">
      <w:pPr>
        <w:rPr>
          <w:b/>
        </w:rPr>
      </w:pPr>
    </w:p>
    <w:p w14:paraId="705FAF16" w14:textId="77777777" w:rsidR="00191A79" w:rsidRPr="005E4FAB" w:rsidRDefault="00191A79" w:rsidP="00376F01">
      <w:pPr>
        <w:pBdr>
          <w:top w:val="nil"/>
          <w:left w:val="nil"/>
          <w:bottom w:val="nil"/>
          <w:right w:val="nil"/>
          <w:between w:val="nil"/>
        </w:pBdr>
        <w:rPr>
          <w:b/>
        </w:rPr>
      </w:pPr>
      <w:r w:rsidRPr="005E4FAB">
        <w:rPr>
          <w:b/>
        </w:rPr>
        <w:t xml:space="preserve">DISCLOSURES:  </w:t>
      </w:r>
    </w:p>
    <w:p w14:paraId="46FB0831" w14:textId="77777777" w:rsidR="00191A79" w:rsidRPr="005E4FAB" w:rsidRDefault="00191A79" w:rsidP="00376F01">
      <w:r w:rsidRPr="005E4FAB">
        <w:t>Authors declare that they have no conflict of interest.</w:t>
      </w:r>
    </w:p>
    <w:p w14:paraId="27762A0D" w14:textId="77777777" w:rsidR="00191A79" w:rsidRPr="005E4FAB" w:rsidRDefault="00191A79" w:rsidP="00376F01"/>
    <w:p w14:paraId="2E1558B2" w14:textId="77777777" w:rsidR="00191A79" w:rsidRPr="005E4FAB" w:rsidRDefault="00191A79" w:rsidP="00376F01">
      <w:pPr>
        <w:rPr>
          <w:b/>
        </w:rPr>
      </w:pPr>
      <w:r w:rsidRPr="005E4FAB">
        <w:rPr>
          <w:b/>
        </w:rPr>
        <w:t>REFERENCES:</w:t>
      </w:r>
      <w:r w:rsidRPr="005E4FAB">
        <w:t xml:space="preserve"> </w:t>
      </w:r>
    </w:p>
    <w:p w14:paraId="03F87837" w14:textId="77777777" w:rsidR="00191A79" w:rsidRPr="005E4FAB" w:rsidRDefault="00191A79" w:rsidP="00376F01"/>
    <w:p w14:paraId="6E287765" w14:textId="00DAD694" w:rsidR="00191A79" w:rsidRPr="005E4FAB" w:rsidRDefault="00191A79" w:rsidP="00376F01">
      <w:pPr>
        <w:autoSpaceDE w:val="0"/>
        <w:autoSpaceDN w:val="0"/>
        <w:adjustRightInd w:val="0"/>
        <w:rPr>
          <w:rFonts w:cs="Times New Roman"/>
          <w:noProof/>
        </w:rPr>
      </w:pPr>
      <w:r w:rsidRPr="005E4FAB">
        <w:rPr>
          <w:rFonts w:cs="Times New Roman"/>
          <w:noProof/>
        </w:rPr>
        <w:t>1.</w:t>
      </w:r>
      <w:r w:rsidRPr="005E4FAB">
        <w:rPr>
          <w:rFonts w:cs="Times New Roman"/>
          <w:noProof/>
        </w:rPr>
        <w:tab/>
        <w:t xml:space="preserve">Bórquez, D. A. </w:t>
      </w:r>
      <w:r w:rsidRPr="00D2672D">
        <w:rPr>
          <w:rFonts w:cs="Times New Roman"/>
          <w:noProof/>
        </w:rPr>
        <w:t>et al.</w:t>
      </w:r>
      <w:r w:rsidRPr="005E4FAB">
        <w:rPr>
          <w:rFonts w:cs="Times New Roman"/>
          <w:noProof/>
        </w:rPr>
        <w:t xml:space="preserve"> Dissecting the role of redox signaling in neuronal development. </w:t>
      </w:r>
      <w:r w:rsidRPr="005E4FAB">
        <w:rPr>
          <w:rFonts w:cs="Times New Roman"/>
          <w:i/>
          <w:iCs/>
          <w:noProof/>
        </w:rPr>
        <w:t>J</w:t>
      </w:r>
      <w:r w:rsidR="00840B1B" w:rsidRPr="005E4FAB">
        <w:rPr>
          <w:rFonts w:cs="Times New Roman"/>
          <w:i/>
          <w:iCs/>
          <w:noProof/>
        </w:rPr>
        <w:t>ournal of</w:t>
      </w:r>
      <w:r w:rsidRPr="005E4FAB">
        <w:rPr>
          <w:rFonts w:cs="Times New Roman"/>
          <w:i/>
          <w:iCs/>
          <w:noProof/>
        </w:rPr>
        <w:t xml:space="preserve"> Neurochem</w:t>
      </w:r>
      <w:r w:rsidR="00840B1B" w:rsidRPr="005E4FAB">
        <w:rPr>
          <w:rFonts w:cs="Times New Roman"/>
          <w:i/>
          <w:iCs/>
          <w:noProof/>
        </w:rPr>
        <w:t>istry.</w:t>
      </w:r>
      <w:r w:rsidRPr="005E4FAB">
        <w:rPr>
          <w:rFonts w:cs="Times New Roman"/>
          <w:noProof/>
        </w:rPr>
        <w:t xml:space="preserve"> </w:t>
      </w:r>
      <w:r w:rsidRPr="005E4FAB">
        <w:rPr>
          <w:rFonts w:cs="Times New Roman"/>
          <w:b/>
          <w:bCs/>
          <w:noProof/>
        </w:rPr>
        <w:t>137</w:t>
      </w:r>
      <w:r w:rsidR="00840B1B" w:rsidRPr="005E4FAB">
        <w:rPr>
          <w:rFonts w:cs="Times New Roman"/>
          <w:b/>
          <w:bCs/>
          <w:noProof/>
        </w:rPr>
        <w:t xml:space="preserve"> </w:t>
      </w:r>
      <w:r w:rsidR="00840B1B" w:rsidRPr="005E4FAB">
        <w:rPr>
          <w:rFonts w:cs="Times New Roman"/>
          <w:noProof/>
        </w:rPr>
        <w:t>(4)</w:t>
      </w:r>
      <w:r w:rsidRPr="005E4FAB">
        <w:rPr>
          <w:rFonts w:cs="Times New Roman"/>
          <w:noProof/>
        </w:rPr>
        <w:t>, 506–517 (2016).</w:t>
      </w:r>
    </w:p>
    <w:p w14:paraId="21795E58" w14:textId="4A2D46C4" w:rsidR="00191A79" w:rsidRPr="005E4FAB" w:rsidRDefault="00191A79" w:rsidP="00376F01">
      <w:pPr>
        <w:autoSpaceDE w:val="0"/>
        <w:autoSpaceDN w:val="0"/>
        <w:adjustRightInd w:val="0"/>
        <w:rPr>
          <w:rFonts w:cs="Times New Roman"/>
          <w:noProof/>
        </w:rPr>
      </w:pPr>
      <w:r w:rsidRPr="005E4FAB">
        <w:rPr>
          <w:rFonts w:cs="Times New Roman"/>
          <w:noProof/>
        </w:rPr>
        <w:t>2.</w:t>
      </w:r>
      <w:r w:rsidRPr="005E4FAB">
        <w:rPr>
          <w:rFonts w:cs="Times New Roman"/>
          <w:noProof/>
        </w:rPr>
        <w:tab/>
        <w:t>Bedard, K.</w:t>
      </w:r>
      <w:r w:rsidR="00D2672D">
        <w:rPr>
          <w:rFonts w:cs="Times New Roman"/>
          <w:noProof/>
        </w:rPr>
        <w:t>,</w:t>
      </w:r>
      <w:r w:rsidRPr="005E4FAB">
        <w:rPr>
          <w:rFonts w:cs="Times New Roman"/>
          <w:noProof/>
        </w:rPr>
        <w:t xml:space="preserve"> Krause, K.-H. The NOX family of ROS-generating NADPH oxidases: </w:t>
      </w:r>
      <w:r w:rsidR="00D2672D">
        <w:rPr>
          <w:rFonts w:cs="Times New Roman"/>
          <w:noProof/>
        </w:rPr>
        <w:t>P</w:t>
      </w:r>
      <w:r w:rsidRPr="005E4FAB">
        <w:rPr>
          <w:rFonts w:cs="Times New Roman"/>
          <w:noProof/>
        </w:rPr>
        <w:t xml:space="preserve">hysiology and pathophysiology. </w:t>
      </w:r>
      <w:r w:rsidRPr="005E4FAB">
        <w:rPr>
          <w:rFonts w:cs="Times New Roman"/>
          <w:i/>
          <w:iCs/>
          <w:noProof/>
        </w:rPr>
        <w:t>Physiol</w:t>
      </w:r>
      <w:r w:rsidR="00840B1B" w:rsidRPr="005E4FAB">
        <w:rPr>
          <w:rFonts w:cs="Times New Roman"/>
          <w:i/>
          <w:iCs/>
          <w:noProof/>
        </w:rPr>
        <w:t>ogical</w:t>
      </w:r>
      <w:r w:rsidRPr="005E4FAB">
        <w:rPr>
          <w:rFonts w:cs="Times New Roman"/>
          <w:i/>
          <w:iCs/>
          <w:noProof/>
        </w:rPr>
        <w:t xml:space="preserve"> Rev</w:t>
      </w:r>
      <w:r w:rsidR="00840B1B" w:rsidRPr="005E4FAB">
        <w:rPr>
          <w:rFonts w:cs="Times New Roman"/>
          <w:i/>
          <w:iCs/>
          <w:noProof/>
        </w:rPr>
        <w:t>iews.</w:t>
      </w:r>
      <w:r w:rsidRPr="005E4FAB">
        <w:rPr>
          <w:rFonts w:cs="Times New Roman"/>
          <w:noProof/>
        </w:rPr>
        <w:t xml:space="preserve"> </w:t>
      </w:r>
      <w:r w:rsidRPr="005E4FAB">
        <w:rPr>
          <w:rFonts w:cs="Times New Roman"/>
          <w:b/>
          <w:bCs/>
          <w:noProof/>
        </w:rPr>
        <w:t>87</w:t>
      </w:r>
      <w:r w:rsidR="00840B1B" w:rsidRPr="005E4FAB">
        <w:rPr>
          <w:rFonts w:cs="Times New Roman"/>
          <w:b/>
          <w:bCs/>
          <w:noProof/>
        </w:rPr>
        <w:t xml:space="preserve"> </w:t>
      </w:r>
      <w:r w:rsidR="00840B1B" w:rsidRPr="005E4FAB">
        <w:rPr>
          <w:rFonts w:cs="Times New Roman"/>
          <w:noProof/>
        </w:rPr>
        <w:t>(1)</w:t>
      </w:r>
      <w:r w:rsidRPr="005E4FAB">
        <w:rPr>
          <w:rFonts w:cs="Times New Roman"/>
          <w:noProof/>
        </w:rPr>
        <w:t>, 245–313 (2007).</w:t>
      </w:r>
    </w:p>
    <w:p w14:paraId="48252B29" w14:textId="6D512468" w:rsidR="00191A79" w:rsidRPr="005E4FAB" w:rsidRDefault="00191A79" w:rsidP="00376F01">
      <w:pPr>
        <w:autoSpaceDE w:val="0"/>
        <w:autoSpaceDN w:val="0"/>
        <w:adjustRightInd w:val="0"/>
        <w:rPr>
          <w:rFonts w:cs="Times New Roman"/>
          <w:noProof/>
        </w:rPr>
      </w:pPr>
      <w:r w:rsidRPr="005E4FAB">
        <w:rPr>
          <w:rFonts w:cs="Times New Roman"/>
          <w:noProof/>
        </w:rPr>
        <w:t>3.</w:t>
      </w:r>
      <w:r w:rsidRPr="005E4FAB">
        <w:rPr>
          <w:rFonts w:cs="Times New Roman"/>
          <w:noProof/>
        </w:rPr>
        <w:tab/>
        <w:t>Weaver, C. J., Leung, Y. F.</w:t>
      </w:r>
      <w:r w:rsidR="00D2672D">
        <w:rPr>
          <w:rFonts w:cs="Times New Roman"/>
          <w:noProof/>
        </w:rPr>
        <w:t>,</w:t>
      </w:r>
      <w:r w:rsidRPr="005E4FAB">
        <w:rPr>
          <w:rFonts w:cs="Times New Roman"/>
          <w:noProof/>
        </w:rPr>
        <w:t xml:space="preserve"> Suter, D. M. Expression dynamics of NADPH oxidases during early zebrafish development. </w:t>
      </w:r>
      <w:r w:rsidRPr="005E4FAB">
        <w:rPr>
          <w:rFonts w:cs="Times New Roman"/>
          <w:i/>
          <w:iCs/>
          <w:noProof/>
        </w:rPr>
        <w:t>J</w:t>
      </w:r>
      <w:r w:rsidR="00840B1B" w:rsidRPr="005E4FAB">
        <w:rPr>
          <w:rFonts w:cs="Times New Roman"/>
          <w:i/>
          <w:iCs/>
          <w:noProof/>
        </w:rPr>
        <w:t>ournal of</w:t>
      </w:r>
      <w:r w:rsidRPr="005E4FAB">
        <w:rPr>
          <w:rFonts w:cs="Times New Roman"/>
          <w:i/>
          <w:iCs/>
          <w:noProof/>
        </w:rPr>
        <w:t xml:space="preserve"> Comp</w:t>
      </w:r>
      <w:r w:rsidR="00840B1B" w:rsidRPr="005E4FAB">
        <w:rPr>
          <w:rFonts w:cs="Times New Roman"/>
          <w:i/>
          <w:iCs/>
          <w:noProof/>
        </w:rPr>
        <w:t>arative</w:t>
      </w:r>
      <w:r w:rsidRPr="005E4FAB">
        <w:rPr>
          <w:rFonts w:cs="Times New Roman"/>
          <w:i/>
          <w:iCs/>
          <w:noProof/>
        </w:rPr>
        <w:t xml:space="preserve"> Neurol</w:t>
      </w:r>
      <w:r w:rsidR="00840B1B" w:rsidRPr="005E4FAB">
        <w:rPr>
          <w:rFonts w:cs="Times New Roman"/>
          <w:i/>
          <w:iCs/>
          <w:noProof/>
        </w:rPr>
        <w:t>ogy.</w:t>
      </w:r>
      <w:r w:rsidRPr="005E4FAB">
        <w:rPr>
          <w:rFonts w:cs="Times New Roman"/>
          <w:noProof/>
        </w:rPr>
        <w:t xml:space="preserve"> </w:t>
      </w:r>
      <w:r w:rsidRPr="005E4FAB">
        <w:rPr>
          <w:rFonts w:cs="Times New Roman"/>
          <w:b/>
          <w:bCs/>
          <w:noProof/>
        </w:rPr>
        <w:t>524</w:t>
      </w:r>
      <w:r w:rsidR="00840B1B" w:rsidRPr="005E4FAB">
        <w:rPr>
          <w:rFonts w:cs="Times New Roman"/>
          <w:b/>
          <w:bCs/>
          <w:noProof/>
        </w:rPr>
        <w:t xml:space="preserve"> </w:t>
      </w:r>
      <w:r w:rsidR="00840B1B" w:rsidRPr="005E4FAB">
        <w:rPr>
          <w:rFonts w:cs="Times New Roman"/>
          <w:noProof/>
        </w:rPr>
        <w:t>(10)</w:t>
      </w:r>
      <w:r w:rsidRPr="005E4FAB">
        <w:rPr>
          <w:rFonts w:cs="Times New Roman"/>
          <w:noProof/>
        </w:rPr>
        <w:t>, 2130–2141 (2016).</w:t>
      </w:r>
    </w:p>
    <w:p w14:paraId="54F5B1E3" w14:textId="57E13A5A" w:rsidR="00191A79" w:rsidRPr="005E4FAB" w:rsidRDefault="00191A79" w:rsidP="00376F01">
      <w:pPr>
        <w:autoSpaceDE w:val="0"/>
        <w:autoSpaceDN w:val="0"/>
        <w:adjustRightInd w:val="0"/>
        <w:rPr>
          <w:rFonts w:cs="Times New Roman"/>
          <w:noProof/>
        </w:rPr>
      </w:pPr>
      <w:r w:rsidRPr="005E4FAB">
        <w:rPr>
          <w:rFonts w:cs="Times New Roman"/>
          <w:noProof/>
        </w:rPr>
        <w:t>4.</w:t>
      </w:r>
      <w:r w:rsidRPr="005E4FAB">
        <w:rPr>
          <w:rFonts w:cs="Times New Roman"/>
          <w:noProof/>
        </w:rPr>
        <w:tab/>
        <w:t>Terzi, A.</w:t>
      </w:r>
      <w:r w:rsidR="00D2672D">
        <w:rPr>
          <w:rFonts w:cs="Times New Roman"/>
          <w:noProof/>
        </w:rPr>
        <w:t>,</w:t>
      </w:r>
      <w:r w:rsidRPr="005E4FAB">
        <w:rPr>
          <w:rFonts w:cs="Times New Roman"/>
          <w:noProof/>
        </w:rPr>
        <w:t xml:space="preserve"> Suter, D. M. The role of NADPH oxidases in neuronal development. </w:t>
      </w:r>
      <w:r w:rsidRPr="005E4FAB">
        <w:rPr>
          <w:rFonts w:cs="Times New Roman"/>
          <w:i/>
          <w:iCs/>
          <w:noProof/>
        </w:rPr>
        <w:t>Free Radic</w:t>
      </w:r>
      <w:r w:rsidR="00840B1B" w:rsidRPr="005E4FAB">
        <w:rPr>
          <w:rFonts w:cs="Times New Roman"/>
          <w:i/>
          <w:iCs/>
          <w:noProof/>
        </w:rPr>
        <w:t>al</w:t>
      </w:r>
      <w:r w:rsidRPr="005E4FAB">
        <w:rPr>
          <w:rFonts w:cs="Times New Roman"/>
          <w:i/>
          <w:iCs/>
          <w:noProof/>
        </w:rPr>
        <w:t xml:space="preserve"> Biol</w:t>
      </w:r>
      <w:r w:rsidR="00840B1B" w:rsidRPr="005E4FAB">
        <w:rPr>
          <w:rFonts w:cs="Times New Roman"/>
          <w:i/>
          <w:iCs/>
          <w:noProof/>
        </w:rPr>
        <w:t>ogy and</w:t>
      </w:r>
      <w:r w:rsidRPr="005E4FAB">
        <w:rPr>
          <w:rFonts w:cs="Times New Roman"/>
          <w:i/>
          <w:iCs/>
          <w:noProof/>
        </w:rPr>
        <w:t xml:space="preserve"> Med</w:t>
      </w:r>
      <w:r w:rsidR="00840B1B" w:rsidRPr="005E4FAB">
        <w:rPr>
          <w:rFonts w:cs="Times New Roman"/>
          <w:i/>
          <w:iCs/>
          <w:noProof/>
        </w:rPr>
        <w:t>icine.</w:t>
      </w:r>
      <w:r w:rsidRPr="005E4FAB">
        <w:rPr>
          <w:rFonts w:cs="Times New Roman"/>
          <w:noProof/>
        </w:rPr>
        <w:t xml:space="preserve"> </w:t>
      </w:r>
      <w:r w:rsidRPr="005E4FAB">
        <w:rPr>
          <w:rFonts w:cs="Times New Roman"/>
          <w:b/>
          <w:bCs/>
          <w:noProof/>
        </w:rPr>
        <w:t>154</w:t>
      </w:r>
      <w:r w:rsidRPr="005E4FAB">
        <w:rPr>
          <w:rFonts w:cs="Times New Roman"/>
          <w:noProof/>
        </w:rPr>
        <w:t>, 33–47 (2020).</w:t>
      </w:r>
    </w:p>
    <w:p w14:paraId="70B6442D" w14:textId="47789676" w:rsidR="00191A79" w:rsidRPr="005E4FAB" w:rsidRDefault="00191A79" w:rsidP="00376F01">
      <w:pPr>
        <w:autoSpaceDE w:val="0"/>
        <w:autoSpaceDN w:val="0"/>
        <w:adjustRightInd w:val="0"/>
        <w:rPr>
          <w:rFonts w:cs="Times New Roman"/>
          <w:noProof/>
        </w:rPr>
      </w:pPr>
      <w:r w:rsidRPr="005E4FAB">
        <w:rPr>
          <w:rFonts w:cs="Times New Roman"/>
          <w:noProof/>
        </w:rPr>
        <w:t>5.</w:t>
      </w:r>
      <w:r w:rsidRPr="005E4FAB">
        <w:rPr>
          <w:rFonts w:cs="Times New Roman"/>
          <w:noProof/>
        </w:rPr>
        <w:tab/>
        <w:t>Infanger, D. W., Sharma, R. V.</w:t>
      </w:r>
      <w:r w:rsidR="00D2672D">
        <w:rPr>
          <w:rFonts w:cs="Times New Roman"/>
          <w:noProof/>
        </w:rPr>
        <w:t xml:space="preserve">, </w:t>
      </w:r>
      <w:r w:rsidRPr="005E4FAB">
        <w:rPr>
          <w:rFonts w:cs="Times New Roman"/>
          <w:noProof/>
        </w:rPr>
        <w:t xml:space="preserve">Davisson, R. L. NADPH oxidases of the brain: </w:t>
      </w:r>
      <w:r w:rsidR="00D2672D">
        <w:rPr>
          <w:rFonts w:cs="Times New Roman"/>
          <w:noProof/>
        </w:rPr>
        <w:t>D</w:t>
      </w:r>
      <w:r w:rsidRPr="005E4FAB">
        <w:rPr>
          <w:rFonts w:cs="Times New Roman"/>
          <w:noProof/>
        </w:rPr>
        <w:t xml:space="preserve">istribution, </w:t>
      </w:r>
      <w:r w:rsidRPr="005E4FAB">
        <w:rPr>
          <w:rFonts w:cs="Times New Roman"/>
          <w:noProof/>
        </w:rPr>
        <w:lastRenderedPageBreak/>
        <w:t xml:space="preserve">regulation, and function. </w:t>
      </w:r>
      <w:r w:rsidRPr="005E4FAB">
        <w:rPr>
          <w:rFonts w:cs="Times New Roman"/>
          <w:i/>
          <w:iCs/>
          <w:noProof/>
        </w:rPr>
        <w:t>Antioxid</w:t>
      </w:r>
      <w:r w:rsidR="00840B1B" w:rsidRPr="005E4FAB">
        <w:rPr>
          <w:rFonts w:cs="Times New Roman"/>
          <w:i/>
          <w:iCs/>
          <w:noProof/>
        </w:rPr>
        <w:t>ants &amp;</w:t>
      </w:r>
      <w:r w:rsidRPr="005E4FAB">
        <w:rPr>
          <w:rFonts w:cs="Times New Roman"/>
          <w:i/>
          <w:iCs/>
          <w:noProof/>
        </w:rPr>
        <w:t xml:space="preserve"> Redox Signal</w:t>
      </w:r>
      <w:r w:rsidR="00840B1B" w:rsidRPr="005E4FAB">
        <w:rPr>
          <w:rFonts w:cs="Times New Roman"/>
          <w:i/>
          <w:iCs/>
          <w:noProof/>
        </w:rPr>
        <w:t>ing.</w:t>
      </w:r>
      <w:r w:rsidRPr="005E4FAB">
        <w:rPr>
          <w:rFonts w:cs="Times New Roman"/>
          <w:noProof/>
        </w:rPr>
        <w:t xml:space="preserve"> </w:t>
      </w:r>
      <w:r w:rsidRPr="005E4FAB">
        <w:rPr>
          <w:rFonts w:cs="Times New Roman"/>
          <w:b/>
          <w:bCs/>
          <w:noProof/>
        </w:rPr>
        <w:t>8</w:t>
      </w:r>
      <w:r w:rsidR="00840B1B" w:rsidRPr="005E4FAB">
        <w:rPr>
          <w:rFonts w:cs="Times New Roman"/>
          <w:b/>
          <w:bCs/>
          <w:noProof/>
        </w:rPr>
        <w:t xml:space="preserve"> </w:t>
      </w:r>
      <w:r w:rsidR="00840B1B" w:rsidRPr="005E4FAB">
        <w:rPr>
          <w:rFonts w:cs="Times New Roman"/>
          <w:noProof/>
        </w:rPr>
        <w:t>(9-10)</w:t>
      </w:r>
      <w:r w:rsidRPr="005E4FAB">
        <w:rPr>
          <w:rFonts w:cs="Times New Roman"/>
          <w:noProof/>
        </w:rPr>
        <w:t>, 1583–1596 (2006).</w:t>
      </w:r>
    </w:p>
    <w:p w14:paraId="1B627613" w14:textId="49DBF39A" w:rsidR="00191A79" w:rsidRPr="005E4FAB" w:rsidRDefault="00191A79" w:rsidP="00376F01">
      <w:pPr>
        <w:autoSpaceDE w:val="0"/>
        <w:autoSpaceDN w:val="0"/>
        <w:adjustRightInd w:val="0"/>
        <w:rPr>
          <w:rFonts w:cs="Times New Roman"/>
          <w:noProof/>
        </w:rPr>
      </w:pPr>
      <w:r w:rsidRPr="005E4FAB">
        <w:rPr>
          <w:rFonts w:cs="Times New Roman"/>
          <w:noProof/>
        </w:rPr>
        <w:t>6.</w:t>
      </w:r>
      <w:r w:rsidRPr="005E4FAB">
        <w:rPr>
          <w:rFonts w:cs="Times New Roman"/>
          <w:noProof/>
        </w:rPr>
        <w:tab/>
        <w:t>Coyoy, A., Olguin-Albuerne, M., Martinez-Briseno, P.</w:t>
      </w:r>
      <w:r w:rsidR="00D2672D">
        <w:rPr>
          <w:rFonts w:cs="Times New Roman"/>
          <w:noProof/>
        </w:rPr>
        <w:t>,</w:t>
      </w:r>
      <w:r w:rsidRPr="005E4FAB">
        <w:rPr>
          <w:rFonts w:cs="Times New Roman"/>
          <w:noProof/>
        </w:rPr>
        <w:t xml:space="preserve"> Moran, J. Role of reactive oxygen species and NADPH-oxidase in the development of rat cerebellum. </w:t>
      </w:r>
      <w:r w:rsidRPr="005E4FAB">
        <w:rPr>
          <w:rFonts w:cs="Times New Roman"/>
          <w:i/>
          <w:iCs/>
          <w:noProof/>
        </w:rPr>
        <w:t>Neurochem</w:t>
      </w:r>
      <w:r w:rsidR="00840B1B" w:rsidRPr="005E4FAB">
        <w:rPr>
          <w:rFonts w:cs="Times New Roman"/>
          <w:i/>
          <w:iCs/>
          <w:noProof/>
        </w:rPr>
        <w:t>istry</w:t>
      </w:r>
      <w:r w:rsidRPr="005E4FAB">
        <w:rPr>
          <w:rFonts w:cs="Times New Roman"/>
          <w:i/>
          <w:iCs/>
          <w:noProof/>
        </w:rPr>
        <w:t xml:space="preserve"> Int</w:t>
      </w:r>
      <w:r w:rsidR="00840B1B" w:rsidRPr="005E4FAB">
        <w:rPr>
          <w:rFonts w:cs="Times New Roman"/>
          <w:i/>
          <w:iCs/>
          <w:noProof/>
        </w:rPr>
        <w:t>ernational.</w:t>
      </w:r>
      <w:r w:rsidRPr="005E4FAB">
        <w:rPr>
          <w:rFonts w:cs="Times New Roman"/>
          <w:noProof/>
        </w:rPr>
        <w:t xml:space="preserve"> </w:t>
      </w:r>
      <w:r w:rsidRPr="005E4FAB">
        <w:rPr>
          <w:rFonts w:cs="Times New Roman"/>
          <w:b/>
          <w:bCs/>
          <w:noProof/>
        </w:rPr>
        <w:t>62</w:t>
      </w:r>
      <w:r w:rsidR="00840B1B" w:rsidRPr="005E4FAB">
        <w:rPr>
          <w:rFonts w:cs="Times New Roman"/>
          <w:b/>
          <w:bCs/>
          <w:noProof/>
        </w:rPr>
        <w:t xml:space="preserve"> </w:t>
      </w:r>
      <w:r w:rsidR="00840B1B" w:rsidRPr="005E4FAB">
        <w:rPr>
          <w:rFonts w:cs="Times New Roman"/>
          <w:noProof/>
        </w:rPr>
        <w:t>(7)</w:t>
      </w:r>
      <w:r w:rsidRPr="005E4FAB">
        <w:rPr>
          <w:rFonts w:cs="Times New Roman"/>
          <w:noProof/>
        </w:rPr>
        <w:t>, 998–1011 (2013).</w:t>
      </w:r>
    </w:p>
    <w:p w14:paraId="2B5876F8" w14:textId="065C833D" w:rsidR="00191A79" w:rsidRPr="005E4FAB" w:rsidRDefault="00191A79" w:rsidP="00376F01">
      <w:pPr>
        <w:autoSpaceDE w:val="0"/>
        <w:autoSpaceDN w:val="0"/>
        <w:adjustRightInd w:val="0"/>
        <w:rPr>
          <w:rFonts w:cs="Times New Roman"/>
          <w:noProof/>
        </w:rPr>
      </w:pPr>
      <w:r w:rsidRPr="005E4FAB">
        <w:rPr>
          <w:rFonts w:cs="Times New Roman"/>
          <w:noProof/>
        </w:rPr>
        <w:t>7.</w:t>
      </w:r>
      <w:r w:rsidRPr="005E4FAB">
        <w:rPr>
          <w:rFonts w:cs="Times New Roman"/>
          <w:noProof/>
        </w:rPr>
        <w:tab/>
        <w:t xml:space="preserve">Le Belle, J. E. </w:t>
      </w:r>
      <w:r w:rsidRPr="00D2672D">
        <w:rPr>
          <w:rFonts w:cs="Times New Roman"/>
          <w:noProof/>
        </w:rPr>
        <w:t xml:space="preserve">et al. </w:t>
      </w:r>
      <w:r w:rsidRPr="005E4FAB">
        <w:rPr>
          <w:rFonts w:cs="Times New Roman"/>
          <w:noProof/>
        </w:rPr>
        <w:t xml:space="preserve">Proliferative neural stem cells have high endogenous ROS levels that regulate self-renewal and neurogenesis in a PI3K/Akt-dependant manner. </w:t>
      </w:r>
      <w:r w:rsidRPr="005E4FAB">
        <w:rPr>
          <w:rFonts w:cs="Times New Roman"/>
          <w:i/>
          <w:iCs/>
          <w:noProof/>
        </w:rPr>
        <w:t>Cell Stem Cell</w:t>
      </w:r>
      <w:r w:rsidR="001B0E20" w:rsidRPr="005E4FAB">
        <w:rPr>
          <w:rFonts w:cs="Times New Roman"/>
          <w:i/>
          <w:iCs/>
          <w:noProof/>
        </w:rPr>
        <w:t>.</w:t>
      </w:r>
      <w:r w:rsidRPr="005E4FAB">
        <w:rPr>
          <w:rFonts w:cs="Times New Roman"/>
          <w:noProof/>
        </w:rPr>
        <w:t xml:space="preserve"> </w:t>
      </w:r>
      <w:r w:rsidRPr="005E4FAB">
        <w:rPr>
          <w:rFonts w:cs="Times New Roman"/>
          <w:b/>
          <w:bCs/>
          <w:noProof/>
        </w:rPr>
        <w:t>8</w:t>
      </w:r>
      <w:r w:rsidR="00840B1B" w:rsidRPr="005E4FAB">
        <w:rPr>
          <w:rFonts w:cs="Times New Roman"/>
          <w:b/>
          <w:bCs/>
          <w:noProof/>
        </w:rPr>
        <w:t xml:space="preserve"> </w:t>
      </w:r>
      <w:r w:rsidR="00840B1B" w:rsidRPr="005E4FAB">
        <w:rPr>
          <w:rFonts w:cs="Times New Roman"/>
          <w:noProof/>
        </w:rPr>
        <w:t>(1)</w:t>
      </w:r>
      <w:r w:rsidRPr="005E4FAB">
        <w:rPr>
          <w:rFonts w:cs="Times New Roman"/>
          <w:noProof/>
        </w:rPr>
        <w:t>, 59–71 (2011).</w:t>
      </w:r>
    </w:p>
    <w:p w14:paraId="7BD8C72E" w14:textId="49B10A7C" w:rsidR="00191A79" w:rsidRPr="005E4FAB" w:rsidRDefault="00191A79" w:rsidP="00376F01">
      <w:pPr>
        <w:autoSpaceDE w:val="0"/>
        <w:autoSpaceDN w:val="0"/>
        <w:adjustRightInd w:val="0"/>
        <w:rPr>
          <w:rFonts w:cs="Times New Roman"/>
          <w:noProof/>
        </w:rPr>
      </w:pPr>
      <w:r w:rsidRPr="005E4FAB">
        <w:rPr>
          <w:rFonts w:cs="Times New Roman"/>
          <w:noProof/>
        </w:rPr>
        <w:t>8.</w:t>
      </w:r>
      <w:r w:rsidRPr="005E4FAB">
        <w:rPr>
          <w:rFonts w:cs="Times New Roman"/>
          <w:noProof/>
        </w:rPr>
        <w:tab/>
        <w:t xml:space="preserve">Nayernia, Z. </w:t>
      </w:r>
      <w:r w:rsidRPr="00D2672D">
        <w:rPr>
          <w:rFonts w:cs="Times New Roman"/>
          <w:noProof/>
        </w:rPr>
        <w:t>et al.</w:t>
      </w:r>
      <w:r w:rsidRPr="005E4FAB">
        <w:rPr>
          <w:rFonts w:cs="Times New Roman"/>
          <w:noProof/>
        </w:rPr>
        <w:t xml:space="preserve"> Decreased neural precursor cell pool in NADPH oxidase 2-deficiency: from mouse brain to neural differentiation of patient derived iPSC. </w:t>
      </w:r>
      <w:r w:rsidRPr="005E4FAB">
        <w:rPr>
          <w:rFonts w:cs="Times New Roman"/>
          <w:i/>
          <w:iCs/>
          <w:noProof/>
        </w:rPr>
        <w:t>Redox Biol</w:t>
      </w:r>
      <w:r w:rsidR="00840B1B" w:rsidRPr="005E4FAB">
        <w:rPr>
          <w:rFonts w:cs="Times New Roman"/>
          <w:i/>
          <w:iCs/>
          <w:noProof/>
        </w:rPr>
        <w:t>ogy</w:t>
      </w:r>
      <w:r w:rsidRPr="005E4FAB">
        <w:rPr>
          <w:rFonts w:cs="Times New Roman"/>
          <w:i/>
          <w:iCs/>
          <w:noProof/>
        </w:rPr>
        <w:t>.</w:t>
      </w:r>
      <w:r w:rsidRPr="005E4FAB">
        <w:rPr>
          <w:rFonts w:cs="Times New Roman"/>
          <w:noProof/>
        </w:rPr>
        <w:t xml:space="preserve"> </w:t>
      </w:r>
      <w:r w:rsidRPr="005E4FAB">
        <w:rPr>
          <w:rFonts w:cs="Times New Roman"/>
          <w:b/>
          <w:bCs/>
          <w:noProof/>
        </w:rPr>
        <w:t>13</w:t>
      </w:r>
      <w:r w:rsidRPr="005E4FAB">
        <w:rPr>
          <w:rFonts w:cs="Times New Roman"/>
          <w:noProof/>
        </w:rPr>
        <w:t>, 82–93 (2017).</w:t>
      </w:r>
    </w:p>
    <w:p w14:paraId="465E2DAA" w14:textId="4DB0A562" w:rsidR="00191A79" w:rsidRPr="005E4FAB" w:rsidRDefault="00191A79" w:rsidP="00376F01">
      <w:pPr>
        <w:autoSpaceDE w:val="0"/>
        <w:autoSpaceDN w:val="0"/>
        <w:adjustRightInd w:val="0"/>
        <w:rPr>
          <w:rFonts w:cs="Times New Roman"/>
          <w:noProof/>
        </w:rPr>
      </w:pPr>
      <w:r w:rsidRPr="005E4FAB">
        <w:rPr>
          <w:rFonts w:cs="Times New Roman"/>
          <w:noProof/>
        </w:rPr>
        <w:t>9.</w:t>
      </w:r>
      <w:r w:rsidRPr="005E4FAB">
        <w:rPr>
          <w:rFonts w:cs="Times New Roman"/>
          <w:noProof/>
        </w:rPr>
        <w:tab/>
        <w:t>Wilson, C., Nunez, M. T.</w:t>
      </w:r>
      <w:r w:rsidR="00D2672D">
        <w:rPr>
          <w:rFonts w:cs="Times New Roman"/>
          <w:noProof/>
        </w:rPr>
        <w:t>,</w:t>
      </w:r>
      <w:r w:rsidRPr="005E4FAB">
        <w:rPr>
          <w:rFonts w:cs="Times New Roman"/>
          <w:noProof/>
        </w:rPr>
        <w:t xml:space="preserve"> González-Billault, C. Contribution of NADPH oxidase to the establishment of hippocampal neuronal polarity in culture. </w:t>
      </w:r>
      <w:r w:rsidRPr="005E4FAB">
        <w:rPr>
          <w:rFonts w:cs="Times New Roman"/>
          <w:i/>
          <w:iCs/>
          <w:noProof/>
        </w:rPr>
        <w:t>J</w:t>
      </w:r>
      <w:r w:rsidR="00840B1B" w:rsidRPr="005E4FAB">
        <w:rPr>
          <w:rFonts w:cs="Times New Roman"/>
          <w:i/>
          <w:iCs/>
          <w:noProof/>
        </w:rPr>
        <w:t>ournal of</w:t>
      </w:r>
      <w:r w:rsidRPr="005E4FAB">
        <w:rPr>
          <w:rFonts w:cs="Times New Roman"/>
          <w:i/>
          <w:iCs/>
          <w:noProof/>
        </w:rPr>
        <w:t xml:space="preserve"> Cell Sci</w:t>
      </w:r>
      <w:r w:rsidR="00840B1B" w:rsidRPr="005E4FAB">
        <w:rPr>
          <w:rFonts w:cs="Times New Roman"/>
          <w:i/>
          <w:iCs/>
          <w:noProof/>
        </w:rPr>
        <w:t>ence</w:t>
      </w:r>
      <w:r w:rsidRPr="005E4FAB">
        <w:rPr>
          <w:rFonts w:cs="Times New Roman"/>
          <w:i/>
          <w:iCs/>
          <w:noProof/>
        </w:rPr>
        <w:t>.</w:t>
      </w:r>
      <w:r w:rsidRPr="005E4FAB">
        <w:rPr>
          <w:rFonts w:cs="Times New Roman"/>
          <w:noProof/>
        </w:rPr>
        <w:t xml:space="preserve"> </w:t>
      </w:r>
      <w:r w:rsidRPr="005E4FAB">
        <w:rPr>
          <w:rFonts w:cs="Times New Roman"/>
          <w:b/>
          <w:bCs/>
          <w:noProof/>
        </w:rPr>
        <w:t>128</w:t>
      </w:r>
      <w:r w:rsidR="00840B1B" w:rsidRPr="005E4FAB">
        <w:rPr>
          <w:rFonts w:cs="Times New Roman"/>
          <w:b/>
          <w:bCs/>
          <w:noProof/>
        </w:rPr>
        <w:t xml:space="preserve"> </w:t>
      </w:r>
      <w:r w:rsidR="00840B1B" w:rsidRPr="005E4FAB">
        <w:rPr>
          <w:rFonts w:cs="Times New Roman"/>
          <w:noProof/>
        </w:rPr>
        <w:t>(16)</w:t>
      </w:r>
      <w:r w:rsidRPr="005E4FAB">
        <w:rPr>
          <w:rFonts w:cs="Times New Roman"/>
          <w:noProof/>
        </w:rPr>
        <w:t>, 2989–2995 (2015).</w:t>
      </w:r>
    </w:p>
    <w:p w14:paraId="260AB9A3" w14:textId="4800C424" w:rsidR="00191A79" w:rsidRPr="005E4FAB" w:rsidRDefault="00191A79" w:rsidP="00376F01">
      <w:pPr>
        <w:autoSpaceDE w:val="0"/>
        <w:autoSpaceDN w:val="0"/>
        <w:adjustRightInd w:val="0"/>
        <w:rPr>
          <w:rFonts w:cs="Times New Roman"/>
          <w:noProof/>
        </w:rPr>
      </w:pPr>
      <w:r w:rsidRPr="005E4FAB">
        <w:rPr>
          <w:rFonts w:cs="Times New Roman"/>
          <w:noProof/>
        </w:rPr>
        <w:t>10.</w:t>
      </w:r>
      <w:r w:rsidRPr="005E4FAB">
        <w:rPr>
          <w:rFonts w:cs="Times New Roman"/>
          <w:noProof/>
        </w:rPr>
        <w:tab/>
        <w:t xml:space="preserve">Munnamalai, V. </w:t>
      </w:r>
      <w:r w:rsidRPr="00D2672D">
        <w:rPr>
          <w:rFonts w:cs="Times New Roman"/>
          <w:noProof/>
        </w:rPr>
        <w:t>et al.</w:t>
      </w:r>
      <w:r w:rsidRPr="005E4FAB">
        <w:rPr>
          <w:rFonts w:cs="Times New Roman"/>
          <w:noProof/>
        </w:rPr>
        <w:t xml:space="preserve"> Bidirectional interactions between Nox2-type NADPH oxidase and the F-actin cytoskeleton in neuronal growth cones. </w:t>
      </w:r>
      <w:r w:rsidRPr="005E4FAB">
        <w:rPr>
          <w:rFonts w:cs="Times New Roman"/>
          <w:i/>
          <w:iCs/>
          <w:noProof/>
        </w:rPr>
        <w:t>J</w:t>
      </w:r>
      <w:r w:rsidR="00840B1B" w:rsidRPr="005E4FAB">
        <w:rPr>
          <w:rFonts w:cs="Times New Roman"/>
          <w:i/>
          <w:iCs/>
          <w:noProof/>
        </w:rPr>
        <w:t>ournal of</w:t>
      </w:r>
      <w:r w:rsidRPr="005E4FAB">
        <w:rPr>
          <w:rFonts w:cs="Times New Roman"/>
          <w:i/>
          <w:iCs/>
          <w:noProof/>
        </w:rPr>
        <w:t xml:space="preserve"> Neurochem</w:t>
      </w:r>
      <w:r w:rsidR="00840B1B" w:rsidRPr="005E4FAB">
        <w:rPr>
          <w:rFonts w:cs="Times New Roman"/>
          <w:i/>
          <w:iCs/>
          <w:noProof/>
        </w:rPr>
        <w:t>istry</w:t>
      </w:r>
      <w:r w:rsidRPr="005E4FAB">
        <w:rPr>
          <w:rFonts w:cs="Times New Roman"/>
          <w:i/>
          <w:iCs/>
          <w:noProof/>
        </w:rPr>
        <w:t>.</w:t>
      </w:r>
      <w:r w:rsidRPr="005E4FAB">
        <w:rPr>
          <w:rFonts w:cs="Times New Roman"/>
          <w:noProof/>
        </w:rPr>
        <w:t xml:space="preserve"> </w:t>
      </w:r>
      <w:r w:rsidRPr="005E4FAB">
        <w:rPr>
          <w:rFonts w:cs="Times New Roman"/>
          <w:b/>
          <w:bCs/>
          <w:noProof/>
        </w:rPr>
        <w:t>130</w:t>
      </w:r>
      <w:r w:rsidR="00840B1B" w:rsidRPr="005E4FAB">
        <w:rPr>
          <w:rFonts w:cs="Times New Roman"/>
          <w:b/>
          <w:bCs/>
          <w:noProof/>
        </w:rPr>
        <w:t xml:space="preserve"> </w:t>
      </w:r>
      <w:r w:rsidR="00840B1B" w:rsidRPr="005E4FAB">
        <w:rPr>
          <w:rFonts w:cs="Times New Roman"/>
          <w:noProof/>
        </w:rPr>
        <w:t>(4)</w:t>
      </w:r>
      <w:r w:rsidRPr="005E4FAB">
        <w:rPr>
          <w:rFonts w:cs="Times New Roman"/>
          <w:noProof/>
        </w:rPr>
        <w:t>, 526–540 (2014).</w:t>
      </w:r>
    </w:p>
    <w:p w14:paraId="048064C1" w14:textId="30FA1333" w:rsidR="00191A79" w:rsidRPr="005E4FAB" w:rsidRDefault="00191A79" w:rsidP="00376F01">
      <w:pPr>
        <w:autoSpaceDE w:val="0"/>
        <w:autoSpaceDN w:val="0"/>
        <w:adjustRightInd w:val="0"/>
        <w:rPr>
          <w:rFonts w:cs="Times New Roman"/>
          <w:noProof/>
        </w:rPr>
      </w:pPr>
      <w:r w:rsidRPr="005E4FAB">
        <w:rPr>
          <w:rFonts w:cs="Times New Roman"/>
          <w:noProof/>
        </w:rPr>
        <w:t>11.</w:t>
      </w:r>
      <w:r w:rsidRPr="005E4FAB">
        <w:rPr>
          <w:rFonts w:cs="Times New Roman"/>
          <w:noProof/>
        </w:rPr>
        <w:tab/>
        <w:t xml:space="preserve">Kishida, K. T. </w:t>
      </w:r>
      <w:r w:rsidRPr="00D2672D">
        <w:rPr>
          <w:rFonts w:cs="Times New Roman"/>
          <w:noProof/>
        </w:rPr>
        <w:t>et al.</w:t>
      </w:r>
      <w:r w:rsidRPr="005E4FAB">
        <w:rPr>
          <w:rFonts w:cs="Times New Roman"/>
          <w:noProof/>
        </w:rPr>
        <w:t xml:space="preserve"> Synaptic plasticity deficits and mild memory impairments in mouse models of chronic granulomatous disease. </w:t>
      </w:r>
      <w:r w:rsidRPr="005E4FAB">
        <w:rPr>
          <w:rFonts w:cs="Times New Roman"/>
          <w:i/>
          <w:iCs/>
          <w:noProof/>
        </w:rPr>
        <w:t>Mol</w:t>
      </w:r>
      <w:r w:rsidR="00840B1B" w:rsidRPr="005E4FAB">
        <w:rPr>
          <w:rFonts w:cs="Times New Roman"/>
          <w:i/>
          <w:iCs/>
          <w:noProof/>
        </w:rPr>
        <w:t>ecular and</w:t>
      </w:r>
      <w:r w:rsidRPr="005E4FAB">
        <w:rPr>
          <w:rFonts w:cs="Times New Roman"/>
          <w:i/>
          <w:iCs/>
          <w:noProof/>
        </w:rPr>
        <w:t xml:space="preserve"> Cel</w:t>
      </w:r>
      <w:r w:rsidR="00840B1B" w:rsidRPr="005E4FAB">
        <w:rPr>
          <w:rFonts w:cs="Times New Roman"/>
          <w:i/>
          <w:iCs/>
          <w:noProof/>
        </w:rPr>
        <w:t>lular</w:t>
      </w:r>
      <w:r w:rsidRPr="005E4FAB">
        <w:rPr>
          <w:rFonts w:cs="Times New Roman"/>
          <w:i/>
          <w:iCs/>
          <w:noProof/>
        </w:rPr>
        <w:t xml:space="preserve"> Biol</w:t>
      </w:r>
      <w:r w:rsidR="00840B1B" w:rsidRPr="005E4FAB">
        <w:rPr>
          <w:rFonts w:cs="Times New Roman"/>
          <w:i/>
          <w:iCs/>
          <w:noProof/>
        </w:rPr>
        <w:t>ogy</w:t>
      </w:r>
      <w:r w:rsidRPr="005E4FAB">
        <w:rPr>
          <w:rFonts w:cs="Times New Roman"/>
          <w:i/>
          <w:iCs/>
          <w:noProof/>
        </w:rPr>
        <w:t>.</w:t>
      </w:r>
      <w:r w:rsidRPr="005E4FAB">
        <w:rPr>
          <w:rFonts w:cs="Times New Roman"/>
          <w:noProof/>
        </w:rPr>
        <w:t xml:space="preserve"> </w:t>
      </w:r>
      <w:r w:rsidRPr="005E4FAB">
        <w:rPr>
          <w:rFonts w:cs="Times New Roman"/>
          <w:b/>
          <w:bCs/>
          <w:noProof/>
        </w:rPr>
        <w:t>26</w:t>
      </w:r>
      <w:r w:rsidR="00DC194E" w:rsidRPr="005E4FAB">
        <w:rPr>
          <w:rFonts w:cs="Times New Roman"/>
          <w:b/>
          <w:bCs/>
          <w:noProof/>
        </w:rPr>
        <w:t xml:space="preserve"> </w:t>
      </w:r>
      <w:r w:rsidR="00DC194E" w:rsidRPr="005E4FAB">
        <w:rPr>
          <w:rFonts w:cs="Times New Roman"/>
          <w:noProof/>
        </w:rPr>
        <w:t>(15)</w:t>
      </w:r>
      <w:r w:rsidRPr="005E4FAB">
        <w:rPr>
          <w:rFonts w:cs="Times New Roman"/>
          <w:noProof/>
        </w:rPr>
        <w:t>, 5908–5920 (2006).</w:t>
      </w:r>
    </w:p>
    <w:p w14:paraId="4CA5FEFA" w14:textId="04BF4959" w:rsidR="00191A79" w:rsidRPr="005E4FAB" w:rsidRDefault="00191A79" w:rsidP="00376F01">
      <w:pPr>
        <w:autoSpaceDE w:val="0"/>
        <w:autoSpaceDN w:val="0"/>
        <w:adjustRightInd w:val="0"/>
        <w:rPr>
          <w:rFonts w:cs="Times New Roman"/>
          <w:noProof/>
        </w:rPr>
      </w:pPr>
      <w:r w:rsidRPr="005E4FAB">
        <w:rPr>
          <w:rFonts w:cs="Times New Roman"/>
          <w:noProof/>
        </w:rPr>
        <w:t>12.</w:t>
      </w:r>
      <w:r w:rsidRPr="005E4FAB">
        <w:rPr>
          <w:rFonts w:cs="Times New Roman"/>
          <w:noProof/>
        </w:rPr>
        <w:tab/>
        <w:t xml:space="preserve">Ravelli, K. G. </w:t>
      </w:r>
      <w:r w:rsidRPr="00D2672D">
        <w:rPr>
          <w:rFonts w:cs="Times New Roman"/>
          <w:noProof/>
        </w:rPr>
        <w:t>et al.</w:t>
      </w:r>
      <w:r w:rsidRPr="005E4FAB">
        <w:rPr>
          <w:rFonts w:cs="Times New Roman"/>
          <w:noProof/>
        </w:rPr>
        <w:t xml:space="preserve"> Nox2-dependent neuroinflammation in an EAE model of multiple sclerosis. </w:t>
      </w:r>
      <w:r w:rsidRPr="005E4FAB">
        <w:rPr>
          <w:rFonts w:cs="Times New Roman"/>
          <w:i/>
          <w:iCs/>
          <w:noProof/>
        </w:rPr>
        <w:t>Transl</w:t>
      </w:r>
      <w:r w:rsidR="00DC194E" w:rsidRPr="005E4FAB">
        <w:rPr>
          <w:rFonts w:cs="Times New Roman"/>
          <w:i/>
          <w:iCs/>
          <w:noProof/>
        </w:rPr>
        <w:t>ational</w:t>
      </w:r>
      <w:r w:rsidRPr="005E4FAB">
        <w:rPr>
          <w:rFonts w:cs="Times New Roman"/>
          <w:i/>
          <w:iCs/>
          <w:noProof/>
        </w:rPr>
        <w:t xml:space="preserve"> Neurosci</w:t>
      </w:r>
      <w:r w:rsidR="00DC194E" w:rsidRPr="005E4FAB">
        <w:rPr>
          <w:rFonts w:cs="Times New Roman"/>
          <w:i/>
          <w:iCs/>
          <w:noProof/>
        </w:rPr>
        <w:t>ence</w:t>
      </w:r>
      <w:r w:rsidRPr="005E4FAB">
        <w:rPr>
          <w:rFonts w:cs="Times New Roman"/>
          <w:i/>
          <w:iCs/>
          <w:noProof/>
        </w:rPr>
        <w:t>.</w:t>
      </w:r>
      <w:r w:rsidRPr="005E4FAB">
        <w:rPr>
          <w:rFonts w:cs="Times New Roman"/>
          <w:noProof/>
        </w:rPr>
        <w:t xml:space="preserve"> </w:t>
      </w:r>
      <w:r w:rsidRPr="005E4FAB">
        <w:rPr>
          <w:rFonts w:cs="Times New Roman"/>
          <w:b/>
          <w:bCs/>
          <w:noProof/>
        </w:rPr>
        <w:t>10</w:t>
      </w:r>
      <w:r w:rsidR="00DC194E" w:rsidRPr="005E4FAB">
        <w:rPr>
          <w:rFonts w:cs="Times New Roman"/>
          <w:b/>
          <w:bCs/>
          <w:noProof/>
        </w:rPr>
        <w:t xml:space="preserve"> </w:t>
      </w:r>
      <w:r w:rsidR="00DC194E" w:rsidRPr="005E4FAB">
        <w:rPr>
          <w:rFonts w:cs="Times New Roman"/>
          <w:noProof/>
        </w:rPr>
        <w:t>(1)</w:t>
      </w:r>
      <w:r w:rsidRPr="005E4FAB">
        <w:rPr>
          <w:rFonts w:cs="Times New Roman"/>
          <w:noProof/>
        </w:rPr>
        <w:t>, 1–9 (2019).</w:t>
      </w:r>
    </w:p>
    <w:p w14:paraId="1733A5DF" w14:textId="6588CDEB" w:rsidR="00191A79" w:rsidRPr="005E4FAB" w:rsidRDefault="00191A79" w:rsidP="00376F01">
      <w:pPr>
        <w:autoSpaceDE w:val="0"/>
        <w:autoSpaceDN w:val="0"/>
        <w:adjustRightInd w:val="0"/>
        <w:rPr>
          <w:rFonts w:cs="Times New Roman"/>
          <w:noProof/>
        </w:rPr>
      </w:pPr>
      <w:r w:rsidRPr="005E4FAB">
        <w:rPr>
          <w:rFonts w:cs="Times New Roman"/>
          <w:noProof/>
        </w:rPr>
        <w:t>13.</w:t>
      </w:r>
      <w:r w:rsidRPr="005E4FAB">
        <w:rPr>
          <w:rFonts w:cs="Times New Roman"/>
          <w:noProof/>
        </w:rPr>
        <w:tab/>
        <w:t xml:space="preserve">Park, L. </w:t>
      </w:r>
      <w:r w:rsidRPr="00D2672D">
        <w:rPr>
          <w:rFonts w:cs="Times New Roman"/>
          <w:noProof/>
        </w:rPr>
        <w:t>et al.</w:t>
      </w:r>
      <w:r w:rsidRPr="005E4FAB">
        <w:rPr>
          <w:rFonts w:cs="Times New Roman"/>
          <w:noProof/>
        </w:rPr>
        <w:t xml:space="preserve"> Nox2-derived radicals contribute to neurovascular and behavioral dysfunction in mice overexpressing the amyloid precursor protein. </w:t>
      </w:r>
      <w:r w:rsidRPr="005E4FAB">
        <w:rPr>
          <w:rFonts w:cs="Times New Roman"/>
          <w:i/>
          <w:iCs/>
          <w:noProof/>
        </w:rPr>
        <w:t>P</w:t>
      </w:r>
      <w:r w:rsidR="00D2672D">
        <w:rPr>
          <w:rFonts w:cs="Times New Roman"/>
          <w:i/>
          <w:iCs/>
          <w:noProof/>
        </w:rPr>
        <w:t xml:space="preserve">roceedings of the </w:t>
      </w:r>
      <w:r w:rsidRPr="005E4FAB">
        <w:rPr>
          <w:rFonts w:cs="Times New Roman"/>
          <w:i/>
          <w:iCs/>
          <w:noProof/>
        </w:rPr>
        <w:t>N</w:t>
      </w:r>
      <w:r w:rsidR="00D2672D">
        <w:rPr>
          <w:rFonts w:cs="Times New Roman"/>
          <w:i/>
          <w:iCs/>
          <w:noProof/>
        </w:rPr>
        <w:t xml:space="preserve">ational </w:t>
      </w:r>
      <w:r w:rsidRPr="005E4FAB">
        <w:rPr>
          <w:rFonts w:cs="Times New Roman"/>
          <w:i/>
          <w:iCs/>
          <w:noProof/>
        </w:rPr>
        <w:t>A</w:t>
      </w:r>
      <w:r w:rsidR="00D2672D">
        <w:rPr>
          <w:rFonts w:cs="Times New Roman"/>
          <w:i/>
          <w:iCs/>
          <w:noProof/>
        </w:rPr>
        <w:t xml:space="preserve">cademy of </w:t>
      </w:r>
      <w:r w:rsidRPr="005E4FAB">
        <w:rPr>
          <w:rFonts w:cs="Times New Roman"/>
          <w:i/>
          <w:iCs/>
          <w:noProof/>
        </w:rPr>
        <w:t>S</w:t>
      </w:r>
      <w:r w:rsidR="00D2672D">
        <w:rPr>
          <w:rFonts w:cs="Times New Roman"/>
          <w:i/>
          <w:iCs/>
          <w:noProof/>
        </w:rPr>
        <w:t>ciences</w:t>
      </w:r>
      <w:r w:rsidR="00DC194E" w:rsidRPr="005E4FAB">
        <w:rPr>
          <w:rFonts w:cs="Times New Roman"/>
          <w:i/>
          <w:iCs/>
          <w:noProof/>
        </w:rPr>
        <w:t>.</w:t>
      </w:r>
      <w:r w:rsidRPr="005E4FAB">
        <w:rPr>
          <w:rFonts w:cs="Times New Roman"/>
          <w:noProof/>
        </w:rPr>
        <w:t xml:space="preserve"> </w:t>
      </w:r>
      <w:r w:rsidRPr="005E4FAB">
        <w:rPr>
          <w:rFonts w:cs="Times New Roman"/>
          <w:b/>
          <w:bCs/>
          <w:noProof/>
        </w:rPr>
        <w:t>105</w:t>
      </w:r>
      <w:r w:rsidR="00DC194E" w:rsidRPr="005E4FAB">
        <w:rPr>
          <w:rFonts w:cs="Times New Roman"/>
          <w:b/>
          <w:bCs/>
          <w:noProof/>
        </w:rPr>
        <w:t xml:space="preserve"> </w:t>
      </w:r>
      <w:r w:rsidR="00DC194E" w:rsidRPr="005E4FAB">
        <w:rPr>
          <w:rFonts w:cs="Times New Roman"/>
          <w:noProof/>
        </w:rPr>
        <w:t>(4)</w:t>
      </w:r>
      <w:r w:rsidRPr="005E4FAB">
        <w:rPr>
          <w:rFonts w:cs="Times New Roman"/>
          <w:noProof/>
        </w:rPr>
        <w:t>, 1347–1352 (2008).</w:t>
      </w:r>
    </w:p>
    <w:p w14:paraId="336F28D0" w14:textId="25FA2199" w:rsidR="00191A79" w:rsidRPr="005E4FAB" w:rsidRDefault="00191A79" w:rsidP="00376F01">
      <w:pPr>
        <w:autoSpaceDE w:val="0"/>
        <w:autoSpaceDN w:val="0"/>
        <w:adjustRightInd w:val="0"/>
        <w:rPr>
          <w:rFonts w:cs="Times New Roman"/>
          <w:noProof/>
        </w:rPr>
      </w:pPr>
      <w:r w:rsidRPr="005E4FAB">
        <w:rPr>
          <w:rFonts w:cs="Times New Roman"/>
          <w:noProof/>
        </w:rPr>
        <w:t>14.</w:t>
      </w:r>
      <w:r w:rsidRPr="005E4FAB">
        <w:rPr>
          <w:rFonts w:cs="Times New Roman"/>
          <w:noProof/>
        </w:rPr>
        <w:tab/>
        <w:t>Schiavone, S., Neri, M., Trabace, L.</w:t>
      </w:r>
      <w:r w:rsidR="00D2672D">
        <w:rPr>
          <w:rFonts w:cs="Times New Roman"/>
          <w:noProof/>
        </w:rPr>
        <w:t xml:space="preserve">, </w:t>
      </w:r>
      <w:r w:rsidRPr="005E4FAB">
        <w:rPr>
          <w:rFonts w:cs="Times New Roman"/>
          <w:noProof/>
        </w:rPr>
        <w:t xml:space="preserve">Turillazzi, E. The NADPH oxidase NOX2 mediates loss of parvalbumin interneurons in traumatic brain injury: </w:t>
      </w:r>
      <w:r w:rsidR="00D2672D">
        <w:rPr>
          <w:rFonts w:cs="Times New Roman"/>
          <w:noProof/>
        </w:rPr>
        <w:t>H</w:t>
      </w:r>
      <w:r w:rsidRPr="005E4FAB">
        <w:rPr>
          <w:rFonts w:cs="Times New Roman"/>
          <w:noProof/>
        </w:rPr>
        <w:t xml:space="preserve">uman autoptic immunohistochemical evidence. </w:t>
      </w:r>
      <w:r w:rsidRPr="005E4FAB">
        <w:rPr>
          <w:rFonts w:cs="Times New Roman"/>
          <w:i/>
          <w:iCs/>
          <w:noProof/>
        </w:rPr>
        <w:t>Sci</w:t>
      </w:r>
      <w:r w:rsidR="00DC194E" w:rsidRPr="005E4FAB">
        <w:rPr>
          <w:rFonts w:cs="Times New Roman"/>
          <w:i/>
          <w:iCs/>
          <w:noProof/>
        </w:rPr>
        <w:t>entific</w:t>
      </w:r>
      <w:r w:rsidRPr="005E4FAB">
        <w:rPr>
          <w:rFonts w:cs="Times New Roman"/>
          <w:i/>
          <w:iCs/>
          <w:noProof/>
        </w:rPr>
        <w:t xml:space="preserve"> Rep</w:t>
      </w:r>
      <w:r w:rsidR="00DC194E" w:rsidRPr="005E4FAB">
        <w:rPr>
          <w:rFonts w:cs="Times New Roman"/>
          <w:i/>
          <w:iCs/>
          <w:noProof/>
        </w:rPr>
        <w:t>orts</w:t>
      </w:r>
      <w:r w:rsidRPr="005E4FAB">
        <w:rPr>
          <w:rFonts w:cs="Times New Roman"/>
          <w:i/>
          <w:iCs/>
          <w:noProof/>
        </w:rPr>
        <w:t>.</w:t>
      </w:r>
      <w:r w:rsidRPr="005E4FAB">
        <w:rPr>
          <w:rFonts w:cs="Times New Roman"/>
          <w:noProof/>
        </w:rPr>
        <w:t xml:space="preserve"> </w:t>
      </w:r>
      <w:r w:rsidRPr="005E4FAB">
        <w:rPr>
          <w:rFonts w:cs="Times New Roman"/>
          <w:b/>
          <w:bCs/>
          <w:noProof/>
        </w:rPr>
        <w:t>7</w:t>
      </w:r>
      <w:r w:rsidR="00DC194E" w:rsidRPr="005E4FAB">
        <w:rPr>
          <w:rFonts w:cs="Times New Roman"/>
          <w:b/>
          <w:bCs/>
          <w:noProof/>
        </w:rPr>
        <w:t xml:space="preserve"> </w:t>
      </w:r>
      <w:r w:rsidR="00DC194E" w:rsidRPr="005E4FAB">
        <w:rPr>
          <w:rFonts w:cs="Times New Roman"/>
          <w:noProof/>
        </w:rPr>
        <w:t>(1)</w:t>
      </w:r>
      <w:r w:rsidRPr="005E4FAB">
        <w:rPr>
          <w:rFonts w:cs="Times New Roman"/>
          <w:noProof/>
        </w:rPr>
        <w:t>, 8752 (2017).</w:t>
      </w:r>
    </w:p>
    <w:p w14:paraId="4A7D945F" w14:textId="18187A9B" w:rsidR="00191A79" w:rsidRPr="005E4FAB" w:rsidRDefault="00191A79" w:rsidP="00376F01">
      <w:pPr>
        <w:autoSpaceDE w:val="0"/>
        <w:autoSpaceDN w:val="0"/>
        <w:adjustRightInd w:val="0"/>
        <w:rPr>
          <w:rFonts w:cs="Times New Roman"/>
          <w:noProof/>
        </w:rPr>
      </w:pPr>
      <w:r w:rsidRPr="005E4FAB">
        <w:rPr>
          <w:rFonts w:cs="Times New Roman"/>
          <w:noProof/>
        </w:rPr>
        <w:t>15.</w:t>
      </w:r>
      <w:r w:rsidRPr="005E4FAB">
        <w:rPr>
          <w:rFonts w:cs="Times New Roman"/>
          <w:noProof/>
        </w:rPr>
        <w:tab/>
        <w:t xml:space="preserve">Gutscher, M. </w:t>
      </w:r>
      <w:r w:rsidRPr="00D2672D">
        <w:rPr>
          <w:rFonts w:cs="Times New Roman"/>
          <w:noProof/>
        </w:rPr>
        <w:t>et al.</w:t>
      </w:r>
      <w:r w:rsidRPr="005E4FAB">
        <w:rPr>
          <w:rFonts w:cs="Times New Roman"/>
          <w:noProof/>
        </w:rPr>
        <w:t xml:space="preserve"> Proximity-based protein thiol oxidation by H2O2-scavenging peroxidases. </w:t>
      </w:r>
      <w:r w:rsidRPr="005E4FAB">
        <w:rPr>
          <w:rFonts w:cs="Times New Roman"/>
          <w:i/>
          <w:iCs/>
          <w:noProof/>
        </w:rPr>
        <w:t>J</w:t>
      </w:r>
      <w:r w:rsidR="00DC194E" w:rsidRPr="005E4FAB">
        <w:rPr>
          <w:rFonts w:cs="Times New Roman"/>
          <w:i/>
          <w:iCs/>
          <w:noProof/>
        </w:rPr>
        <w:t>ournal of</w:t>
      </w:r>
      <w:r w:rsidRPr="005E4FAB">
        <w:rPr>
          <w:rFonts w:cs="Times New Roman"/>
          <w:i/>
          <w:iCs/>
          <w:noProof/>
        </w:rPr>
        <w:t xml:space="preserve"> Biol</w:t>
      </w:r>
      <w:r w:rsidR="00DC194E" w:rsidRPr="005E4FAB">
        <w:rPr>
          <w:rFonts w:cs="Times New Roman"/>
          <w:i/>
          <w:iCs/>
          <w:noProof/>
        </w:rPr>
        <w:t>ogical</w:t>
      </w:r>
      <w:r w:rsidRPr="005E4FAB">
        <w:rPr>
          <w:rFonts w:cs="Times New Roman"/>
          <w:i/>
          <w:iCs/>
          <w:noProof/>
        </w:rPr>
        <w:t xml:space="preserve"> Chem</w:t>
      </w:r>
      <w:r w:rsidR="00DC194E" w:rsidRPr="005E4FAB">
        <w:rPr>
          <w:rFonts w:cs="Times New Roman"/>
          <w:i/>
          <w:iCs/>
          <w:noProof/>
        </w:rPr>
        <w:t>istry</w:t>
      </w:r>
      <w:r w:rsidRPr="005E4FAB">
        <w:rPr>
          <w:rFonts w:cs="Times New Roman"/>
          <w:i/>
          <w:iCs/>
          <w:noProof/>
        </w:rPr>
        <w:t>.</w:t>
      </w:r>
      <w:r w:rsidRPr="005E4FAB">
        <w:rPr>
          <w:rFonts w:cs="Times New Roman"/>
          <w:noProof/>
        </w:rPr>
        <w:t xml:space="preserve"> </w:t>
      </w:r>
      <w:r w:rsidRPr="005E4FAB">
        <w:rPr>
          <w:rFonts w:cs="Times New Roman"/>
          <w:b/>
          <w:bCs/>
          <w:noProof/>
        </w:rPr>
        <w:t>284</w:t>
      </w:r>
      <w:r w:rsidR="00DC194E" w:rsidRPr="005E4FAB">
        <w:rPr>
          <w:rFonts w:cs="Times New Roman"/>
          <w:b/>
          <w:bCs/>
          <w:noProof/>
        </w:rPr>
        <w:t xml:space="preserve"> </w:t>
      </w:r>
      <w:r w:rsidR="00DC194E" w:rsidRPr="005E4FAB">
        <w:rPr>
          <w:rFonts w:cs="Times New Roman"/>
          <w:noProof/>
        </w:rPr>
        <w:t>(46)</w:t>
      </w:r>
      <w:r w:rsidRPr="005E4FAB">
        <w:rPr>
          <w:rFonts w:cs="Times New Roman"/>
          <w:noProof/>
        </w:rPr>
        <w:t>, 31532–31540 (2009).</w:t>
      </w:r>
    </w:p>
    <w:p w14:paraId="4EB1CE10" w14:textId="1EEBDBE5" w:rsidR="00191A79" w:rsidRPr="005E4FAB" w:rsidRDefault="00191A79" w:rsidP="00376F01">
      <w:pPr>
        <w:autoSpaceDE w:val="0"/>
        <w:autoSpaceDN w:val="0"/>
        <w:adjustRightInd w:val="0"/>
        <w:rPr>
          <w:rFonts w:cs="Times New Roman"/>
          <w:noProof/>
        </w:rPr>
      </w:pPr>
      <w:r w:rsidRPr="005E4FAB">
        <w:rPr>
          <w:rFonts w:cs="Times New Roman"/>
          <w:noProof/>
        </w:rPr>
        <w:t>16.</w:t>
      </w:r>
      <w:r w:rsidRPr="005E4FAB">
        <w:rPr>
          <w:rFonts w:cs="Times New Roman"/>
          <w:noProof/>
        </w:rPr>
        <w:tab/>
        <w:t>Bilan, D. S.</w:t>
      </w:r>
      <w:r w:rsidR="00D2672D">
        <w:rPr>
          <w:rFonts w:cs="Times New Roman"/>
          <w:noProof/>
        </w:rPr>
        <w:t>,</w:t>
      </w:r>
      <w:r w:rsidRPr="005E4FAB">
        <w:rPr>
          <w:rFonts w:cs="Times New Roman"/>
          <w:noProof/>
        </w:rPr>
        <w:t xml:space="preserve"> Belousov, V. V. New tools for redox biology: from imaging to manipulation. </w:t>
      </w:r>
      <w:r w:rsidRPr="005E4FAB">
        <w:rPr>
          <w:rFonts w:cs="Times New Roman"/>
          <w:i/>
          <w:iCs/>
          <w:noProof/>
        </w:rPr>
        <w:t>Free Radic</w:t>
      </w:r>
      <w:r w:rsidR="00DC194E" w:rsidRPr="005E4FAB">
        <w:rPr>
          <w:rFonts w:cs="Times New Roman"/>
          <w:i/>
          <w:iCs/>
          <w:noProof/>
        </w:rPr>
        <w:t>al</w:t>
      </w:r>
      <w:r w:rsidRPr="005E4FAB">
        <w:rPr>
          <w:rFonts w:cs="Times New Roman"/>
          <w:i/>
          <w:iCs/>
          <w:noProof/>
        </w:rPr>
        <w:t xml:space="preserve"> Biol</w:t>
      </w:r>
      <w:r w:rsidR="00DC194E" w:rsidRPr="005E4FAB">
        <w:rPr>
          <w:rFonts w:cs="Times New Roman"/>
          <w:i/>
          <w:iCs/>
          <w:noProof/>
        </w:rPr>
        <w:t>ogy and</w:t>
      </w:r>
      <w:r w:rsidRPr="005E4FAB">
        <w:rPr>
          <w:rFonts w:cs="Times New Roman"/>
          <w:i/>
          <w:iCs/>
          <w:noProof/>
        </w:rPr>
        <w:t xml:space="preserve"> Med</w:t>
      </w:r>
      <w:r w:rsidR="00DC194E" w:rsidRPr="005E4FAB">
        <w:rPr>
          <w:rFonts w:cs="Times New Roman"/>
          <w:i/>
          <w:iCs/>
          <w:noProof/>
        </w:rPr>
        <w:t>icine</w:t>
      </w:r>
      <w:r w:rsidRPr="005E4FAB">
        <w:rPr>
          <w:rFonts w:cs="Times New Roman"/>
          <w:i/>
          <w:iCs/>
          <w:noProof/>
        </w:rPr>
        <w:t>.</w:t>
      </w:r>
      <w:r w:rsidRPr="005E4FAB">
        <w:rPr>
          <w:rFonts w:cs="Times New Roman"/>
          <w:noProof/>
        </w:rPr>
        <w:t xml:space="preserve"> </w:t>
      </w:r>
      <w:r w:rsidRPr="005E4FAB">
        <w:rPr>
          <w:rFonts w:cs="Times New Roman"/>
          <w:b/>
          <w:bCs/>
          <w:noProof/>
        </w:rPr>
        <w:t>109</w:t>
      </w:r>
      <w:r w:rsidRPr="005E4FAB">
        <w:rPr>
          <w:rFonts w:cs="Times New Roman"/>
          <w:noProof/>
        </w:rPr>
        <w:t>, 167–188 (2016).</w:t>
      </w:r>
    </w:p>
    <w:p w14:paraId="163B1594" w14:textId="1D9711A4" w:rsidR="00191A79" w:rsidRPr="005E4FAB" w:rsidRDefault="00191A79" w:rsidP="00376F01">
      <w:pPr>
        <w:autoSpaceDE w:val="0"/>
        <w:autoSpaceDN w:val="0"/>
        <w:adjustRightInd w:val="0"/>
        <w:rPr>
          <w:rFonts w:cs="Times New Roman"/>
          <w:noProof/>
        </w:rPr>
      </w:pPr>
      <w:r w:rsidRPr="005E4FAB">
        <w:rPr>
          <w:rFonts w:cs="Times New Roman"/>
          <w:noProof/>
        </w:rPr>
        <w:t>17.</w:t>
      </w:r>
      <w:r w:rsidRPr="005E4FAB">
        <w:rPr>
          <w:rFonts w:cs="Times New Roman"/>
          <w:noProof/>
        </w:rPr>
        <w:tab/>
        <w:t>Abu-Siniyeh, A.</w:t>
      </w:r>
      <w:r w:rsidR="00D2672D">
        <w:rPr>
          <w:rFonts w:cs="Times New Roman"/>
          <w:noProof/>
        </w:rPr>
        <w:t>,</w:t>
      </w:r>
      <w:r w:rsidRPr="005E4FAB">
        <w:rPr>
          <w:rFonts w:cs="Times New Roman"/>
          <w:noProof/>
        </w:rPr>
        <w:t xml:space="preserve"> Al-Zyoud, W. Highlights on selected microscopy techniques to study zebrafish developmental biology. </w:t>
      </w:r>
      <w:r w:rsidRPr="005E4FAB">
        <w:rPr>
          <w:rFonts w:cs="Times New Roman"/>
          <w:i/>
          <w:iCs/>
          <w:noProof/>
        </w:rPr>
        <w:t>Lab</w:t>
      </w:r>
      <w:r w:rsidR="00DC194E" w:rsidRPr="005E4FAB">
        <w:rPr>
          <w:rFonts w:cs="Times New Roman"/>
          <w:i/>
          <w:iCs/>
          <w:noProof/>
        </w:rPr>
        <w:t>oratory</w:t>
      </w:r>
      <w:r w:rsidRPr="005E4FAB">
        <w:rPr>
          <w:rFonts w:cs="Times New Roman"/>
          <w:i/>
          <w:iCs/>
          <w:noProof/>
        </w:rPr>
        <w:t xml:space="preserve"> Anim</w:t>
      </w:r>
      <w:r w:rsidR="00DC194E" w:rsidRPr="005E4FAB">
        <w:rPr>
          <w:rFonts w:cs="Times New Roman"/>
          <w:i/>
          <w:iCs/>
          <w:noProof/>
        </w:rPr>
        <w:t>al</w:t>
      </w:r>
      <w:r w:rsidRPr="005E4FAB">
        <w:rPr>
          <w:rFonts w:cs="Times New Roman"/>
          <w:i/>
          <w:iCs/>
          <w:noProof/>
        </w:rPr>
        <w:t xml:space="preserve"> Res</w:t>
      </w:r>
      <w:r w:rsidR="00DC194E" w:rsidRPr="005E4FAB">
        <w:rPr>
          <w:rFonts w:cs="Times New Roman"/>
          <w:i/>
          <w:iCs/>
          <w:noProof/>
        </w:rPr>
        <w:t>earch</w:t>
      </w:r>
      <w:r w:rsidRPr="005E4FAB">
        <w:rPr>
          <w:rFonts w:cs="Times New Roman"/>
          <w:i/>
          <w:iCs/>
          <w:noProof/>
        </w:rPr>
        <w:t>.</w:t>
      </w:r>
      <w:r w:rsidRPr="005E4FAB">
        <w:rPr>
          <w:rFonts w:cs="Times New Roman"/>
          <w:noProof/>
        </w:rPr>
        <w:t xml:space="preserve"> </w:t>
      </w:r>
      <w:r w:rsidRPr="005E4FAB">
        <w:rPr>
          <w:rFonts w:cs="Times New Roman"/>
          <w:b/>
          <w:bCs/>
          <w:noProof/>
        </w:rPr>
        <w:t>36</w:t>
      </w:r>
      <w:r w:rsidR="00DC194E" w:rsidRPr="005E4FAB">
        <w:rPr>
          <w:rFonts w:cs="Times New Roman"/>
          <w:b/>
          <w:bCs/>
          <w:noProof/>
        </w:rPr>
        <w:t xml:space="preserve"> </w:t>
      </w:r>
      <w:r w:rsidR="00DC194E" w:rsidRPr="005E4FAB">
        <w:rPr>
          <w:rFonts w:cs="Times New Roman"/>
          <w:noProof/>
        </w:rPr>
        <w:t>(1)</w:t>
      </w:r>
      <w:r w:rsidRPr="005E4FAB">
        <w:rPr>
          <w:rFonts w:cs="Times New Roman"/>
          <w:noProof/>
        </w:rPr>
        <w:t>, 12 (2020).</w:t>
      </w:r>
    </w:p>
    <w:p w14:paraId="73B79977" w14:textId="377E5EF0" w:rsidR="00191A79" w:rsidRPr="005E4FAB" w:rsidRDefault="00191A79" w:rsidP="00376F01">
      <w:pPr>
        <w:autoSpaceDE w:val="0"/>
        <w:autoSpaceDN w:val="0"/>
        <w:adjustRightInd w:val="0"/>
        <w:rPr>
          <w:rFonts w:cs="Times New Roman"/>
          <w:noProof/>
        </w:rPr>
      </w:pPr>
      <w:r w:rsidRPr="005E4FAB">
        <w:rPr>
          <w:rFonts w:cs="Times New Roman"/>
          <w:noProof/>
        </w:rPr>
        <w:t>18.</w:t>
      </w:r>
      <w:r w:rsidRPr="005E4FAB">
        <w:rPr>
          <w:rFonts w:cs="Times New Roman"/>
          <w:noProof/>
        </w:rPr>
        <w:tab/>
        <w:t>Sassen, W. A.</w:t>
      </w:r>
      <w:r w:rsidR="00D2672D">
        <w:rPr>
          <w:rFonts w:cs="Times New Roman"/>
          <w:noProof/>
        </w:rPr>
        <w:t>,</w:t>
      </w:r>
      <w:r w:rsidRPr="005E4FAB">
        <w:rPr>
          <w:rFonts w:cs="Times New Roman"/>
          <w:noProof/>
        </w:rPr>
        <w:t xml:space="preserve"> Koster, R. W. A molecular toolbox for genetic manipulation of zebrafish. </w:t>
      </w:r>
      <w:r w:rsidRPr="005E4FAB">
        <w:rPr>
          <w:rFonts w:cs="Times New Roman"/>
          <w:i/>
          <w:iCs/>
          <w:noProof/>
        </w:rPr>
        <w:t>Adv</w:t>
      </w:r>
      <w:r w:rsidR="00DC194E" w:rsidRPr="005E4FAB">
        <w:rPr>
          <w:rFonts w:cs="Times New Roman"/>
          <w:i/>
          <w:iCs/>
          <w:noProof/>
        </w:rPr>
        <w:t>ances in</w:t>
      </w:r>
      <w:r w:rsidRPr="005E4FAB">
        <w:rPr>
          <w:rFonts w:cs="Times New Roman"/>
          <w:i/>
          <w:iCs/>
          <w:noProof/>
        </w:rPr>
        <w:t xml:space="preserve"> Genomics </w:t>
      </w:r>
      <w:r w:rsidR="00DC194E" w:rsidRPr="005E4FAB">
        <w:rPr>
          <w:rFonts w:cs="Times New Roman"/>
          <w:i/>
          <w:iCs/>
          <w:noProof/>
        </w:rPr>
        <w:t xml:space="preserve">and </w:t>
      </w:r>
      <w:r w:rsidRPr="005E4FAB">
        <w:rPr>
          <w:rFonts w:cs="Times New Roman"/>
          <w:i/>
          <w:iCs/>
          <w:noProof/>
        </w:rPr>
        <w:t>Genet</w:t>
      </w:r>
      <w:r w:rsidR="00DC194E" w:rsidRPr="005E4FAB">
        <w:rPr>
          <w:rFonts w:cs="Times New Roman"/>
          <w:i/>
          <w:iCs/>
          <w:noProof/>
        </w:rPr>
        <w:t>ics</w:t>
      </w:r>
      <w:r w:rsidRPr="005E4FAB">
        <w:rPr>
          <w:rFonts w:cs="Times New Roman"/>
          <w:i/>
          <w:iCs/>
          <w:noProof/>
        </w:rPr>
        <w:t>.</w:t>
      </w:r>
      <w:r w:rsidRPr="005E4FAB">
        <w:rPr>
          <w:rFonts w:cs="Times New Roman"/>
          <w:noProof/>
        </w:rPr>
        <w:t xml:space="preserve"> </w:t>
      </w:r>
      <w:r w:rsidRPr="005E4FAB">
        <w:rPr>
          <w:rFonts w:cs="Times New Roman"/>
          <w:b/>
          <w:bCs/>
          <w:noProof/>
        </w:rPr>
        <w:t>5</w:t>
      </w:r>
      <w:r w:rsidRPr="005E4FAB">
        <w:rPr>
          <w:rFonts w:cs="Times New Roman"/>
          <w:noProof/>
        </w:rPr>
        <w:t>, 151–163 (2015).</w:t>
      </w:r>
    </w:p>
    <w:p w14:paraId="65876E1A" w14:textId="4956AC57" w:rsidR="00191A79" w:rsidRPr="005E4FAB" w:rsidRDefault="00191A79" w:rsidP="00376F01">
      <w:pPr>
        <w:autoSpaceDE w:val="0"/>
        <w:autoSpaceDN w:val="0"/>
        <w:adjustRightInd w:val="0"/>
        <w:rPr>
          <w:rFonts w:cs="Times New Roman"/>
          <w:noProof/>
        </w:rPr>
      </w:pPr>
      <w:r w:rsidRPr="005E4FAB">
        <w:rPr>
          <w:rFonts w:cs="Times New Roman"/>
          <w:noProof/>
        </w:rPr>
        <w:t>19.</w:t>
      </w:r>
      <w:r w:rsidRPr="005E4FAB">
        <w:rPr>
          <w:rFonts w:cs="Times New Roman"/>
          <w:noProof/>
        </w:rPr>
        <w:tab/>
        <w:t>Rosen, J. N., Sweeney, M. F.</w:t>
      </w:r>
      <w:r w:rsidR="00D2672D">
        <w:rPr>
          <w:rFonts w:cs="Times New Roman"/>
          <w:noProof/>
        </w:rPr>
        <w:t>,</w:t>
      </w:r>
      <w:r w:rsidRPr="005E4FAB">
        <w:rPr>
          <w:rFonts w:cs="Times New Roman"/>
          <w:noProof/>
        </w:rPr>
        <w:t xml:space="preserve"> Mably, J. D. Microinjection of zebrafish embryos to analyze gene function. </w:t>
      </w:r>
      <w:r w:rsidRPr="005E4FAB">
        <w:rPr>
          <w:rFonts w:cs="Times New Roman"/>
          <w:i/>
          <w:iCs/>
          <w:noProof/>
        </w:rPr>
        <w:t>J</w:t>
      </w:r>
      <w:r w:rsidR="00DC194E" w:rsidRPr="005E4FAB">
        <w:rPr>
          <w:rFonts w:cs="Times New Roman"/>
          <w:i/>
          <w:iCs/>
          <w:noProof/>
        </w:rPr>
        <w:t>ournal of</w:t>
      </w:r>
      <w:r w:rsidRPr="005E4FAB">
        <w:rPr>
          <w:rFonts w:cs="Times New Roman"/>
          <w:i/>
          <w:iCs/>
          <w:noProof/>
        </w:rPr>
        <w:t xml:space="preserve"> Vis</w:t>
      </w:r>
      <w:r w:rsidR="00DC194E" w:rsidRPr="005E4FAB">
        <w:rPr>
          <w:rFonts w:cs="Times New Roman"/>
          <w:i/>
          <w:iCs/>
          <w:noProof/>
        </w:rPr>
        <w:t>ualized</w:t>
      </w:r>
      <w:r w:rsidRPr="005E4FAB">
        <w:rPr>
          <w:rFonts w:cs="Times New Roman"/>
          <w:i/>
          <w:iCs/>
          <w:noProof/>
        </w:rPr>
        <w:t xml:space="preserve"> Exp</w:t>
      </w:r>
      <w:r w:rsidR="00DC194E" w:rsidRPr="005E4FAB">
        <w:rPr>
          <w:rFonts w:cs="Times New Roman"/>
          <w:i/>
          <w:iCs/>
          <w:noProof/>
        </w:rPr>
        <w:t>eriments</w:t>
      </w:r>
      <w:r w:rsidRPr="005E4FAB">
        <w:rPr>
          <w:rFonts w:cs="Times New Roman"/>
          <w:i/>
          <w:iCs/>
          <w:noProof/>
        </w:rPr>
        <w:t>.</w:t>
      </w:r>
      <w:r w:rsidR="00DC194E" w:rsidRPr="005E4FAB">
        <w:rPr>
          <w:rFonts w:cs="Times New Roman"/>
          <w:i/>
          <w:iCs/>
          <w:noProof/>
        </w:rPr>
        <w:t xml:space="preserve"> </w:t>
      </w:r>
      <w:r w:rsidR="00DC194E" w:rsidRPr="005E4FAB">
        <w:rPr>
          <w:rFonts w:cs="Times New Roman"/>
          <w:noProof/>
        </w:rPr>
        <w:t>(25),</w:t>
      </w:r>
      <w:r w:rsidRPr="005E4FAB">
        <w:rPr>
          <w:rFonts w:cs="Times New Roman"/>
          <w:noProof/>
        </w:rPr>
        <w:t xml:space="preserve"> e1115 (2009).</w:t>
      </w:r>
    </w:p>
    <w:p w14:paraId="1797CFA9" w14:textId="2601517A" w:rsidR="00191A79" w:rsidRPr="005E4FAB" w:rsidRDefault="00191A79" w:rsidP="00376F01">
      <w:pPr>
        <w:autoSpaceDE w:val="0"/>
        <w:autoSpaceDN w:val="0"/>
        <w:adjustRightInd w:val="0"/>
        <w:rPr>
          <w:rFonts w:cs="Times New Roman"/>
          <w:noProof/>
        </w:rPr>
      </w:pPr>
      <w:r w:rsidRPr="005E4FAB">
        <w:rPr>
          <w:rFonts w:cs="Times New Roman"/>
          <w:noProof/>
        </w:rPr>
        <w:t>20.</w:t>
      </w:r>
      <w:r w:rsidRPr="005E4FAB">
        <w:rPr>
          <w:rFonts w:cs="Times New Roman"/>
          <w:noProof/>
        </w:rPr>
        <w:tab/>
        <w:t>Avdesh, A.</w:t>
      </w:r>
      <w:r w:rsidRPr="00D2672D">
        <w:rPr>
          <w:rFonts w:cs="Times New Roman"/>
          <w:noProof/>
        </w:rPr>
        <w:t xml:space="preserve"> et al. </w:t>
      </w:r>
      <w:r w:rsidRPr="005E4FAB">
        <w:rPr>
          <w:rFonts w:cs="Times New Roman"/>
          <w:noProof/>
        </w:rPr>
        <w:t xml:space="preserve">Regular care and maintenance of a Zebrafish (Danio rerio) laboratory: An introduction. </w:t>
      </w:r>
      <w:r w:rsidRPr="005E4FAB">
        <w:rPr>
          <w:rFonts w:cs="Times New Roman"/>
          <w:i/>
          <w:iCs/>
          <w:noProof/>
        </w:rPr>
        <w:t>J</w:t>
      </w:r>
      <w:r w:rsidR="00DC194E" w:rsidRPr="005E4FAB">
        <w:rPr>
          <w:rFonts w:cs="Times New Roman"/>
          <w:i/>
          <w:iCs/>
          <w:noProof/>
        </w:rPr>
        <w:t>ournal of</w:t>
      </w:r>
      <w:r w:rsidRPr="005E4FAB">
        <w:rPr>
          <w:rFonts w:cs="Times New Roman"/>
          <w:i/>
          <w:iCs/>
          <w:noProof/>
        </w:rPr>
        <w:t xml:space="preserve"> Vis</w:t>
      </w:r>
      <w:r w:rsidR="00DC194E" w:rsidRPr="005E4FAB">
        <w:rPr>
          <w:rFonts w:cs="Times New Roman"/>
          <w:i/>
          <w:iCs/>
          <w:noProof/>
        </w:rPr>
        <w:t>ualized</w:t>
      </w:r>
      <w:r w:rsidRPr="005E4FAB">
        <w:rPr>
          <w:rFonts w:cs="Times New Roman"/>
          <w:i/>
          <w:iCs/>
          <w:noProof/>
        </w:rPr>
        <w:t xml:space="preserve"> Exp</w:t>
      </w:r>
      <w:r w:rsidR="00DC194E" w:rsidRPr="005E4FAB">
        <w:rPr>
          <w:rFonts w:cs="Times New Roman"/>
          <w:i/>
          <w:iCs/>
          <w:noProof/>
        </w:rPr>
        <w:t>eriments</w:t>
      </w:r>
      <w:r w:rsidRPr="005E4FAB">
        <w:rPr>
          <w:rFonts w:cs="Times New Roman"/>
          <w:i/>
          <w:iCs/>
          <w:noProof/>
        </w:rPr>
        <w:t>.</w:t>
      </w:r>
      <w:r w:rsidRPr="005E4FAB">
        <w:rPr>
          <w:rFonts w:cs="Times New Roman"/>
          <w:noProof/>
        </w:rPr>
        <w:t xml:space="preserve"> </w:t>
      </w:r>
      <w:r w:rsidR="00DC194E" w:rsidRPr="005E4FAB">
        <w:rPr>
          <w:rFonts w:cs="Times New Roman"/>
          <w:noProof/>
        </w:rPr>
        <w:t xml:space="preserve">(69), </w:t>
      </w:r>
      <w:r w:rsidRPr="005E4FAB">
        <w:rPr>
          <w:rFonts w:cs="Times New Roman"/>
          <w:noProof/>
        </w:rPr>
        <w:t>e4196 (2012).</w:t>
      </w:r>
    </w:p>
    <w:p w14:paraId="360655AB" w14:textId="75068CE6" w:rsidR="00191A79" w:rsidRPr="005E4FAB" w:rsidRDefault="00191A79" w:rsidP="00376F01">
      <w:pPr>
        <w:autoSpaceDE w:val="0"/>
        <w:autoSpaceDN w:val="0"/>
        <w:adjustRightInd w:val="0"/>
        <w:rPr>
          <w:rFonts w:cs="Times New Roman"/>
          <w:noProof/>
        </w:rPr>
      </w:pPr>
      <w:r w:rsidRPr="005E4FAB">
        <w:rPr>
          <w:rFonts w:cs="Times New Roman"/>
          <w:noProof/>
        </w:rPr>
        <w:t>21.</w:t>
      </w:r>
      <w:r w:rsidRPr="005E4FAB">
        <w:rPr>
          <w:rFonts w:cs="Times New Roman"/>
          <w:noProof/>
        </w:rPr>
        <w:tab/>
        <w:t xml:space="preserve">Chen, Z. </w:t>
      </w:r>
      <w:r w:rsidRPr="00D2672D">
        <w:rPr>
          <w:rFonts w:cs="Times New Roman"/>
          <w:noProof/>
        </w:rPr>
        <w:t>et al.</w:t>
      </w:r>
      <w:r w:rsidRPr="005E4FAB">
        <w:rPr>
          <w:rFonts w:cs="Times New Roman"/>
          <w:noProof/>
        </w:rPr>
        <w:t xml:space="preserve"> Primary neuron culture for nerve growth and axon guidance studies in Zebrafish (Danio rerio). </w:t>
      </w:r>
      <w:r w:rsidRPr="005E4FAB">
        <w:rPr>
          <w:rFonts w:cs="Times New Roman"/>
          <w:i/>
          <w:iCs/>
          <w:noProof/>
        </w:rPr>
        <w:t>PLoS One</w:t>
      </w:r>
      <w:r w:rsidR="00DC194E" w:rsidRPr="005E4FAB">
        <w:rPr>
          <w:rFonts w:cs="Times New Roman"/>
          <w:i/>
          <w:iCs/>
          <w:noProof/>
        </w:rPr>
        <w:t>.</w:t>
      </w:r>
      <w:r w:rsidRPr="005E4FAB">
        <w:rPr>
          <w:rFonts w:cs="Times New Roman"/>
          <w:noProof/>
        </w:rPr>
        <w:t xml:space="preserve"> </w:t>
      </w:r>
      <w:r w:rsidRPr="005E4FAB">
        <w:rPr>
          <w:rFonts w:cs="Times New Roman"/>
          <w:b/>
          <w:bCs/>
          <w:noProof/>
        </w:rPr>
        <w:t>8</w:t>
      </w:r>
      <w:r w:rsidR="00DC194E" w:rsidRPr="005E4FAB">
        <w:rPr>
          <w:rFonts w:cs="Times New Roman"/>
          <w:b/>
          <w:bCs/>
          <w:noProof/>
        </w:rPr>
        <w:t xml:space="preserve"> </w:t>
      </w:r>
      <w:r w:rsidR="00DC194E" w:rsidRPr="005E4FAB">
        <w:rPr>
          <w:rFonts w:cs="Times New Roman"/>
          <w:noProof/>
        </w:rPr>
        <w:t>(3)</w:t>
      </w:r>
      <w:r w:rsidRPr="005E4FAB">
        <w:rPr>
          <w:rFonts w:cs="Times New Roman"/>
          <w:noProof/>
        </w:rPr>
        <w:t>, e57539 (2013).</w:t>
      </w:r>
    </w:p>
    <w:p w14:paraId="2C1161B5" w14:textId="458FC8A5" w:rsidR="00191A79" w:rsidRPr="005E4FAB" w:rsidRDefault="00191A79" w:rsidP="00376F01">
      <w:pPr>
        <w:autoSpaceDE w:val="0"/>
        <w:autoSpaceDN w:val="0"/>
        <w:adjustRightInd w:val="0"/>
        <w:rPr>
          <w:rFonts w:cs="Times New Roman"/>
          <w:noProof/>
        </w:rPr>
      </w:pPr>
      <w:r w:rsidRPr="005E4FAB">
        <w:rPr>
          <w:rFonts w:cs="Times New Roman"/>
          <w:noProof/>
        </w:rPr>
        <w:t>22.</w:t>
      </w:r>
      <w:r w:rsidRPr="005E4FAB">
        <w:rPr>
          <w:rFonts w:cs="Times New Roman"/>
          <w:noProof/>
        </w:rPr>
        <w:tab/>
        <w:t>Zhang, L.</w:t>
      </w:r>
      <w:r w:rsidR="00D2672D">
        <w:rPr>
          <w:rFonts w:cs="Times New Roman"/>
          <w:noProof/>
        </w:rPr>
        <w:t>,</w:t>
      </w:r>
      <w:r w:rsidRPr="005E4FAB">
        <w:rPr>
          <w:rFonts w:cs="Times New Roman"/>
          <w:noProof/>
        </w:rPr>
        <w:t xml:space="preserve"> Leung, Y. F. Microdissection of zebrafish embryonic eye tissues. </w:t>
      </w:r>
      <w:r w:rsidR="00DC194E" w:rsidRPr="005E4FAB">
        <w:rPr>
          <w:rFonts w:cs="Times New Roman"/>
          <w:i/>
          <w:iCs/>
          <w:noProof/>
        </w:rPr>
        <w:t>Journal of Visualized Experiments</w:t>
      </w:r>
      <w:r w:rsidRPr="005E4FAB">
        <w:rPr>
          <w:rFonts w:cs="Times New Roman"/>
          <w:i/>
          <w:iCs/>
          <w:noProof/>
        </w:rPr>
        <w:t>.</w:t>
      </w:r>
      <w:r w:rsidRPr="005E4FAB">
        <w:rPr>
          <w:rFonts w:cs="Times New Roman"/>
          <w:noProof/>
        </w:rPr>
        <w:t xml:space="preserve"> </w:t>
      </w:r>
      <w:r w:rsidR="00DC194E" w:rsidRPr="005E4FAB">
        <w:rPr>
          <w:rFonts w:cs="Times New Roman"/>
          <w:noProof/>
        </w:rPr>
        <w:t xml:space="preserve">(40), </w:t>
      </w:r>
      <w:r w:rsidRPr="005E4FAB">
        <w:rPr>
          <w:rFonts w:cs="Times New Roman"/>
          <w:noProof/>
        </w:rPr>
        <w:t>e2028 (2010).</w:t>
      </w:r>
    </w:p>
    <w:p w14:paraId="31DE1567" w14:textId="42263707" w:rsidR="00191A79" w:rsidRPr="005E4FAB" w:rsidRDefault="00191A79" w:rsidP="00376F01">
      <w:pPr>
        <w:autoSpaceDE w:val="0"/>
        <w:autoSpaceDN w:val="0"/>
        <w:adjustRightInd w:val="0"/>
        <w:rPr>
          <w:rFonts w:cs="Times New Roman"/>
          <w:noProof/>
        </w:rPr>
      </w:pPr>
      <w:r w:rsidRPr="005E4FAB">
        <w:rPr>
          <w:rFonts w:cs="Times New Roman"/>
          <w:noProof/>
        </w:rPr>
        <w:t>23.</w:t>
      </w:r>
      <w:r w:rsidRPr="005E4FAB">
        <w:rPr>
          <w:rFonts w:cs="Times New Roman"/>
          <w:noProof/>
        </w:rPr>
        <w:tab/>
        <w:t xml:space="preserve">Suter, D. M. Live </w:t>
      </w:r>
      <w:r w:rsidR="00634D0A" w:rsidRPr="005E4FAB">
        <w:rPr>
          <w:rFonts w:cs="Times New Roman"/>
          <w:noProof/>
        </w:rPr>
        <w:t>c</w:t>
      </w:r>
      <w:r w:rsidRPr="005E4FAB">
        <w:rPr>
          <w:rFonts w:cs="Times New Roman"/>
          <w:noProof/>
        </w:rPr>
        <w:t xml:space="preserve">ell </w:t>
      </w:r>
      <w:r w:rsidR="00634D0A" w:rsidRPr="005E4FAB">
        <w:rPr>
          <w:rFonts w:cs="Times New Roman"/>
          <w:noProof/>
        </w:rPr>
        <w:t>i</w:t>
      </w:r>
      <w:r w:rsidRPr="005E4FAB">
        <w:rPr>
          <w:rFonts w:cs="Times New Roman"/>
          <w:noProof/>
        </w:rPr>
        <w:t xml:space="preserve">maging of </w:t>
      </w:r>
      <w:r w:rsidR="00634D0A" w:rsidRPr="005E4FAB">
        <w:rPr>
          <w:rFonts w:cs="Times New Roman"/>
          <w:noProof/>
        </w:rPr>
        <w:t>n</w:t>
      </w:r>
      <w:r w:rsidRPr="005E4FAB">
        <w:rPr>
          <w:rFonts w:cs="Times New Roman"/>
          <w:noProof/>
        </w:rPr>
        <w:t xml:space="preserve">euronal </w:t>
      </w:r>
      <w:r w:rsidR="00634D0A" w:rsidRPr="005E4FAB">
        <w:rPr>
          <w:rFonts w:cs="Times New Roman"/>
          <w:noProof/>
        </w:rPr>
        <w:t>g</w:t>
      </w:r>
      <w:r w:rsidRPr="005E4FAB">
        <w:rPr>
          <w:rFonts w:cs="Times New Roman"/>
          <w:noProof/>
        </w:rPr>
        <w:t xml:space="preserve">rowth </w:t>
      </w:r>
      <w:r w:rsidR="00634D0A" w:rsidRPr="005E4FAB">
        <w:rPr>
          <w:rFonts w:cs="Times New Roman"/>
          <w:noProof/>
        </w:rPr>
        <w:t>c</w:t>
      </w:r>
      <w:r w:rsidRPr="005E4FAB">
        <w:rPr>
          <w:rFonts w:cs="Times New Roman"/>
          <w:noProof/>
        </w:rPr>
        <w:t xml:space="preserve">one </w:t>
      </w:r>
      <w:r w:rsidR="00634D0A" w:rsidRPr="005E4FAB">
        <w:rPr>
          <w:rFonts w:cs="Times New Roman"/>
          <w:noProof/>
        </w:rPr>
        <w:t>m</w:t>
      </w:r>
      <w:r w:rsidRPr="005E4FAB">
        <w:rPr>
          <w:rFonts w:cs="Times New Roman"/>
          <w:noProof/>
        </w:rPr>
        <w:t xml:space="preserve">otility and </w:t>
      </w:r>
      <w:r w:rsidR="00634D0A" w:rsidRPr="005E4FAB">
        <w:rPr>
          <w:rFonts w:cs="Times New Roman"/>
          <w:noProof/>
        </w:rPr>
        <w:t>d</w:t>
      </w:r>
      <w:r w:rsidRPr="005E4FAB">
        <w:rPr>
          <w:rFonts w:cs="Times New Roman"/>
          <w:noProof/>
        </w:rPr>
        <w:t xml:space="preserve">uidance </w:t>
      </w:r>
      <w:r w:rsidR="00634D0A" w:rsidRPr="005E4FAB">
        <w:rPr>
          <w:rFonts w:cs="Times New Roman"/>
          <w:noProof/>
        </w:rPr>
        <w:t>i</w:t>
      </w:r>
      <w:r w:rsidRPr="005E4FAB">
        <w:rPr>
          <w:rFonts w:cs="Times New Roman"/>
          <w:noProof/>
        </w:rPr>
        <w:t xml:space="preserve">n </w:t>
      </w:r>
      <w:r w:rsidR="00634D0A" w:rsidRPr="005E4FAB">
        <w:rPr>
          <w:rFonts w:cs="Times New Roman"/>
          <w:noProof/>
        </w:rPr>
        <w:t>v</w:t>
      </w:r>
      <w:r w:rsidRPr="005E4FAB">
        <w:rPr>
          <w:rFonts w:cs="Times New Roman"/>
          <w:noProof/>
        </w:rPr>
        <w:t xml:space="preserve">itro. </w:t>
      </w:r>
      <w:r w:rsidRPr="005E4FAB">
        <w:rPr>
          <w:rFonts w:cs="Times New Roman"/>
          <w:i/>
          <w:iCs/>
          <w:noProof/>
        </w:rPr>
        <w:t xml:space="preserve">Cell </w:t>
      </w:r>
      <w:r w:rsidRPr="005E4FAB">
        <w:rPr>
          <w:rFonts w:cs="Times New Roman"/>
          <w:i/>
          <w:iCs/>
          <w:noProof/>
        </w:rPr>
        <w:lastRenderedPageBreak/>
        <w:t>Migration: Methods in Molecular Biology</w:t>
      </w:r>
      <w:r w:rsidR="00DC194E" w:rsidRPr="005E4FAB">
        <w:rPr>
          <w:rFonts w:cs="Times New Roman"/>
          <w:i/>
          <w:iCs/>
          <w:noProof/>
        </w:rPr>
        <w:t>.</w:t>
      </w:r>
      <w:r w:rsidRPr="005E4FAB">
        <w:rPr>
          <w:rFonts w:cs="Times New Roman"/>
          <w:noProof/>
        </w:rPr>
        <w:t xml:space="preserve"> 65–86 (2011). </w:t>
      </w:r>
    </w:p>
    <w:p w14:paraId="2FE7D02F" w14:textId="4EC8FD2B" w:rsidR="00191A79" w:rsidRPr="005E4FAB" w:rsidRDefault="00191A79" w:rsidP="00376F01">
      <w:pPr>
        <w:autoSpaceDE w:val="0"/>
        <w:autoSpaceDN w:val="0"/>
        <w:adjustRightInd w:val="0"/>
        <w:rPr>
          <w:rFonts w:cs="Times New Roman"/>
          <w:noProof/>
        </w:rPr>
      </w:pPr>
      <w:r w:rsidRPr="005E4FAB">
        <w:rPr>
          <w:rFonts w:cs="Times New Roman"/>
          <w:noProof/>
        </w:rPr>
        <w:t>24.</w:t>
      </w:r>
      <w:r w:rsidRPr="005E4FAB">
        <w:rPr>
          <w:rFonts w:cs="Times New Roman"/>
          <w:noProof/>
        </w:rPr>
        <w:tab/>
        <w:t>Weaver, C. J.</w:t>
      </w:r>
      <w:r w:rsidRPr="00522A69">
        <w:rPr>
          <w:rFonts w:cs="Times New Roman"/>
          <w:noProof/>
        </w:rPr>
        <w:t xml:space="preserve"> et al.</w:t>
      </w:r>
      <w:r w:rsidRPr="005E4FAB">
        <w:rPr>
          <w:rFonts w:cs="Times New Roman"/>
          <w:noProof/>
        </w:rPr>
        <w:t xml:space="preserve"> nox2/cybb deficiency affects zebrafish retinotectal connectivity. </w:t>
      </w:r>
      <w:r w:rsidRPr="005E4FAB">
        <w:rPr>
          <w:rFonts w:cs="Times New Roman"/>
          <w:i/>
          <w:iCs/>
          <w:noProof/>
        </w:rPr>
        <w:t>J</w:t>
      </w:r>
      <w:r w:rsidR="00552D40" w:rsidRPr="005E4FAB">
        <w:rPr>
          <w:rFonts w:cs="Times New Roman"/>
          <w:i/>
          <w:iCs/>
          <w:noProof/>
        </w:rPr>
        <w:t>ournal of</w:t>
      </w:r>
      <w:r w:rsidRPr="005E4FAB">
        <w:rPr>
          <w:rFonts w:cs="Times New Roman"/>
          <w:i/>
          <w:iCs/>
          <w:noProof/>
        </w:rPr>
        <w:t xml:space="preserve"> Neurosci</w:t>
      </w:r>
      <w:r w:rsidR="00552D40" w:rsidRPr="005E4FAB">
        <w:rPr>
          <w:rFonts w:cs="Times New Roman"/>
          <w:i/>
          <w:iCs/>
          <w:noProof/>
        </w:rPr>
        <w:t>ence</w:t>
      </w:r>
      <w:r w:rsidRPr="005E4FAB">
        <w:rPr>
          <w:rFonts w:cs="Times New Roman"/>
          <w:i/>
          <w:iCs/>
          <w:noProof/>
        </w:rPr>
        <w:t>.</w:t>
      </w:r>
      <w:r w:rsidRPr="005E4FAB">
        <w:rPr>
          <w:rFonts w:cs="Times New Roman"/>
          <w:noProof/>
        </w:rPr>
        <w:t xml:space="preserve"> </w:t>
      </w:r>
      <w:r w:rsidRPr="005E4FAB">
        <w:rPr>
          <w:rFonts w:cs="Times New Roman"/>
          <w:b/>
          <w:bCs/>
          <w:noProof/>
        </w:rPr>
        <w:t>38</w:t>
      </w:r>
      <w:r w:rsidR="00552D40" w:rsidRPr="005E4FAB">
        <w:rPr>
          <w:rFonts w:cs="Times New Roman"/>
          <w:b/>
          <w:bCs/>
          <w:noProof/>
        </w:rPr>
        <w:t xml:space="preserve"> </w:t>
      </w:r>
      <w:r w:rsidR="00552D40" w:rsidRPr="005E4FAB">
        <w:rPr>
          <w:rFonts w:cs="Times New Roman"/>
          <w:noProof/>
        </w:rPr>
        <w:t>(26)</w:t>
      </w:r>
      <w:r w:rsidRPr="005E4FAB">
        <w:rPr>
          <w:rFonts w:cs="Times New Roman"/>
          <w:noProof/>
        </w:rPr>
        <w:t>, 5854–5871 (2018).</w:t>
      </w:r>
    </w:p>
    <w:p w14:paraId="363D2F46" w14:textId="324817CF" w:rsidR="00ED447A" w:rsidRPr="005E4FAB" w:rsidRDefault="00191A79" w:rsidP="00376F01">
      <w:pPr>
        <w:autoSpaceDE w:val="0"/>
        <w:autoSpaceDN w:val="0"/>
        <w:adjustRightInd w:val="0"/>
        <w:rPr>
          <w:rFonts w:cs="Times New Roman"/>
          <w:noProof/>
        </w:rPr>
      </w:pPr>
      <w:r w:rsidRPr="005E4FAB">
        <w:rPr>
          <w:rFonts w:cs="Times New Roman"/>
          <w:noProof/>
        </w:rPr>
        <w:t>25.</w:t>
      </w:r>
      <w:r w:rsidRPr="005E4FAB">
        <w:rPr>
          <w:rFonts w:cs="Times New Roman"/>
          <w:noProof/>
        </w:rPr>
        <w:tab/>
      </w:r>
      <w:r w:rsidR="00ED447A" w:rsidRPr="005E4FAB">
        <w:rPr>
          <w:rFonts w:cs="Times New Roman"/>
          <w:noProof/>
        </w:rPr>
        <w:t>Morgan, B., Sobotta, M.</w:t>
      </w:r>
      <w:r w:rsidR="00522A69">
        <w:rPr>
          <w:rFonts w:cs="Times New Roman"/>
          <w:noProof/>
        </w:rPr>
        <w:t xml:space="preserve"> </w:t>
      </w:r>
      <w:r w:rsidR="00ED447A" w:rsidRPr="005E4FAB">
        <w:rPr>
          <w:rFonts w:cs="Times New Roman"/>
          <w:noProof/>
        </w:rPr>
        <w:t>C.</w:t>
      </w:r>
      <w:r w:rsidR="00522A69">
        <w:rPr>
          <w:rFonts w:cs="Times New Roman"/>
          <w:noProof/>
        </w:rPr>
        <w:t xml:space="preserve">, </w:t>
      </w:r>
      <w:r w:rsidR="002D4E1F" w:rsidRPr="005E4FAB">
        <w:rPr>
          <w:rFonts w:cs="Times New Roman"/>
          <w:noProof/>
        </w:rPr>
        <w:t>Dick, T.</w:t>
      </w:r>
      <w:r w:rsidR="00522A69">
        <w:rPr>
          <w:rFonts w:cs="Times New Roman"/>
          <w:noProof/>
        </w:rPr>
        <w:t xml:space="preserve"> </w:t>
      </w:r>
      <w:r w:rsidR="002D4E1F" w:rsidRPr="005E4FAB">
        <w:rPr>
          <w:rFonts w:cs="Times New Roman"/>
          <w:noProof/>
        </w:rPr>
        <w:t xml:space="preserve">P. Measuring EGSH and H2O2 with roGFP2-based redox probes. </w:t>
      </w:r>
      <w:r w:rsidR="002D4E1F" w:rsidRPr="005E4FAB">
        <w:rPr>
          <w:rFonts w:cs="Times New Roman"/>
          <w:i/>
          <w:iCs/>
          <w:noProof/>
        </w:rPr>
        <w:t xml:space="preserve">Free Radical Biology and Medicine. </w:t>
      </w:r>
      <w:r w:rsidR="002D4E1F" w:rsidRPr="005E4FAB">
        <w:rPr>
          <w:rFonts w:cs="Times New Roman"/>
          <w:b/>
          <w:bCs/>
          <w:noProof/>
        </w:rPr>
        <w:t>51</w:t>
      </w:r>
      <w:r w:rsidR="002D4E1F" w:rsidRPr="005E4FAB">
        <w:rPr>
          <w:rFonts w:cs="Times New Roman"/>
          <w:noProof/>
        </w:rPr>
        <w:t>, 1943-1951 (2011).</w:t>
      </w:r>
    </w:p>
    <w:p w14:paraId="6B2A64A7" w14:textId="6B9770B1" w:rsidR="00191A79" w:rsidRPr="005E4FAB" w:rsidRDefault="00ED447A" w:rsidP="00376F01">
      <w:pPr>
        <w:autoSpaceDE w:val="0"/>
        <w:autoSpaceDN w:val="0"/>
        <w:adjustRightInd w:val="0"/>
        <w:rPr>
          <w:rFonts w:cs="Times New Roman"/>
          <w:noProof/>
        </w:rPr>
      </w:pPr>
      <w:r w:rsidRPr="005E4FAB">
        <w:rPr>
          <w:rFonts w:cs="Times New Roman"/>
          <w:noProof/>
        </w:rPr>
        <w:t xml:space="preserve">26. </w:t>
      </w:r>
      <w:r w:rsidRPr="005E4FAB">
        <w:rPr>
          <w:rFonts w:cs="Times New Roman"/>
          <w:noProof/>
        </w:rPr>
        <w:tab/>
      </w:r>
      <w:r w:rsidR="00191A79" w:rsidRPr="005E4FAB">
        <w:rPr>
          <w:rFonts w:cs="Times New Roman"/>
          <w:noProof/>
        </w:rPr>
        <w:t>Li, Z.</w:t>
      </w:r>
      <w:r w:rsidR="00191A79" w:rsidRPr="00522A69">
        <w:rPr>
          <w:rFonts w:cs="Times New Roman"/>
          <w:noProof/>
        </w:rPr>
        <w:t xml:space="preserve"> et al.</w:t>
      </w:r>
      <w:r w:rsidR="00191A79" w:rsidRPr="005E4FAB">
        <w:rPr>
          <w:rFonts w:cs="Times New Roman"/>
          <w:noProof/>
        </w:rPr>
        <w:t xml:space="preserve"> Phenylthiourea specifically reduces zebrafish eye size. </w:t>
      </w:r>
      <w:r w:rsidR="00191A79" w:rsidRPr="005E4FAB">
        <w:rPr>
          <w:rFonts w:cs="Times New Roman"/>
          <w:i/>
          <w:iCs/>
          <w:noProof/>
        </w:rPr>
        <w:t>PLoS One</w:t>
      </w:r>
      <w:r w:rsidR="00903451" w:rsidRPr="005E4FAB">
        <w:rPr>
          <w:rFonts w:cs="Times New Roman"/>
          <w:i/>
          <w:iCs/>
          <w:noProof/>
        </w:rPr>
        <w:t>.</w:t>
      </w:r>
      <w:r w:rsidR="00191A79" w:rsidRPr="005E4FAB">
        <w:rPr>
          <w:rFonts w:cs="Times New Roman"/>
          <w:noProof/>
        </w:rPr>
        <w:t xml:space="preserve"> </w:t>
      </w:r>
      <w:r w:rsidR="00191A79" w:rsidRPr="005E4FAB">
        <w:rPr>
          <w:rFonts w:cs="Times New Roman"/>
          <w:b/>
          <w:bCs/>
          <w:noProof/>
        </w:rPr>
        <w:t>7</w:t>
      </w:r>
      <w:r w:rsidR="00903451" w:rsidRPr="005E4FAB">
        <w:rPr>
          <w:rFonts w:cs="Times New Roman"/>
          <w:b/>
          <w:bCs/>
          <w:noProof/>
        </w:rPr>
        <w:t xml:space="preserve"> </w:t>
      </w:r>
      <w:r w:rsidR="00903451" w:rsidRPr="005E4FAB">
        <w:rPr>
          <w:rFonts w:cs="Times New Roman"/>
          <w:noProof/>
        </w:rPr>
        <w:t>(6)</w:t>
      </w:r>
      <w:r w:rsidR="00191A79" w:rsidRPr="005E4FAB">
        <w:rPr>
          <w:rFonts w:cs="Times New Roman"/>
          <w:noProof/>
        </w:rPr>
        <w:t>, e40132 (2012).</w:t>
      </w:r>
    </w:p>
    <w:p w14:paraId="546442BE" w14:textId="1B5A88D9" w:rsidR="00191A79" w:rsidRPr="005E4FAB" w:rsidRDefault="00191A79" w:rsidP="00376F01">
      <w:pPr>
        <w:autoSpaceDE w:val="0"/>
        <w:autoSpaceDN w:val="0"/>
        <w:adjustRightInd w:val="0"/>
        <w:rPr>
          <w:rFonts w:cs="Times New Roman"/>
          <w:noProof/>
        </w:rPr>
      </w:pPr>
      <w:r w:rsidRPr="005E4FAB">
        <w:rPr>
          <w:rFonts w:cs="Times New Roman"/>
          <w:noProof/>
        </w:rPr>
        <w:t>2</w:t>
      </w:r>
      <w:r w:rsidR="002D4E1F" w:rsidRPr="005E4FAB">
        <w:rPr>
          <w:rFonts w:cs="Times New Roman"/>
          <w:noProof/>
        </w:rPr>
        <w:t>7</w:t>
      </w:r>
      <w:r w:rsidRPr="005E4FAB">
        <w:rPr>
          <w:rFonts w:cs="Times New Roman"/>
          <w:noProof/>
        </w:rPr>
        <w:t>.</w:t>
      </w:r>
      <w:r w:rsidRPr="005E4FAB">
        <w:rPr>
          <w:rFonts w:cs="Times New Roman"/>
          <w:noProof/>
        </w:rPr>
        <w:tab/>
        <w:t xml:space="preserve">Ermakova, Y. G. </w:t>
      </w:r>
      <w:r w:rsidRPr="00522A69">
        <w:rPr>
          <w:rFonts w:cs="Times New Roman"/>
          <w:noProof/>
        </w:rPr>
        <w:t xml:space="preserve">et al. </w:t>
      </w:r>
      <w:r w:rsidRPr="005E4FAB">
        <w:rPr>
          <w:rFonts w:cs="Times New Roman"/>
          <w:noProof/>
        </w:rPr>
        <w:t xml:space="preserve">Red fluorescent genetically encoded indicator for intracellular hydrogen peroxide. </w:t>
      </w:r>
      <w:r w:rsidRPr="005E4FAB">
        <w:rPr>
          <w:rFonts w:cs="Times New Roman"/>
          <w:i/>
          <w:iCs/>
          <w:noProof/>
        </w:rPr>
        <w:t>Nat</w:t>
      </w:r>
      <w:r w:rsidR="00903451" w:rsidRPr="005E4FAB">
        <w:rPr>
          <w:rFonts w:cs="Times New Roman"/>
          <w:i/>
          <w:iCs/>
          <w:noProof/>
        </w:rPr>
        <w:t>ure</w:t>
      </w:r>
      <w:r w:rsidRPr="005E4FAB">
        <w:rPr>
          <w:rFonts w:cs="Times New Roman"/>
          <w:i/>
          <w:iCs/>
          <w:noProof/>
        </w:rPr>
        <w:t xml:space="preserve"> Commun</w:t>
      </w:r>
      <w:r w:rsidR="00903451" w:rsidRPr="005E4FAB">
        <w:rPr>
          <w:rFonts w:cs="Times New Roman"/>
          <w:i/>
          <w:iCs/>
          <w:noProof/>
        </w:rPr>
        <w:t>ications</w:t>
      </w:r>
      <w:r w:rsidRPr="005E4FAB">
        <w:rPr>
          <w:rFonts w:cs="Times New Roman"/>
          <w:i/>
          <w:iCs/>
          <w:noProof/>
        </w:rPr>
        <w:t>.</w:t>
      </w:r>
      <w:r w:rsidRPr="005E4FAB">
        <w:rPr>
          <w:rFonts w:cs="Times New Roman"/>
          <w:noProof/>
        </w:rPr>
        <w:t xml:space="preserve"> </w:t>
      </w:r>
      <w:r w:rsidRPr="005E4FAB">
        <w:rPr>
          <w:rFonts w:cs="Times New Roman"/>
          <w:b/>
          <w:bCs/>
          <w:noProof/>
        </w:rPr>
        <w:t>5</w:t>
      </w:r>
      <w:r w:rsidRPr="005E4FAB">
        <w:rPr>
          <w:rFonts w:cs="Times New Roman"/>
          <w:noProof/>
        </w:rPr>
        <w:t>, 5222 (2014).</w:t>
      </w:r>
    </w:p>
    <w:p w14:paraId="25615867" w14:textId="72A563D5" w:rsidR="00191A79" w:rsidRPr="005E4FAB" w:rsidRDefault="00191A79" w:rsidP="00376F01">
      <w:pPr>
        <w:autoSpaceDE w:val="0"/>
        <w:autoSpaceDN w:val="0"/>
        <w:adjustRightInd w:val="0"/>
        <w:rPr>
          <w:rFonts w:cs="Times New Roman"/>
          <w:noProof/>
        </w:rPr>
      </w:pPr>
      <w:r w:rsidRPr="005E4FAB">
        <w:rPr>
          <w:rFonts w:cs="Times New Roman"/>
          <w:noProof/>
        </w:rPr>
        <w:t>2</w:t>
      </w:r>
      <w:r w:rsidR="002D4E1F" w:rsidRPr="005E4FAB">
        <w:rPr>
          <w:rFonts w:cs="Times New Roman"/>
          <w:noProof/>
        </w:rPr>
        <w:t>8</w:t>
      </w:r>
      <w:r w:rsidRPr="005E4FAB">
        <w:rPr>
          <w:rFonts w:cs="Times New Roman"/>
          <w:noProof/>
        </w:rPr>
        <w:t>.</w:t>
      </w:r>
      <w:r w:rsidRPr="005E4FAB">
        <w:rPr>
          <w:rFonts w:cs="Times New Roman"/>
          <w:noProof/>
        </w:rPr>
        <w:tab/>
        <w:t xml:space="preserve">Oparka, M. </w:t>
      </w:r>
      <w:r w:rsidRPr="00522A69">
        <w:rPr>
          <w:rFonts w:cs="Times New Roman"/>
          <w:noProof/>
        </w:rPr>
        <w:t xml:space="preserve">et al. </w:t>
      </w:r>
      <w:r w:rsidRPr="005E4FAB">
        <w:rPr>
          <w:rFonts w:cs="Times New Roman"/>
          <w:noProof/>
        </w:rPr>
        <w:t xml:space="preserve">Quantifying ROS levels using CM-H2DCFDA and HyPer. </w:t>
      </w:r>
      <w:r w:rsidRPr="005E4FAB">
        <w:rPr>
          <w:rFonts w:cs="Times New Roman"/>
          <w:i/>
          <w:iCs/>
          <w:noProof/>
        </w:rPr>
        <w:t>Methods</w:t>
      </w:r>
      <w:r w:rsidR="00522A69">
        <w:rPr>
          <w:rFonts w:cs="Times New Roman"/>
          <w:i/>
          <w:iCs/>
          <w:noProof/>
        </w:rPr>
        <w:t>.</w:t>
      </w:r>
      <w:r w:rsidRPr="005E4FAB">
        <w:rPr>
          <w:rFonts w:cs="Times New Roman"/>
          <w:noProof/>
        </w:rPr>
        <w:t xml:space="preserve"> </w:t>
      </w:r>
      <w:r w:rsidRPr="005E4FAB">
        <w:rPr>
          <w:rFonts w:cs="Times New Roman"/>
          <w:b/>
          <w:bCs/>
          <w:noProof/>
        </w:rPr>
        <w:t>109</w:t>
      </w:r>
      <w:r w:rsidRPr="005E4FAB">
        <w:rPr>
          <w:rFonts w:cs="Times New Roman"/>
          <w:noProof/>
        </w:rPr>
        <w:t>, 3–11 (2016).</w:t>
      </w:r>
    </w:p>
    <w:p w14:paraId="2289380B" w14:textId="35B6CA05" w:rsidR="00191A79" w:rsidRPr="005E4FAB" w:rsidRDefault="00191A79" w:rsidP="00376F01">
      <w:pPr>
        <w:autoSpaceDE w:val="0"/>
        <w:autoSpaceDN w:val="0"/>
        <w:adjustRightInd w:val="0"/>
        <w:rPr>
          <w:rFonts w:cs="Times New Roman"/>
          <w:noProof/>
        </w:rPr>
      </w:pPr>
      <w:r w:rsidRPr="005E4FAB">
        <w:rPr>
          <w:rFonts w:cs="Times New Roman"/>
          <w:noProof/>
        </w:rPr>
        <w:t>2</w:t>
      </w:r>
      <w:r w:rsidR="002D4E1F" w:rsidRPr="005E4FAB">
        <w:rPr>
          <w:rFonts w:cs="Times New Roman"/>
          <w:noProof/>
        </w:rPr>
        <w:t>9</w:t>
      </w:r>
      <w:r w:rsidRPr="005E4FAB">
        <w:rPr>
          <w:rFonts w:cs="Times New Roman"/>
          <w:noProof/>
        </w:rPr>
        <w:t>.</w:t>
      </w:r>
      <w:r w:rsidRPr="005E4FAB">
        <w:rPr>
          <w:rFonts w:cs="Times New Roman"/>
          <w:noProof/>
        </w:rPr>
        <w:tab/>
        <w:t>Dickinson, B. C., Peltier, J., Stone, D., Schaffer, D. V</w:t>
      </w:r>
      <w:r w:rsidR="00522A69">
        <w:rPr>
          <w:rFonts w:cs="Times New Roman"/>
          <w:noProof/>
        </w:rPr>
        <w:t xml:space="preserve">., </w:t>
      </w:r>
      <w:r w:rsidRPr="005E4FAB">
        <w:rPr>
          <w:rFonts w:cs="Times New Roman"/>
          <w:noProof/>
        </w:rPr>
        <w:t xml:space="preserve">Chang, C. J. Nox2 redox signaling maintains essential cell populations in the brain. </w:t>
      </w:r>
      <w:r w:rsidRPr="005E4FAB">
        <w:rPr>
          <w:rFonts w:cs="Times New Roman"/>
          <w:i/>
          <w:iCs/>
          <w:noProof/>
        </w:rPr>
        <w:t>Nat</w:t>
      </w:r>
      <w:r w:rsidR="001E666A" w:rsidRPr="005E4FAB">
        <w:rPr>
          <w:rFonts w:cs="Times New Roman"/>
          <w:i/>
          <w:iCs/>
          <w:noProof/>
        </w:rPr>
        <w:t>ure</w:t>
      </w:r>
      <w:r w:rsidRPr="005E4FAB">
        <w:rPr>
          <w:rFonts w:cs="Times New Roman"/>
          <w:i/>
          <w:iCs/>
          <w:noProof/>
        </w:rPr>
        <w:t xml:space="preserve"> Chem</w:t>
      </w:r>
      <w:r w:rsidR="001E666A" w:rsidRPr="005E4FAB">
        <w:rPr>
          <w:rFonts w:cs="Times New Roman"/>
          <w:i/>
          <w:iCs/>
          <w:noProof/>
        </w:rPr>
        <w:t>ical</w:t>
      </w:r>
      <w:r w:rsidRPr="005E4FAB">
        <w:rPr>
          <w:rFonts w:cs="Times New Roman"/>
          <w:i/>
          <w:iCs/>
          <w:noProof/>
        </w:rPr>
        <w:t xml:space="preserve"> Biol</w:t>
      </w:r>
      <w:r w:rsidR="001E666A" w:rsidRPr="005E4FAB">
        <w:rPr>
          <w:rFonts w:cs="Times New Roman"/>
          <w:i/>
          <w:iCs/>
          <w:noProof/>
        </w:rPr>
        <w:t>ogy</w:t>
      </w:r>
      <w:r w:rsidR="00522A69">
        <w:rPr>
          <w:rFonts w:cs="Times New Roman"/>
          <w:i/>
          <w:iCs/>
          <w:noProof/>
        </w:rPr>
        <w:t>.</w:t>
      </w:r>
      <w:r w:rsidRPr="005E4FAB">
        <w:rPr>
          <w:rFonts w:cs="Times New Roman"/>
          <w:noProof/>
        </w:rPr>
        <w:t xml:space="preserve"> </w:t>
      </w:r>
      <w:r w:rsidRPr="005E4FAB">
        <w:rPr>
          <w:rFonts w:cs="Times New Roman"/>
          <w:b/>
          <w:bCs/>
          <w:noProof/>
        </w:rPr>
        <w:t>7</w:t>
      </w:r>
      <w:r w:rsidR="001E666A" w:rsidRPr="005E4FAB">
        <w:rPr>
          <w:rFonts w:cs="Times New Roman"/>
          <w:b/>
          <w:bCs/>
          <w:noProof/>
        </w:rPr>
        <w:t xml:space="preserve"> </w:t>
      </w:r>
      <w:r w:rsidR="001E666A" w:rsidRPr="005E4FAB">
        <w:rPr>
          <w:rFonts w:cs="Times New Roman"/>
          <w:noProof/>
        </w:rPr>
        <w:t>(2)</w:t>
      </w:r>
      <w:r w:rsidRPr="005E4FAB">
        <w:rPr>
          <w:rFonts w:cs="Times New Roman"/>
          <w:noProof/>
        </w:rPr>
        <w:t>, 106–</w:t>
      </w:r>
      <w:r w:rsidR="00522A69">
        <w:rPr>
          <w:rFonts w:cs="Times New Roman"/>
          <w:noProof/>
        </w:rPr>
        <w:t>1</w:t>
      </w:r>
      <w:r w:rsidRPr="005E4FAB">
        <w:rPr>
          <w:rFonts w:cs="Times New Roman"/>
          <w:noProof/>
        </w:rPr>
        <w:t>12 (2011).</w:t>
      </w:r>
    </w:p>
    <w:p w14:paraId="0537C28F" w14:textId="7D86825C" w:rsidR="00191A79" w:rsidRPr="005E4FAB" w:rsidRDefault="002D4E1F" w:rsidP="00376F01">
      <w:pPr>
        <w:autoSpaceDE w:val="0"/>
        <w:autoSpaceDN w:val="0"/>
        <w:adjustRightInd w:val="0"/>
        <w:rPr>
          <w:rFonts w:cs="Times New Roman"/>
          <w:noProof/>
        </w:rPr>
      </w:pPr>
      <w:r w:rsidRPr="005E4FAB">
        <w:rPr>
          <w:rFonts w:cs="Times New Roman"/>
          <w:noProof/>
        </w:rPr>
        <w:t>30</w:t>
      </w:r>
      <w:r w:rsidR="00191A79" w:rsidRPr="005E4FAB">
        <w:rPr>
          <w:rFonts w:cs="Times New Roman"/>
          <w:noProof/>
        </w:rPr>
        <w:t>.</w:t>
      </w:r>
      <w:r w:rsidR="00191A79" w:rsidRPr="005E4FAB">
        <w:rPr>
          <w:rFonts w:cs="Times New Roman"/>
          <w:noProof/>
        </w:rPr>
        <w:tab/>
        <w:t>Cannon, M. B.</w:t>
      </w:r>
      <w:r w:rsidR="00522A69">
        <w:rPr>
          <w:rFonts w:cs="Times New Roman"/>
          <w:noProof/>
        </w:rPr>
        <w:t>,</w:t>
      </w:r>
      <w:r w:rsidR="00191A79" w:rsidRPr="005E4FAB">
        <w:rPr>
          <w:rFonts w:cs="Times New Roman"/>
          <w:noProof/>
        </w:rPr>
        <w:t xml:space="preserve"> Remington, S. J. Redox-sensitive green fluorescent protein: Probes for dynamic intracellular redox responses. A review. </w:t>
      </w:r>
      <w:r w:rsidR="00191A79" w:rsidRPr="005E4FAB">
        <w:rPr>
          <w:rFonts w:cs="Times New Roman"/>
          <w:i/>
          <w:iCs/>
          <w:noProof/>
        </w:rPr>
        <w:t xml:space="preserve">Methods </w:t>
      </w:r>
      <w:r w:rsidR="001E666A" w:rsidRPr="005E4FAB">
        <w:rPr>
          <w:rFonts w:cs="Times New Roman"/>
          <w:i/>
          <w:iCs/>
          <w:noProof/>
        </w:rPr>
        <w:t xml:space="preserve">in </w:t>
      </w:r>
      <w:r w:rsidR="00191A79" w:rsidRPr="005E4FAB">
        <w:rPr>
          <w:rFonts w:cs="Times New Roman"/>
          <w:i/>
          <w:iCs/>
          <w:noProof/>
        </w:rPr>
        <w:t>Mo</w:t>
      </w:r>
      <w:r w:rsidR="001E666A" w:rsidRPr="005E4FAB">
        <w:rPr>
          <w:rFonts w:cs="Times New Roman"/>
          <w:i/>
          <w:iCs/>
          <w:noProof/>
        </w:rPr>
        <w:t>lecular</w:t>
      </w:r>
      <w:r w:rsidR="00191A79" w:rsidRPr="005E4FAB">
        <w:rPr>
          <w:rFonts w:cs="Times New Roman"/>
          <w:i/>
          <w:iCs/>
          <w:noProof/>
        </w:rPr>
        <w:t xml:space="preserve"> Biol</w:t>
      </w:r>
      <w:r w:rsidR="001E666A" w:rsidRPr="005E4FAB">
        <w:rPr>
          <w:rFonts w:cs="Times New Roman"/>
          <w:i/>
          <w:iCs/>
          <w:noProof/>
        </w:rPr>
        <w:t>ogy</w:t>
      </w:r>
      <w:r w:rsidR="00191A79" w:rsidRPr="005E4FAB">
        <w:rPr>
          <w:rFonts w:cs="Times New Roman"/>
          <w:i/>
          <w:iCs/>
          <w:noProof/>
        </w:rPr>
        <w:t>.</w:t>
      </w:r>
      <w:r w:rsidR="00191A79" w:rsidRPr="005E4FAB">
        <w:rPr>
          <w:rFonts w:cs="Times New Roman"/>
          <w:noProof/>
        </w:rPr>
        <w:t xml:space="preserve"> </w:t>
      </w:r>
      <w:r w:rsidR="00191A79" w:rsidRPr="005E4FAB">
        <w:rPr>
          <w:rFonts w:cs="Times New Roman"/>
          <w:b/>
          <w:bCs/>
          <w:noProof/>
        </w:rPr>
        <w:t>476</w:t>
      </w:r>
      <w:r w:rsidR="00191A79" w:rsidRPr="005E4FAB">
        <w:rPr>
          <w:rFonts w:cs="Times New Roman"/>
          <w:noProof/>
        </w:rPr>
        <w:t>, 51–65 (2009).</w:t>
      </w:r>
    </w:p>
    <w:p w14:paraId="472FA324" w14:textId="04FF030F" w:rsidR="00191A79" w:rsidRPr="005E4FAB" w:rsidRDefault="00191A79" w:rsidP="00376F01">
      <w:pPr>
        <w:autoSpaceDE w:val="0"/>
        <w:autoSpaceDN w:val="0"/>
        <w:adjustRightInd w:val="0"/>
        <w:rPr>
          <w:rFonts w:cs="Times New Roman"/>
          <w:noProof/>
        </w:rPr>
      </w:pPr>
      <w:r w:rsidRPr="005E4FAB">
        <w:rPr>
          <w:rFonts w:cs="Times New Roman"/>
          <w:noProof/>
        </w:rPr>
        <w:t>3</w:t>
      </w:r>
      <w:r w:rsidR="002D4E1F" w:rsidRPr="005E4FAB">
        <w:rPr>
          <w:rFonts w:cs="Times New Roman"/>
          <w:noProof/>
        </w:rPr>
        <w:t>1</w:t>
      </w:r>
      <w:r w:rsidRPr="005E4FAB">
        <w:rPr>
          <w:rFonts w:cs="Times New Roman"/>
          <w:noProof/>
        </w:rPr>
        <w:t>.</w:t>
      </w:r>
      <w:r w:rsidRPr="005E4FAB">
        <w:rPr>
          <w:rFonts w:cs="Times New Roman"/>
          <w:noProof/>
        </w:rPr>
        <w:tab/>
        <w:t>Meyer, A. J.</w:t>
      </w:r>
      <w:r w:rsidR="00522A69">
        <w:rPr>
          <w:rFonts w:cs="Times New Roman"/>
          <w:noProof/>
        </w:rPr>
        <w:t>,</w:t>
      </w:r>
      <w:r w:rsidRPr="005E4FAB">
        <w:rPr>
          <w:rFonts w:cs="Times New Roman"/>
          <w:noProof/>
        </w:rPr>
        <w:t xml:space="preserve"> Dick, T. P. Fluorescent protein-based redox probes. </w:t>
      </w:r>
      <w:r w:rsidRPr="005E4FAB">
        <w:rPr>
          <w:rFonts w:cs="Times New Roman"/>
          <w:i/>
          <w:iCs/>
          <w:noProof/>
        </w:rPr>
        <w:t>Antioxidants &amp; Redox S</w:t>
      </w:r>
      <w:r w:rsidR="001E666A" w:rsidRPr="005E4FAB">
        <w:rPr>
          <w:rFonts w:cs="Times New Roman"/>
          <w:i/>
          <w:iCs/>
          <w:noProof/>
        </w:rPr>
        <w:t>i</w:t>
      </w:r>
      <w:r w:rsidRPr="005E4FAB">
        <w:rPr>
          <w:rFonts w:cs="Times New Roman"/>
          <w:i/>
          <w:iCs/>
          <w:noProof/>
        </w:rPr>
        <w:t>gnaling</w:t>
      </w:r>
      <w:r w:rsidR="001E666A" w:rsidRPr="005E4FAB">
        <w:rPr>
          <w:rFonts w:cs="Times New Roman"/>
          <w:i/>
          <w:iCs/>
          <w:noProof/>
        </w:rPr>
        <w:t>.</w:t>
      </w:r>
      <w:r w:rsidRPr="005E4FAB">
        <w:rPr>
          <w:rFonts w:cs="Times New Roman"/>
          <w:noProof/>
        </w:rPr>
        <w:t xml:space="preserve"> </w:t>
      </w:r>
      <w:r w:rsidRPr="005E4FAB">
        <w:rPr>
          <w:rFonts w:cs="Times New Roman"/>
          <w:b/>
          <w:bCs/>
          <w:noProof/>
        </w:rPr>
        <w:t>13</w:t>
      </w:r>
      <w:r w:rsidR="001E666A" w:rsidRPr="005E4FAB">
        <w:rPr>
          <w:rFonts w:cs="Times New Roman"/>
          <w:b/>
          <w:bCs/>
          <w:noProof/>
        </w:rPr>
        <w:t xml:space="preserve"> </w:t>
      </w:r>
      <w:r w:rsidR="001E666A" w:rsidRPr="005E4FAB">
        <w:rPr>
          <w:rFonts w:cs="Times New Roman"/>
          <w:noProof/>
        </w:rPr>
        <w:t>(5)</w:t>
      </w:r>
      <w:r w:rsidRPr="005E4FAB">
        <w:rPr>
          <w:rFonts w:cs="Times New Roman"/>
          <w:noProof/>
        </w:rPr>
        <w:t>, 621–650 (2010).</w:t>
      </w:r>
    </w:p>
    <w:p w14:paraId="7F6A2FBC" w14:textId="14FFB9F3" w:rsidR="00EE5ED7" w:rsidRPr="005E4FAB" w:rsidRDefault="00EE5ED7" w:rsidP="00376F01">
      <w:pPr>
        <w:autoSpaceDE w:val="0"/>
        <w:autoSpaceDN w:val="0"/>
        <w:adjustRightInd w:val="0"/>
        <w:rPr>
          <w:rFonts w:cs="Times New Roman"/>
          <w:noProof/>
        </w:rPr>
      </w:pPr>
      <w:r w:rsidRPr="005E4FAB">
        <w:rPr>
          <w:rFonts w:cs="Times New Roman"/>
          <w:noProof/>
        </w:rPr>
        <w:t>3</w:t>
      </w:r>
      <w:r w:rsidR="002D4E1F" w:rsidRPr="005E4FAB">
        <w:rPr>
          <w:rFonts w:cs="Times New Roman"/>
          <w:noProof/>
        </w:rPr>
        <w:t>2</w:t>
      </w:r>
      <w:r w:rsidRPr="005E4FAB">
        <w:rPr>
          <w:rFonts w:cs="Times New Roman"/>
          <w:noProof/>
        </w:rPr>
        <w:t xml:space="preserve">.    </w:t>
      </w:r>
      <w:r w:rsidR="009D55C6" w:rsidRPr="005E4FAB">
        <w:rPr>
          <w:rFonts w:cs="Times New Roman"/>
          <w:noProof/>
        </w:rPr>
        <w:t xml:space="preserve">  </w:t>
      </w:r>
      <w:r w:rsidRPr="005E4FAB">
        <w:rPr>
          <w:rFonts w:cs="Times New Roman"/>
          <w:noProof/>
        </w:rPr>
        <w:t>Panieri, E., Millia, C.</w:t>
      </w:r>
      <w:r w:rsidR="00522A69">
        <w:rPr>
          <w:rFonts w:cs="Times New Roman"/>
          <w:noProof/>
        </w:rPr>
        <w:t>,</w:t>
      </w:r>
      <w:r w:rsidRPr="005E4FAB">
        <w:rPr>
          <w:rFonts w:cs="Times New Roman"/>
          <w:noProof/>
        </w:rPr>
        <w:t xml:space="preserve"> Santoro, M.M. Real-time quantification of subcellular H2O2 and glutathione redox potential in living cardiovascular tissues</w:t>
      </w:r>
      <w:r w:rsidR="00596AE2" w:rsidRPr="005E4FAB">
        <w:rPr>
          <w:rFonts w:cs="Times New Roman"/>
          <w:noProof/>
        </w:rPr>
        <w:t xml:space="preserve">. </w:t>
      </w:r>
      <w:r w:rsidR="00596AE2" w:rsidRPr="005E4FAB">
        <w:rPr>
          <w:rFonts w:cs="Times New Roman"/>
          <w:i/>
          <w:iCs/>
          <w:noProof/>
        </w:rPr>
        <w:t>Free Radical Biology and Medicine.</w:t>
      </w:r>
      <w:r w:rsidR="00596AE2" w:rsidRPr="005E4FAB">
        <w:rPr>
          <w:rFonts w:cs="Times New Roman"/>
          <w:noProof/>
        </w:rPr>
        <w:t xml:space="preserve"> </w:t>
      </w:r>
      <w:r w:rsidR="00596AE2" w:rsidRPr="005E4FAB">
        <w:rPr>
          <w:rFonts w:cs="Times New Roman"/>
          <w:b/>
          <w:bCs/>
          <w:noProof/>
        </w:rPr>
        <w:t>109</w:t>
      </w:r>
      <w:r w:rsidR="00596AE2" w:rsidRPr="005E4FAB">
        <w:rPr>
          <w:rFonts w:cs="Times New Roman"/>
          <w:noProof/>
        </w:rPr>
        <w:t>, 189-200 (2017).</w:t>
      </w:r>
    </w:p>
    <w:p w14:paraId="76C8AB98" w14:textId="516C23B6" w:rsidR="00596AE2" w:rsidRPr="005E4FAB" w:rsidRDefault="00596AE2" w:rsidP="00376F01">
      <w:pPr>
        <w:autoSpaceDE w:val="0"/>
        <w:autoSpaceDN w:val="0"/>
        <w:adjustRightInd w:val="0"/>
        <w:rPr>
          <w:rFonts w:cs="Times New Roman"/>
          <w:noProof/>
        </w:rPr>
      </w:pPr>
      <w:r w:rsidRPr="005E4FAB">
        <w:rPr>
          <w:rFonts w:cs="Times New Roman"/>
          <w:noProof/>
        </w:rPr>
        <w:t>3</w:t>
      </w:r>
      <w:r w:rsidR="002D4E1F" w:rsidRPr="005E4FAB">
        <w:rPr>
          <w:rFonts w:cs="Times New Roman"/>
          <w:noProof/>
        </w:rPr>
        <w:t>3</w:t>
      </w:r>
      <w:r w:rsidRPr="005E4FAB">
        <w:rPr>
          <w:rFonts w:cs="Times New Roman"/>
          <w:noProof/>
        </w:rPr>
        <w:t xml:space="preserve">.     </w:t>
      </w:r>
      <w:r w:rsidR="009D55C6" w:rsidRPr="005E4FAB">
        <w:rPr>
          <w:rFonts w:cs="Times New Roman"/>
          <w:noProof/>
        </w:rPr>
        <w:t xml:space="preserve"> </w:t>
      </w:r>
      <w:r w:rsidRPr="005E4FAB">
        <w:rPr>
          <w:rFonts w:cs="Times New Roman"/>
          <w:noProof/>
        </w:rPr>
        <w:t>Breus, O.</w:t>
      </w:r>
      <w:r w:rsidR="00522A69">
        <w:rPr>
          <w:rFonts w:cs="Times New Roman"/>
          <w:noProof/>
        </w:rPr>
        <w:t>,</w:t>
      </w:r>
      <w:r w:rsidRPr="005E4FAB">
        <w:rPr>
          <w:rFonts w:cs="Times New Roman"/>
          <w:noProof/>
        </w:rPr>
        <w:t xml:space="preserve"> Dickmeis, T. Genetically encoded thiol redox-sensors in the zebrafish model: </w:t>
      </w:r>
      <w:r w:rsidR="00522A69">
        <w:rPr>
          <w:rFonts w:cs="Times New Roman"/>
          <w:noProof/>
        </w:rPr>
        <w:t>L</w:t>
      </w:r>
      <w:r w:rsidRPr="005E4FAB">
        <w:rPr>
          <w:rFonts w:cs="Times New Roman"/>
          <w:noProof/>
        </w:rPr>
        <w:t xml:space="preserve">essons for embryonic development and regeneration. </w:t>
      </w:r>
      <w:r w:rsidRPr="005E4FAB">
        <w:rPr>
          <w:rFonts w:cs="Times New Roman"/>
          <w:i/>
          <w:iCs/>
          <w:noProof/>
        </w:rPr>
        <w:t>Biological Chemistry.</w:t>
      </w:r>
      <w:r w:rsidRPr="005E4FAB">
        <w:rPr>
          <w:rFonts w:cs="Times New Roman"/>
          <w:noProof/>
        </w:rPr>
        <w:t xml:space="preserve"> Online ahead of print (2020). </w:t>
      </w:r>
    </w:p>
    <w:p w14:paraId="11C00941" w14:textId="632999AC" w:rsidR="00804212" w:rsidRPr="005E4FAB" w:rsidRDefault="00804212" w:rsidP="00376F01">
      <w:pPr>
        <w:autoSpaceDE w:val="0"/>
        <w:autoSpaceDN w:val="0"/>
        <w:adjustRightInd w:val="0"/>
        <w:rPr>
          <w:rFonts w:cs="Times New Roman"/>
          <w:noProof/>
        </w:rPr>
      </w:pPr>
      <w:r w:rsidRPr="005E4FAB">
        <w:rPr>
          <w:rFonts w:cs="Times New Roman"/>
          <w:noProof/>
        </w:rPr>
        <w:t>3</w:t>
      </w:r>
      <w:r w:rsidR="002D4E1F" w:rsidRPr="005E4FAB">
        <w:rPr>
          <w:rFonts w:cs="Times New Roman"/>
          <w:noProof/>
        </w:rPr>
        <w:t>4</w:t>
      </w:r>
      <w:r w:rsidRPr="005E4FAB">
        <w:rPr>
          <w:rFonts w:cs="Times New Roman"/>
          <w:noProof/>
        </w:rPr>
        <w:t xml:space="preserve">.    </w:t>
      </w:r>
      <w:r w:rsidR="009D55C6" w:rsidRPr="005E4FAB">
        <w:rPr>
          <w:rFonts w:cs="Times New Roman"/>
          <w:noProof/>
        </w:rPr>
        <w:t xml:space="preserve">  </w:t>
      </w:r>
      <w:r w:rsidRPr="005E4FAB">
        <w:rPr>
          <w:rFonts w:cs="Times New Roman"/>
          <w:noProof/>
        </w:rPr>
        <w:t xml:space="preserve">Morgan, B. </w:t>
      </w:r>
      <w:r w:rsidRPr="00522A69">
        <w:rPr>
          <w:rFonts w:cs="Times New Roman"/>
          <w:noProof/>
        </w:rPr>
        <w:t>et al.</w:t>
      </w:r>
      <w:r w:rsidRPr="005E4FAB">
        <w:rPr>
          <w:rFonts w:cs="Times New Roman"/>
          <w:noProof/>
        </w:rPr>
        <w:t xml:space="preserve"> Real-time monitoring of basal H2O2 levels with peroxiredoxin-based probes. </w:t>
      </w:r>
      <w:r w:rsidRPr="00522A69">
        <w:rPr>
          <w:rFonts w:cs="Times New Roman"/>
          <w:i/>
          <w:iCs/>
          <w:noProof/>
        </w:rPr>
        <w:t>Nature Chemical Biology.</w:t>
      </w:r>
      <w:r w:rsidRPr="005E4FAB">
        <w:rPr>
          <w:rFonts w:cs="Times New Roman"/>
          <w:noProof/>
        </w:rPr>
        <w:t xml:space="preserve"> </w:t>
      </w:r>
      <w:r w:rsidRPr="005E4FAB">
        <w:rPr>
          <w:rFonts w:cs="Times New Roman"/>
          <w:b/>
          <w:bCs/>
          <w:noProof/>
        </w:rPr>
        <w:t xml:space="preserve">12 </w:t>
      </w:r>
      <w:r w:rsidRPr="005E4FAB">
        <w:rPr>
          <w:rFonts w:cs="Times New Roman"/>
          <w:noProof/>
        </w:rPr>
        <w:t>(6), 437-443 (2016).</w:t>
      </w:r>
    </w:p>
    <w:p w14:paraId="46F8CA14" w14:textId="765610C0" w:rsidR="00653FCE" w:rsidRPr="005E4FAB" w:rsidRDefault="00653FCE" w:rsidP="00376F01">
      <w:pPr>
        <w:autoSpaceDE w:val="0"/>
        <w:autoSpaceDN w:val="0"/>
        <w:adjustRightInd w:val="0"/>
        <w:rPr>
          <w:rFonts w:cs="Times New Roman"/>
          <w:noProof/>
        </w:rPr>
      </w:pPr>
      <w:r w:rsidRPr="005E4FAB">
        <w:rPr>
          <w:rFonts w:cs="Times New Roman"/>
          <w:noProof/>
        </w:rPr>
        <w:t>3</w:t>
      </w:r>
      <w:r w:rsidR="002D4E1F" w:rsidRPr="005E4FAB">
        <w:rPr>
          <w:rFonts w:cs="Times New Roman"/>
          <w:noProof/>
        </w:rPr>
        <w:t>5</w:t>
      </w:r>
      <w:r w:rsidRPr="005E4FAB">
        <w:rPr>
          <w:rFonts w:cs="Times New Roman"/>
          <w:noProof/>
        </w:rPr>
        <w:t xml:space="preserve">.     </w:t>
      </w:r>
      <w:r w:rsidR="00061C05" w:rsidRPr="005E4FAB">
        <w:rPr>
          <w:rFonts w:cs="Times New Roman"/>
          <w:noProof/>
        </w:rPr>
        <w:t xml:space="preserve"> </w:t>
      </w:r>
      <w:r w:rsidRPr="005E4FAB">
        <w:rPr>
          <w:rFonts w:cs="Times New Roman"/>
          <w:noProof/>
        </w:rPr>
        <w:t>Terzi, A., Roeder, H., Weaver, C.</w:t>
      </w:r>
      <w:r w:rsidR="00522A69">
        <w:rPr>
          <w:rFonts w:cs="Times New Roman"/>
          <w:noProof/>
        </w:rPr>
        <w:t xml:space="preserve"> </w:t>
      </w:r>
      <w:r w:rsidRPr="005E4FAB">
        <w:rPr>
          <w:rFonts w:cs="Times New Roman"/>
          <w:noProof/>
        </w:rPr>
        <w:t>J.</w:t>
      </w:r>
      <w:r w:rsidR="00522A69">
        <w:rPr>
          <w:rFonts w:cs="Times New Roman"/>
          <w:noProof/>
        </w:rPr>
        <w:t>,</w:t>
      </w:r>
      <w:r w:rsidRPr="005E4FAB">
        <w:rPr>
          <w:rFonts w:cs="Times New Roman"/>
          <w:noProof/>
        </w:rPr>
        <w:t xml:space="preserve"> Suter, D.M. Neuronal NADPH oxidase 2 regulates growth cone guidance downstream of slit2/robo2. </w:t>
      </w:r>
      <w:r w:rsidRPr="005E4FAB">
        <w:rPr>
          <w:rFonts w:cs="Times New Roman"/>
          <w:i/>
          <w:iCs/>
          <w:noProof/>
        </w:rPr>
        <w:t>Developmental Neurobiology</w:t>
      </w:r>
      <w:r w:rsidRPr="005E4FAB">
        <w:rPr>
          <w:rFonts w:cs="Times New Roman"/>
          <w:noProof/>
        </w:rPr>
        <w:t>. Online ahead of print</w:t>
      </w:r>
      <w:r w:rsidR="00061C05" w:rsidRPr="005E4FAB">
        <w:rPr>
          <w:rFonts w:cs="Times New Roman"/>
          <w:noProof/>
        </w:rPr>
        <w:t xml:space="preserve"> (2020)</w:t>
      </w:r>
      <w:r w:rsidRPr="005E4FAB">
        <w:rPr>
          <w:rFonts w:cs="Times New Roman"/>
          <w:noProof/>
        </w:rPr>
        <w:t>.</w:t>
      </w:r>
    </w:p>
    <w:p w14:paraId="099288F4" w14:textId="7AB89DB3" w:rsidR="00191A79" w:rsidRPr="005E4FAB" w:rsidRDefault="00191A79" w:rsidP="00376F01">
      <w:pPr>
        <w:autoSpaceDE w:val="0"/>
        <w:autoSpaceDN w:val="0"/>
        <w:adjustRightInd w:val="0"/>
        <w:rPr>
          <w:rFonts w:cs="Times New Roman"/>
          <w:noProof/>
        </w:rPr>
      </w:pPr>
      <w:r w:rsidRPr="005E4FAB">
        <w:rPr>
          <w:rFonts w:cs="Times New Roman"/>
          <w:noProof/>
        </w:rPr>
        <w:t>3</w:t>
      </w:r>
      <w:r w:rsidR="002D4E1F" w:rsidRPr="005E4FAB">
        <w:rPr>
          <w:rFonts w:cs="Times New Roman"/>
          <w:noProof/>
        </w:rPr>
        <w:t>6</w:t>
      </w:r>
      <w:r w:rsidRPr="005E4FAB">
        <w:rPr>
          <w:rFonts w:cs="Times New Roman"/>
          <w:noProof/>
        </w:rPr>
        <w:t>.</w:t>
      </w:r>
      <w:r w:rsidRPr="005E4FAB">
        <w:rPr>
          <w:rFonts w:cs="Times New Roman"/>
          <w:noProof/>
        </w:rPr>
        <w:tab/>
        <w:t>Bilan, D. S.</w:t>
      </w:r>
      <w:r w:rsidR="00522A69">
        <w:rPr>
          <w:rFonts w:cs="Times New Roman"/>
          <w:noProof/>
        </w:rPr>
        <w:t>,</w:t>
      </w:r>
      <w:r w:rsidRPr="005E4FAB">
        <w:rPr>
          <w:rFonts w:cs="Times New Roman"/>
          <w:noProof/>
        </w:rPr>
        <w:t xml:space="preserve"> Belousov, V. V. HyPer </w:t>
      </w:r>
      <w:r w:rsidR="00634D0A" w:rsidRPr="005E4FAB">
        <w:rPr>
          <w:rFonts w:cs="Times New Roman"/>
          <w:noProof/>
        </w:rPr>
        <w:t>f</w:t>
      </w:r>
      <w:r w:rsidRPr="005E4FAB">
        <w:rPr>
          <w:rFonts w:cs="Times New Roman"/>
          <w:noProof/>
        </w:rPr>
        <w:t xml:space="preserve">amily </w:t>
      </w:r>
      <w:r w:rsidR="00634D0A" w:rsidRPr="005E4FAB">
        <w:rPr>
          <w:rFonts w:cs="Times New Roman"/>
          <w:noProof/>
        </w:rPr>
        <w:t>p</w:t>
      </w:r>
      <w:r w:rsidRPr="005E4FAB">
        <w:rPr>
          <w:rFonts w:cs="Times New Roman"/>
          <w:noProof/>
        </w:rPr>
        <w:t xml:space="preserve">robes: State of the </w:t>
      </w:r>
      <w:r w:rsidR="00634D0A" w:rsidRPr="005E4FAB">
        <w:rPr>
          <w:rFonts w:cs="Times New Roman"/>
          <w:noProof/>
        </w:rPr>
        <w:t>a</w:t>
      </w:r>
      <w:r w:rsidRPr="005E4FAB">
        <w:rPr>
          <w:rFonts w:cs="Times New Roman"/>
          <w:noProof/>
        </w:rPr>
        <w:t xml:space="preserve">rt. </w:t>
      </w:r>
      <w:r w:rsidRPr="005E4FAB">
        <w:rPr>
          <w:rFonts w:cs="Times New Roman"/>
          <w:i/>
          <w:iCs/>
          <w:noProof/>
        </w:rPr>
        <w:t>Antioxid</w:t>
      </w:r>
      <w:r w:rsidR="001E666A" w:rsidRPr="005E4FAB">
        <w:rPr>
          <w:rFonts w:cs="Times New Roman"/>
          <w:i/>
          <w:iCs/>
          <w:noProof/>
        </w:rPr>
        <w:t>ants &amp;</w:t>
      </w:r>
      <w:r w:rsidRPr="005E4FAB">
        <w:rPr>
          <w:rFonts w:cs="Times New Roman"/>
          <w:i/>
          <w:iCs/>
          <w:noProof/>
        </w:rPr>
        <w:t xml:space="preserve"> Redox Signal</w:t>
      </w:r>
      <w:r w:rsidR="001E666A" w:rsidRPr="005E4FAB">
        <w:rPr>
          <w:rFonts w:cs="Times New Roman"/>
          <w:i/>
          <w:iCs/>
          <w:noProof/>
        </w:rPr>
        <w:t>ing</w:t>
      </w:r>
      <w:r w:rsidRPr="005E4FAB">
        <w:rPr>
          <w:rFonts w:cs="Times New Roman"/>
          <w:i/>
          <w:iCs/>
          <w:noProof/>
        </w:rPr>
        <w:t>.</w:t>
      </w:r>
      <w:r w:rsidRPr="005E4FAB">
        <w:rPr>
          <w:rFonts w:cs="Times New Roman"/>
          <w:noProof/>
        </w:rPr>
        <w:t xml:space="preserve"> </w:t>
      </w:r>
      <w:r w:rsidRPr="005E4FAB">
        <w:rPr>
          <w:rFonts w:cs="Times New Roman"/>
          <w:b/>
          <w:bCs/>
          <w:noProof/>
        </w:rPr>
        <w:t>24</w:t>
      </w:r>
      <w:r w:rsidR="001E666A" w:rsidRPr="005E4FAB">
        <w:rPr>
          <w:rFonts w:cs="Times New Roman"/>
          <w:b/>
          <w:bCs/>
          <w:noProof/>
        </w:rPr>
        <w:t xml:space="preserve"> </w:t>
      </w:r>
      <w:r w:rsidR="001E666A" w:rsidRPr="005E4FAB">
        <w:rPr>
          <w:rFonts w:cs="Times New Roman"/>
          <w:noProof/>
        </w:rPr>
        <w:t>(13)</w:t>
      </w:r>
      <w:r w:rsidRPr="005E4FAB">
        <w:rPr>
          <w:rFonts w:cs="Times New Roman"/>
          <w:noProof/>
        </w:rPr>
        <w:t>, 731–51 (2016).</w:t>
      </w:r>
    </w:p>
    <w:p w14:paraId="3E0EBCDD" w14:textId="35F0D865" w:rsidR="00653FCE" w:rsidRPr="005E4FAB" w:rsidRDefault="00653FCE" w:rsidP="00376F01">
      <w:pPr>
        <w:autoSpaceDE w:val="0"/>
        <w:autoSpaceDN w:val="0"/>
        <w:adjustRightInd w:val="0"/>
        <w:rPr>
          <w:rFonts w:cs="Times New Roman"/>
          <w:noProof/>
        </w:rPr>
      </w:pPr>
      <w:r w:rsidRPr="005E4FAB">
        <w:rPr>
          <w:rFonts w:cs="Times New Roman"/>
          <w:noProof/>
        </w:rPr>
        <w:t>3</w:t>
      </w:r>
      <w:r w:rsidR="002D4E1F" w:rsidRPr="005E4FAB">
        <w:rPr>
          <w:rFonts w:cs="Times New Roman"/>
          <w:noProof/>
        </w:rPr>
        <w:t>7</w:t>
      </w:r>
      <w:r w:rsidRPr="005E4FAB">
        <w:rPr>
          <w:rFonts w:cs="Times New Roman"/>
          <w:noProof/>
        </w:rPr>
        <w:t>.      Ermankova, Y.</w:t>
      </w:r>
      <w:r w:rsidR="00522A69">
        <w:rPr>
          <w:rFonts w:cs="Times New Roman"/>
          <w:noProof/>
        </w:rPr>
        <w:t xml:space="preserve"> </w:t>
      </w:r>
      <w:r w:rsidRPr="005E4FAB">
        <w:rPr>
          <w:rFonts w:cs="Times New Roman"/>
          <w:noProof/>
        </w:rPr>
        <w:t xml:space="preserve">G. </w:t>
      </w:r>
      <w:r w:rsidRPr="00522A69">
        <w:rPr>
          <w:rFonts w:cs="Times New Roman"/>
          <w:noProof/>
        </w:rPr>
        <w:t>et al.</w:t>
      </w:r>
      <w:r w:rsidRPr="005E4FAB">
        <w:rPr>
          <w:rFonts w:cs="Times New Roman"/>
          <w:noProof/>
        </w:rPr>
        <w:t xml:space="preserve"> SypHer3s: a genetically encoded fluorescent ratiometric probe with enhanced brightness and an improved dynamic range. </w:t>
      </w:r>
      <w:r w:rsidRPr="005E4FAB">
        <w:rPr>
          <w:rFonts w:cs="Times New Roman"/>
          <w:i/>
          <w:iCs/>
          <w:noProof/>
        </w:rPr>
        <w:t>Chemistry Communications</w:t>
      </w:r>
      <w:r w:rsidRPr="005E4FAB">
        <w:rPr>
          <w:rFonts w:cs="Times New Roman"/>
          <w:noProof/>
        </w:rPr>
        <w:t xml:space="preserve">. </w:t>
      </w:r>
      <w:r w:rsidRPr="005E4FAB">
        <w:rPr>
          <w:rFonts w:cs="Times New Roman"/>
          <w:b/>
          <w:bCs/>
          <w:noProof/>
        </w:rPr>
        <w:t xml:space="preserve">54 </w:t>
      </w:r>
      <w:r w:rsidRPr="005E4FAB">
        <w:rPr>
          <w:rFonts w:cs="Times New Roman"/>
          <w:noProof/>
        </w:rPr>
        <w:t xml:space="preserve">(23), 2898-2901 (2018). </w:t>
      </w:r>
    </w:p>
    <w:p w14:paraId="2835525A" w14:textId="367BEC79" w:rsidR="00653FCE" w:rsidRPr="005E4FAB" w:rsidRDefault="00653FCE" w:rsidP="00376F01">
      <w:pPr>
        <w:autoSpaceDE w:val="0"/>
        <w:autoSpaceDN w:val="0"/>
        <w:adjustRightInd w:val="0"/>
        <w:rPr>
          <w:rFonts w:cs="Times New Roman"/>
          <w:noProof/>
        </w:rPr>
      </w:pPr>
      <w:r w:rsidRPr="005E4FAB">
        <w:rPr>
          <w:rFonts w:cs="Times New Roman"/>
          <w:noProof/>
        </w:rPr>
        <w:t>3</w:t>
      </w:r>
      <w:r w:rsidR="002D4E1F" w:rsidRPr="005E4FAB">
        <w:rPr>
          <w:rFonts w:cs="Times New Roman"/>
          <w:noProof/>
        </w:rPr>
        <w:t>8</w:t>
      </w:r>
      <w:r w:rsidRPr="005E4FAB">
        <w:rPr>
          <w:rFonts w:cs="Times New Roman"/>
          <w:noProof/>
        </w:rPr>
        <w:t xml:space="preserve">. </w:t>
      </w:r>
      <w:r w:rsidR="005F6AEE" w:rsidRPr="005E4FAB">
        <w:rPr>
          <w:rFonts w:cs="Times New Roman"/>
          <w:noProof/>
        </w:rPr>
        <w:t xml:space="preserve">  </w:t>
      </w:r>
      <w:r w:rsidR="00061C05" w:rsidRPr="005E4FAB">
        <w:rPr>
          <w:rFonts w:cs="Times New Roman"/>
          <w:noProof/>
        </w:rPr>
        <w:t xml:space="preserve">   </w:t>
      </w:r>
      <w:r w:rsidR="005F6AEE" w:rsidRPr="005E4FAB">
        <w:rPr>
          <w:rFonts w:cs="Times New Roman"/>
          <w:noProof/>
        </w:rPr>
        <w:t>Pak, V.</w:t>
      </w:r>
      <w:r w:rsidR="00522A69">
        <w:rPr>
          <w:rFonts w:cs="Times New Roman"/>
          <w:noProof/>
        </w:rPr>
        <w:t xml:space="preserve"> </w:t>
      </w:r>
      <w:r w:rsidR="005F6AEE" w:rsidRPr="005E4FAB">
        <w:rPr>
          <w:rFonts w:cs="Times New Roman"/>
          <w:noProof/>
        </w:rPr>
        <w:t xml:space="preserve">V. et al. Ultrasensitive </w:t>
      </w:r>
      <w:r w:rsidR="00634D0A" w:rsidRPr="005E4FAB">
        <w:rPr>
          <w:rFonts w:cs="Times New Roman"/>
          <w:noProof/>
        </w:rPr>
        <w:t>g</w:t>
      </w:r>
      <w:r w:rsidR="005F6AEE" w:rsidRPr="005E4FAB">
        <w:rPr>
          <w:rFonts w:cs="Times New Roman"/>
          <w:noProof/>
        </w:rPr>
        <w:t xml:space="preserve">enetically </w:t>
      </w:r>
      <w:r w:rsidR="00634D0A" w:rsidRPr="005E4FAB">
        <w:rPr>
          <w:rFonts w:cs="Times New Roman"/>
          <w:noProof/>
        </w:rPr>
        <w:t>e</w:t>
      </w:r>
      <w:r w:rsidR="005F6AEE" w:rsidRPr="005E4FAB">
        <w:rPr>
          <w:rFonts w:cs="Times New Roman"/>
          <w:noProof/>
        </w:rPr>
        <w:t xml:space="preserve">ncoded </w:t>
      </w:r>
      <w:r w:rsidR="00634D0A" w:rsidRPr="005E4FAB">
        <w:rPr>
          <w:rFonts w:cs="Times New Roman"/>
          <w:noProof/>
        </w:rPr>
        <w:t>i</w:t>
      </w:r>
      <w:r w:rsidR="005F6AEE" w:rsidRPr="005E4FAB">
        <w:rPr>
          <w:rFonts w:cs="Times New Roman"/>
          <w:noProof/>
        </w:rPr>
        <w:t xml:space="preserve">ndicator for </w:t>
      </w:r>
      <w:r w:rsidR="00634D0A" w:rsidRPr="005E4FAB">
        <w:rPr>
          <w:rFonts w:cs="Times New Roman"/>
          <w:noProof/>
        </w:rPr>
        <w:t>h</w:t>
      </w:r>
      <w:r w:rsidR="005F6AEE" w:rsidRPr="005E4FAB">
        <w:rPr>
          <w:rFonts w:cs="Times New Roman"/>
          <w:noProof/>
        </w:rPr>
        <w:t xml:space="preserve">ydrogen </w:t>
      </w:r>
      <w:r w:rsidR="00634D0A" w:rsidRPr="005E4FAB">
        <w:rPr>
          <w:rFonts w:cs="Times New Roman"/>
          <w:noProof/>
        </w:rPr>
        <w:t>p</w:t>
      </w:r>
      <w:r w:rsidR="005F6AEE" w:rsidRPr="005E4FAB">
        <w:rPr>
          <w:rFonts w:cs="Times New Roman"/>
          <w:noProof/>
        </w:rPr>
        <w:t xml:space="preserve">eroxide </w:t>
      </w:r>
      <w:r w:rsidR="00634D0A" w:rsidRPr="005E4FAB">
        <w:rPr>
          <w:rFonts w:cs="Times New Roman"/>
          <w:noProof/>
        </w:rPr>
        <w:t>i</w:t>
      </w:r>
      <w:r w:rsidR="005F6AEE" w:rsidRPr="005E4FAB">
        <w:rPr>
          <w:rFonts w:cs="Times New Roman"/>
          <w:noProof/>
        </w:rPr>
        <w:t xml:space="preserve">dentifies </w:t>
      </w:r>
      <w:r w:rsidR="00634D0A" w:rsidRPr="005E4FAB">
        <w:rPr>
          <w:rFonts w:cs="Times New Roman"/>
          <w:noProof/>
        </w:rPr>
        <w:t>r</w:t>
      </w:r>
      <w:r w:rsidR="005F6AEE" w:rsidRPr="005E4FAB">
        <w:rPr>
          <w:rFonts w:cs="Times New Roman"/>
          <w:noProof/>
        </w:rPr>
        <w:t xml:space="preserve">oles for the </w:t>
      </w:r>
      <w:r w:rsidR="00634D0A" w:rsidRPr="005E4FAB">
        <w:rPr>
          <w:rFonts w:cs="Times New Roman"/>
          <w:noProof/>
        </w:rPr>
        <w:t>oxidant in cell migration and mitochondrial function.</w:t>
      </w:r>
      <w:r w:rsidR="00522A69">
        <w:rPr>
          <w:rFonts w:cs="Times New Roman"/>
          <w:noProof/>
        </w:rPr>
        <w:t xml:space="preserve"> </w:t>
      </w:r>
      <w:r w:rsidR="005F6AEE" w:rsidRPr="005E4FAB">
        <w:rPr>
          <w:rFonts w:cs="Times New Roman"/>
          <w:i/>
          <w:iCs/>
          <w:noProof/>
        </w:rPr>
        <w:t>Cell Metabolism</w:t>
      </w:r>
      <w:r w:rsidR="005F6AEE" w:rsidRPr="005E4FAB">
        <w:rPr>
          <w:rFonts w:cs="Times New Roman"/>
          <w:noProof/>
        </w:rPr>
        <w:t xml:space="preserve">. </w:t>
      </w:r>
      <w:r w:rsidR="005F6AEE" w:rsidRPr="005E4FAB">
        <w:rPr>
          <w:rFonts w:cs="Times New Roman"/>
          <w:b/>
          <w:bCs/>
          <w:noProof/>
        </w:rPr>
        <w:t xml:space="preserve">31 </w:t>
      </w:r>
      <w:r w:rsidR="005F6AEE" w:rsidRPr="005E4FAB">
        <w:rPr>
          <w:rFonts w:cs="Times New Roman"/>
          <w:noProof/>
        </w:rPr>
        <w:t>(3), 642–653 (2020).</w:t>
      </w:r>
    </w:p>
    <w:p w14:paraId="559CA931" w14:textId="1975EF7D" w:rsidR="00191A79" w:rsidRPr="005E4FAB" w:rsidRDefault="00191A79" w:rsidP="00376F01">
      <w:pPr>
        <w:autoSpaceDE w:val="0"/>
        <w:autoSpaceDN w:val="0"/>
        <w:adjustRightInd w:val="0"/>
        <w:rPr>
          <w:noProof/>
        </w:rPr>
      </w:pPr>
      <w:r w:rsidRPr="005E4FAB">
        <w:rPr>
          <w:rFonts w:cs="Times New Roman"/>
          <w:noProof/>
        </w:rPr>
        <w:t>3</w:t>
      </w:r>
      <w:r w:rsidR="002D4E1F" w:rsidRPr="005E4FAB">
        <w:rPr>
          <w:rFonts w:cs="Times New Roman"/>
          <w:noProof/>
        </w:rPr>
        <w:t>9</w:t>
      </w:r>
      <w:r w:rsidRPr="005E4FAB">
        <w:rPr>
          <w:rFonts w:cs="Times New Roman"/>
          <w:noProof/>
        </w:rPr>
        <w:t>.</w:t>
      </w:r>
      <w:r w:rsidRPr="005E4FAB">
        <w:rPr>
          <w:rFonts w:cs="Times New Roman"/>
          <w:noProof/>
        </w:rPr>
        <w:tab/>
        <w:t xml:space="preserve">Kwan, K. M. </w:t>
      </w:r>
      <w:r w:rsidRPr="00522A69">
        <w:rPr>
          <w:rFonts w:cs="Times New Roman"/>
          <w:noProof/>
        </w:rPr>
        <w:t xml:space="preserve">et al. </w:t>
      </w:r>
      <w:r w:rsidRPr="005E4FAB">
        <w:rPr>
          <w:rFonts w:cs="Times New Roman"/>
          <w:noProof/>
        </w:rPr>
        <w:t xml:space="preserve">The Tol2kit: A multisite gateway-based construction Kit for Tol2 transposon transgenesis constructs. </w:t>
      </w:r>
      <w:r w:rsidRPr="005E4FAB">
        <w:rPr>
          <w:rFonts w:cs="Times New Roman"/>
          <w:i/>
          <w:iCs/>
          <w:noProof/>
        </w:rPr>
        <w:t>Dev</w:t>
      </w:r>
      <w:r w:rsidR="001E666A" w:rsidRPr="005E4FAB">
        <w:rPr>
          <w:rFonts w:cs="Times New Roman"/>
          <w:i/>
          <w:iCs/>
          <w:noProof/>
        </w:rPr>
        <w:t>elopmental</w:t>
      </w:r>
      <w:r w:rsidRPr="005E4FAB">
        <w:rPr>
          <w:rFonts w:cs="Times New Roman"/>
          <w:i/>
          <w:iCs/>
          <w:noProof/>
        </w:rPr>
        <w:t xml:space="preserve"> Dyn</w:t>
      </w:r>
      <w:r w:rsidR="001E666A" w:rsidRPr="005E4FAB">
        <w:rPr>
          <w:rFonts w:cs="Times New Roman"/>
          <w:i/>
          <w:iCs/>
          <w:noProof/>
        </w:rPr>
        <w:t>amics</w:t>
      </w:r>
      <w:r w:rsidRPr="005E4FAB">
        <w:rPr>
          <w:rFonts w:cs="Times New Roman"/>
          <w:i/>
          <w:iCs/>
          <w:noProof/>
        </w:rPr>
        <w:t>.</w:t>
      </w:r>
      <w:r w:rsidRPr="005E4FAB">
        <w:rPr>
          <w:rFonts w:cs="Times New Roman"/>
          <w:noProof/>
        </w:rPr>
        <w:t xml:space="preserve"> </w:t>
      </w:r>
      <w:r w:rsidRPr="005E4FAB">
        <w:rPr>
          <w:rFonts w:cs="Times New Roman"/>
          <w:b/>
          <w:bCs/>
          <w:noProof/>
        </w:rPr>
        <w:t>236</w:t>
      </w:r>
      <w:r w:rsidR="001E666A" w:rsidRPr="005E4FAB">
        <w:rPr>
          <w:rFonts w:cs="Times New Roman"/>
          <w:b/>
          <w:bCs/>
          <w:noProof/>
        </w:rPr>
        <w:t xml:space="preserve"> </w:t>
      </w:r>
      <w:r w:rsidR="001E666A" w:rsidRPr="005E4FAB">
        <w:rPr>
          <w:rFonts w:cs="Times New Roman"/>
          <w:noProof/>
        </w:rPr>
        <w:t>(11)</w:t>
      </w:r>
      <w:r w:rsidRPr="005E4FAB">
        <w:rPr>
          <w:rFonts w:cs="Times New Roman"/>
          <w:noProof/>
        </w:rPr>
        <w:t>, 3088–3099 (2007).</w:t>
      </w:r>
    </w:p>
    <w:p w14:paraId="7613B19C" w14:textId="77777777" w:rsidR="00191A79" w:rsidRPr="005E4FAB" w:rsidRDefault="00191A79" w:rsidP="00376F01">
      <w:pPr>
        <w:autoSpaceDE w:val="0"/>
        <w:autoSpaceDN w:val="0"/>
        <w:adjustRightInd w:val="0"/>
        <w:rPr>
          <w:b/>
        </w:rPr>
      </w:pPr>
    </w:p>
    <w:p w14:paraId="6C91B4B1" w14:textId="77777777" w:rsidR="00191A79" w:rsidRPr="005E4FAB" w:rsidRDefault="00191A79" w:rsidP="00376F01">
      <w:pPr>
        <w:pBdr>
          <w:top w:val="nil"/>
          <w:left w:val="nil"/>
          <w:bottom w:val="nil"/>
          <w:right w:val="nil"/>
          <w:between w:val="nil"/>
        </w:pBdr>
      </w:pPr>
      <w:bookmarkStart w:id="1" w:name="gjdgxs" w:colFirst="0" w:colLast="0"/>
      <w:bookmarkStart w:id="2" w:name="30j0zll" w:colFirst="0" w:colLast="0"/>
      <w:bookmarkStart w:id="3" w:name="1fob9te" w:colFirst="0" w:colLast="0"/>
      <w:bookmarkStart w:id="4" w:name="kix.dnstqay1kwjl" w:colFirst="0" w:colLast="0"/>
      <w:bookmarkStart w:id="5" w:name="3znysh7" w:colFirst="0" w:colLast="0"/>
      <w:bookmarkStart w:id="6" w:name="2et92p0" w:colFirst="0" w:colLast="0"/>
      <w:bookmarkStart w:id="7" w:name="tyjcwt" w:colFirst="0" w:colLast="0"/>
      <w:bookmarkStart w:id="8" w:name="3dy6vkm" w:colFirst="0" w:colLast="0"/>
      <w:bookmarkStart w:id="9" w:name="1t3h5sf" w:colFirst="0" w:colLast="0"/>
      <w:bookmarkStart w:id="10" w:name="4d34og8" w:colFirst="0" w:colLast="0"/>
      <w:bookmarkStart w:id="11" w:name="2s8eyo1" w:colFirst="0" w:colLast="0"/>
      <w:bookmarkStart w:id="12" w:name="17dp8vu" w:colFirst="0" w:colLast="0"/>
      <w:bookmarkStart w:id="13" w:name="3rdcrjn" w:colFirst="0" w:colLast="0"/>
      <w:bookmarkEnd w:id="1"/>
      <w:bookmarkEnd w:id="2"/>
      <w:bookmarkEnd w:id="3"/>
      <w:bookmarkEnd w:id="4"/>
      <w:bookmarkEnd w:id="5"/>
      <w:bookmarkEnd w:id="6"/>
      <w:bookmarkEnd w:id="7"/>
      <w:bookmarkEnd w:id="8"/>
      <w:bookmarkEnd w:id="9"/>
      <w:bookmarkEnd w:id="10"/>
      <w:bookmarkEnd w:id="11"/>
      <w:bookmarkEnd w:id="12"/>
      <w:bookmarkEnd w:id="13"/>
    </w:p>
    <w:p w14:paraId="4326CE14" w14:textId="77777777" w:rsidR="00840B1B" w:rsidRPr="005E4FAB" w:rsidRDefault="00840B1B" w:rsidP="00376F01"/>
    <w:sectPr w:rsidR="00840B1B" w:rsidRPr="005E4FAB" w:rsidSect="005F2470">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9E52D" w14:textId="77777777" w:rsidR="00747CFD" w:rsidRDefault="00747CFD">
      <w:r>
        <w:separator/>
      </w:r>
    </w:p>
  </w:endnote>
  <w:endnote w:type="continuationSeparator" w:id="0">
    <w:p w14:paraId="4D0020F0" w14:textId="77777777" w:rsidR="00747CFD" w:rsidRDefault="0074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龀Ɓ怀"/>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7F48C" w14:textId="77777777" w:rsidR="009B24F9" w:rsidRDefault="009B24F9" w:rsidP="00840B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0D8224" w14:textId="77777777" w:rsidR="009B24F9" w:rsidRDefault="009B24F9" w:rsidP="00840B1B">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996A3" w14:textId="77777777" w:rsidR="009B24F9" w:rsidRDefault="009B24F9" w:rsidP="00840B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CD4E8B8" w14:textId="77777777" w:rsidR="009B24F9" w:rsidRDefault="009B24F9" w:rsidP="00840B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8DBBE" w14:textId="77777777" w:rsidR="00747CFD" w:rsidRDefault="00747CFD">
      <w:r>
        <w:separator/>
      </w:r>
    </w:p>
  </w:footnote>
  <w:footnote w:type="continuationSeparator" w:id="0">
    <w:p w14:paraId="1C9C464F" w14:textId="77777777" w:rsidR="00747CFD" w:rsidRDefault="00747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DD06E" w14:textId="77777777" w:rsidR="009B24F9" w:rsidRDefault="009B24F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CD715" w14:textId="77777777" w:rsidR="009B24F9" w:rsidRDefault="009B24F9">
    <w:pPr>
      <w:pBdr>
        <w:top w:val="nil"/>
        <w:left w:val="nil"/>
        <w:bottom w:val="nil"/>
        <w:right w:val="nil"/>
        <w:between w:val="nil"/>
      </w:pBdr>
      <w:tabs>
        <w:tab w:val="center" w:pos="4680"/>
        <w:tab w:val="right" w:pos="9360"/>
        <w:tab w:val="left" w:pos="5724"/>
      </w:tabs>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05EB2" w14:textId="3A45E0FD" w:rsidR="009B24F9" w:rsidRDefault="009B24F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978D7"/>
    <w:multiLevelType w:val="multilevel"/>
    <w:tmpl w:val="325203F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E62289"/>
    <w:multiLevelType w:val="multilevel"/>
    <w:tmpl w:val="3B8A6A7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5F6E9F"/>
    <w:multiLevelType w:val="multilevel"/>
    <w:tmpl w:val="14C06A1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5C533B"/>
    <w:multiLevelType w:val="multilevel"/>
    <w:tmpl w:val="A3C8A3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3F39FD"/>
    <w:multiLevelType w:val="multilevel"/>
    <w:tmpl w:val="BC4C431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BE7F88"/>
    <w:multiLevelType w:val="multilevel"/>
    <w:tmpl w:val="CDDAD18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240E6A"/>
    <w:multiLevelType w:val="multilevel"/>
    <w:tmpl w:val="432C53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3267EA"/>
    <w:multiLevelType w:val="multilevel"/>
    <w:tmpl w:val="79DA15D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7964A0"/>
    <w:multiLevelType w:val="multilevel"/>
    <w:tmpl w:val="31A27E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841B78"/>
    <w:multiLevelType w:val="multilevel"/>
    <w:tmpl w:val="FB1609A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58474C"/>
    <w:multiLevelType w:val="multilevel"/>
    <w:tmpl w:val="78EC65A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40770B0"/>
    <w:multiLevelType w:val="multilevel"/>
    <w:tmpl w:val="D9341BE4"/>
    <w:lvl w:ilvl="0">
      <w:start w:val="6"/>
      <w:numFmt w:val="decimal"/>
      <w:lvlText w:val="%1."/>
      <w:lvlJc w:val="left"/>
      <w:pPr>
        <w:ind w:left="540" w:hanging="54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AA60256"/>
    <w:multiLevelType w:val="multilevel"/>
    <w:tmpl w:val="B3DCA6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5514F1"/>
    <w:multiLevelType w:val="multilevel"/>
    <w:tmpl w:val="37AAC0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3338CA"/>
    <w:multiLevelType w:val="multilevel"/>
    <w:tmpl w:val="D3BA3DB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A5D2C"/>
    <w:multiLevelType w:val="multilevel"/>
    <w:tmpl w:val="EB48B8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874058"/>
    <w:multiLevelType w:val="multilevel"/>
    <w:tmpl w:val="63E81408"/>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AA53EF"/>
    <w:multiLevelType w:val="multilevel"/>
    <w:tmpl w:val="7BAA9ED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FF55E7"/>
    <w:multiLevelType w:val="multilevel"/>
    <w:tmpl w:val="AA5AEAB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3"/>
  </w:num>
  <w:num w:numId="3">
    <w:abstractNumId w:val="10"/>
  </w:num>
  <w:num w:numId="4">
    <w:abstractNumId w:val="15"/>
  </w:num>
  <w:num w:numId="5">
    <w:abstractNumId w:val="1"/>
  </w:num>
  <w:num w:numId="6">
    <w:abstractNumId w:val="3"/>
  </w:num>
  <w:num w:numId="7">
    <w:abstractNumId w:val="11"/>
  </w:num>
  <w:num w:numId="8">
    <w:abstractNumId w:val="12"/>
  </w:num>
  <w:num w:numId="9">
    <w:abstractNumId w:val="8"/>
  </w:num>
  <w:num w:numId="10">
    <w:abstractNumId w:val="4"/>
  </w:num>
  <w:num w:numId="11">
    <w:abstractNumId w:val="2"/>
  </w:num>
  <w:num w:numId="12">
    <w:abstractNumId w:val="18"/>
  </w:num>
  <w:num w:numId="13">
    <w:abstractNumId w:val="16"/>
  </w:num>
  <w:num w:numId="14">
    <w:abstractNumId w:val="17"/>
  </w:num>
  <w:num w:numId="15">
    <w:abstractNumId w:val="5"/>
  </w:num>
  <w:num w:numId="16">
    <w:abstractNumId w:val="7"/>
  </w:num>
  <w:num w:numId="17">
    <w:abstractNumId w:val="14"/>
  </w:num>
  <w:num w:numId="18">
    <w:abstractNumId w:val="0"/>
  </w:num>
  <w:num w:numId="1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79"/>
    <w:rsid w:val="0000469C"/>
    <w:rsid w:val="00057372"/>
    <w:rsid w:val="00061C05"/>
    <w:rsid w:val="00064A8D"/>
    <w:rsid w:val="0006763C"/>
    <w:rsid w:val="00073B43"/>
    <w:rsid w:val="00075710"/>
    <w:rsid w:val="000A6377"/>
    <w:rsid w:val="00122268"/>
    <w:rsid w:val="00146E19"/>
    <w:rsid w:val="0016399D"/>
    <w:rsid w:val="00171561"/>
    <w:rsid w:val="00171B94"/>
    <w:rsid w:val="001733F0"/>
    <w:rsid w:val="001763B8"/>
    <w:rsid w:val="00191A79"/>
    <w:rsid w:val="001941A7"/>
    <w:rsid w:val="0019514C"/>
    <w:rsid w:val="001A02F2"/>
    <w:rsid w:val="001A5DCB"/>
    <w:rsid w:val="001A6D8E"/>
    <w:rsid w:val="001B0E20"/>
    <w:rsid w:val="001E3C16"/>
    <w:rsid w:val="001E666A"/>
    <w:rsid w:val="001F6626"/>
    <w:rsid w:val="002246F2"/>
    <w:rsid w:val="002351AF"/>
    <w:rsid w:val="00242D70"/>
    <w:rsid w:val="00242F76"/>
    <w:rsid w:val="002A2E83"/>
    <w:rsid w:val="002B7EFC"/>
    <w:rsid w:val="002C74F0"/>
    <w:rsid w:val="002D4E1F"/>
    <w:rsid w:val="00331107"/>
    <w:rsid w:val="0033405A"/>
    <w:rsid w:val="003769DC"/>
    <w:rsid w:val="00376F01"/>
    <w:rsid w:val="00381C10"/>
    <w:rsid w:val="003C0015"/>
    <w:rsid w:val="003C1CD2"/>
    <w:rsid w:val="003C639D"/>
    <w:rsid w:val="003E1E47"/>
    <w:rsid w:val="003F3E96"/>
    <w:rsid w:val="00404F73"/>
    <w:rsid w:val="0042028D"/>
    <w:rsid w:val="004321F7"/>
    <w:rsid w:val="004709E3"/>
    <w:rsid w:val="004A4078"/>
    <w:rsid w:val="004C09C3"/>
    <w:rsid w:val="004C52A4"/>
    <w:rsid w:val="004D1392"/>
    <w:rsid w:val="005074ED"/>
    <w:rsid w:val="005167A5"/>
    <w:rsid w:val="00522A69"/>
    <w:rsid w:val="005415B2"/>
    <w:rsid w:val="00543062"/>
    <w:rsid w:val="00552D40"/>
    <w:rsid w:val="00570492"/>
    <w:rsid w:val="00587C05"/>
    <w:rsid w:val="00592844"/>
    <w:rsid w:val="00596AE2"/>
    <w:rsid w:val="005B35AB"/>
    <w:rsid w:val="005C1B4E"/>
    <w:rsid w:val="005C43C2"/>
    <w:rsid w:val="005D361B"/>
    <w:rsid w:val="005E4FAB"/>
    <w:rsid w:val="005F2470"/>
    <w:rsid w:val="005F6AEE"/>
    <w:rsid w:val="00615A43"/>
    <w:rsid w:val="00634D0A"/>
    <w:rsid w:val="00653FCE"/>
    <w:rsid w:val="00684717"/>
    <w:rsid w:val="006A08EC"/>
    <w:rsid w:val="006A1C13"/>
    <w:rsid w:val="006C7141"/>
    <w:rsid w:val="006E0842"/>
    <w:rsid w:val="0070781B"/>
    <w:rsid w:val="007111AD"/>
    <w:rsid w:val="00723FB3"/>
    <w:rsid w:val="00732634"/>
    <w:rsid w:val="0073731C"/>
    <w:rsid w:val="007412CE"/>
    <w:rsid w:val="00747CFD"/>
    <w:rsid w:val="00786B1B"/>
    <w:rsid w:val="007C1EF3"/>
    <w:rsid w:val="007C395A"/>
    <w:rsid w:val="007E0E0E"/>
    <w:rsid w:val="007F1AF2"/>
    <w:rsid w:val="00804212"/>
    <w:rsid w:val="00834D79"/>
    <w:rsid w:val="00840B1B"/>
    <w:rsid w:val="00846D0B"/>
    <w:rsid w:val="008530C7"/>
    <w:rsid w:val="00857136"/>
    <w:rsid w:val="00873283"/>
    <w:rsid w:val="008B062B"/>
    <w:rsid w:val="008C425A"/>
    <w:rsid w:val="00903451"/>
    <w:rsid w:val="00923123"/>
    <w:rsid w:val="009328B7"/>
    <w:rsid w:val="00933326"/>
    <w:rsid w:val="009338B4"/>
    <w:rsid w:val="00963D54"/>
    <w:rsid w:val="00971841"/>
    <w:rsid w:val="00974082"/>
    <w:rsid w:val="009B24F9"/>
    <w:rsid w:val="009B4AC0"/>
    <w:rsid w:val="009D0392"/>
    <w:rsid w:val="009D26E7"/>
    <w:rsid w:val="009D55C6"/>
    <w:rsid w:val="009E11DA"/>
    <w:rsid w:val="009E1C06"/>
    <w:rsid w:val="00A6118B"/>
    <w:rsid w:val="00AA081C"/>
    <w:rsid w:val="00AA41BA"/>
    <w:rsid w:val="00AC06E2"/>
    <w:rsid w:val="00AE7EAA"/>
    <w:rsid w:val="00AF7090"/>
    <w:rsid w:val="00B06B3D"/>
    <w:rsid w:val="00B13BBC"/>
    <w:rsid w:val="00B1742E"/>
    <w:rsid w:val="00B40148"/>
    <w:rsid w:val="00B55A0D"/>
    <w:rsid w:val="00B56702"/>
    <w:rsid w:val="00B6247C"/>
    <w:rsid w:val="00B62660"/>
    <w:rsid w:val="00B7060D"/>
    <w:rsid w:val="00B76DBD"/>
    <w:rsid w:val="00B87029"/>
    <w:rsid w:val="00BA0946"/>
    <w:rsid w:val="00BA7C3A"/>
    <w:rsid w:val="00BB11D8"/>
    <w:rsid w:val="00BE7434"/>
    <w:rsid w:val="00BF376C"/>
    <w:rsid w:val="00C006E4"/>
    <w:rsid w:val="00C00DB3"/>
    <w:rsid w:val="00C06C0F"/>
    <w:rsid w:val="00C62E51"/>
    <w:rsid w:val="00C63B34"/>
    <w:rsid w:val="00C76B83"/>
    <w:rsid w:val="00C86B30"/>
    <w:rsid w:val="00C8756F"/>
    <w:rsid w:val="00CA6510"/>
    <w:rsid w:val="00CA655D"/>
    <w:rsid w:val="00CB2482"/>
    <w:rsid w:val="00CC10B0"/>
    <w:rsid w:val="00CE3702"/>
    <w:rsid w:val="00CE4CAD"/>
    <w:rsid w:val="00D037D0"/>
    <w:rsid w:val="00D06963"/>
    <w:rsid w:val="00D14E85"/>
    <w:rsid w:val="00D164BD"/>
    <w:rsid w:val="00D16E15"/>
    <w:rsid w:val="00D255B2"/>
    <w:rsid w:val="00D2672D"/>
    <w:rsid w:val="00D43046"/>
    <w:rsid w:val="00D900D0"/>
    <w:rsid w:val="00D951FF"/>
    <w:rsid w:val="00DA19BA"/>
    <w:rsid w:val="00DA77B9"/>
    <w:rsid w:val="00DC194E"/>
    <w:rsid w:val="00DD7AB3"/>
    <w:rsid w:val="00DF041B"/>
    <w:rsid w:val="00DF4172"/>
    <w:rsid w:val="00DF724A"/>
    <w:rsid w:val="00E050B1"/>
    <w:rsid w:val="00E80ADF"/>
    <w:rsid w:val="00E936C2"/>
    <w:rsid w:val="00EB0B58"/>
    <w:rsid w:val="00EB596E"/>
    <w:rsid w:val="00ED447A"/>
    <w:rsid w:val="00ED765C"/>
    <w:rsid w:val="00EE2D38"/>
    <w:rsid w:val="00EE412F"/>
    <w:rsid w:val="00EE5ED7"/>
    <w:rsid w:val="00F02903"/>
    <w:rsid w:val="00F043BF"/>
    <w:rsid w:val="00F1707C"/>
    <w:rsid w:val="00F34A8B"/>
    <w:rsid w:val="00F36CA8"/>
    <w:rsid w:val="00F44E14"/>
    <w:rsid w:val="00F60F68"/>
    <w:rsid w:val="00F63833"/>
    <w:rsid w:val="00FA522A"/>
    <w:rsid w:val="00FB6532"/>
    <w:rsid w:val="00FC7BBF"/>
    <w:rsid w:val="00FF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14E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79"/>
    <w:pPr>
      <w:widowControl w:val="0"/>
      <w:jc w:val="both"/>
    </w:pPr>
    <w:rPr>
      <w:rFonts w:ascii="Calibri" w:eastAsia="Calibri" w:hAnsi="Calibri" w:cs="Calibri"/>
    </w:rPr>
  </w:style>
  <w:style w:type="paragraph" w:styleId="Heading1">
    <w:name w:val="heading 1"/>
    <w:basedOn w:val="Normal"/>
    <w:next w:val="Normal"/>
    <w:link w:val="Heading1Char"/>
    <w:uiPriority w:val="9"/>
    <w:qFormat/>
    <w:rsid w:val="00191A79"/>
    <w:pPr>
      <w:keepNext/>
      <w:spacing w:before="240" w:after="60"/>
      <w:outlineLvl w:val="0"/>
    </w:pPr>
    <w:rPr>
      <w:b/>
      <w:sz w:val="28"/>
      <w:szCs w:val="28"/>
    </w:rPr>
  </w:style>
  <w:style w:type="paragraph" w:styleId="Heading2">
    <w:name w:val="heading 2"/>
    <w:basedOn w:val="Normal"/>
    <w:next w:val="Normal"/>
    <w:link w:val="Heading2Char"/>
    <w:uiPriority w:val="9"/>
    <w:unhideWhenUsed/>
    <w:qFormat/>
    <w:rsid w:val="00191A79"/>
    <w:pPr>
      <w:keepNext/>
      <w:outlineLvl w:val="1"/>
    </w:pPr>
    <w:rPr>
      <w:b/>
    </w:rPr>
  </w:style>
  <w:style w:type="paragraph" w:styleId="Heading3">
    <w:name w:val="heading 3"/>
    <w:basedOn w:val="Normal"/>
    <w:next w:val="Normal"/>
    <w:link w:val="Heading3Char"/>
    <w:uiPriority w:val="9"/>
    <w:semiHidden/>
    <w:unhideWhenUsed/>
    <w:qFormat/>
    <w:rsid w:val="00191A79"/>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191A79"/>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191A79"/>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191A7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79"/>
    <w:rPr>
      <w:rFonts w:ascii="Calibri" w:eastAsia="Calibri" w:hAnsi="Calibri" w:cs="Calibri"/>
      <w:b/>
      <w:sz w:val="28"/>
      <w:szCs w:val="28"/>
    </w:rPr>
  </w:style>
  <w:style w:type="character" w:customStyle="1" w:styleId="Heading2Char">
    <w:name w:val="Heading 2 Char"/>
    <w:basedOn w:val="DefaultParagraphFont"/>
    <w:link w:val="Heading2"/>
    <w:uiPriority w:val="9"/>
    <w:rsid w:val="00191A79"/>
    <w:rPr>
      <w:rFonts w:ascii="Calibri" w:eastAsia="Calibri" w:hAnsi="Calibri" w:cs="Calibri"/>
      <w:b/>
    </w:rPr>
  </w:style>
  <w:style w:type="character" w:customStyle="1" w:styleId="Heading3Char">
    <w:name w:val="Heading 3 Char"/>
    <w:basedOn w:val="DefaultParagraphFont"/>
    <w:link w:val="Heading3"/>
    <w:uiPriority w:val="9"/>
    <w:semiHidden/>
    <w:rsid w:val="00191A79"/>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191A79"/>
    <w:rPr>
      <w:rFonts w:ascii="Calibri" w:eastAsia="Calibri" w:hAnsi="Calibri" w:cs="Calibri"/>
      <w:b/>
    </w:rPr>
  </w:style>
  <w:style w:type="character" w:customStyle="1" w:styleId="Heading5Char">
    <w:name w:val="Heading 5 Char"/>
    <w:basedOn w:val="DefaultParagraphFont"/>
    <w:link w:val="Heading5"/>
    <w:uiPriority w:val="9"/>
    <w:semiHidden/>
    <w:rsid w:val="00191A79"/>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191A79"/>
    <w:rPr>
      <w:rFonts w:ascii="Calibri" w:eastAsia="Calibri" w:hAnsi="Calibri" w:cs="Calibri"/>
      <w:b/>
      <w:sz w:val="20"/>
      <w:szCs w:val="20"/>
    </w:rPr>
  </w:style>
  <w:style w:type="paragraph" w:styleId="Title">
    <w:name w:val="Title"/>
    <w:basedOn w:val="Normal"/>
    <w:next w:val="Normal"/>
    <w:link w:val="TitleChar"/>
    <w:uiPriority w:val="10"/>
    <w:qFormat/>
    <w:rsid w:val="00191A79"/>
    <w:pPr>
      <w:keepNext/>
      <w:keepLines/>
      <w:spacing w:before="480" w:after="120"/>
    </w:pPr>
    <w:rPr>
      <w:b/>
      <w:sz w:val="72"/>
      <w:szCs w:val="72"/>
    </w:rPr>
  </w:style>
  <w:style w:type="character" w:customStyle="1" w:styleId="TitleChar">
    <w:name w:val="Title Char"/>
    <w:basedOn w:val="DefaultParagraphFont"/>
    <w:link w:val="Title"/>
    <w:uiPriority w:val="10"/>
    <w:rsid w:val="00191A79"/>
    <w:rPr>
      <w:rFonts w:ascii="Calibri" w:eastAsia="Calibri" w:hAnsi="Calibri" w:cs="Calibri"/>
      <w:b/>
      <w:sz w:val="72"/>
      <w:szCs w:val="72"/>
    </w:rPr>
  </w:style>
  <w:style w:type="paragraph" w:styleId="Subtitle">
    <w:name w:val="Subtitle"/>
    <w:basedOn w:val="Normal"/>
    <w:next w:val="Normal"/>
    <w:link w:val="SubtitleChar"/>
    <w:uiPriority w:val="11"/>
    <w:qFormat/>
    <w:rsid w:val="00191A7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91A79"/>
    <w:rPr>
      <w:rFonts w:ascii="Georgia" w:eastAsia="Georgia" w:hAnsi="Georgia" w:cs="Georgia"/>
      <w:i/>
      <w:color w:val="666666"/>
      <w:sz w:val="48"/>
      <w:szCs w:val="48"/>
    </w:rPr>
  </w:style>
  <w:style w:type="character" w:styleId="Hyperlink">
    <w:name w:val="Hyperlink"/>
    <w:uiPriority w:val="99"/>
    <w:unhideWhenUsed/>
    <w:rsid w:val="00191A79"/>
    <w:rPr>
      <w:color w:val="0000FF"/>
      <w:u w:val="single"/>
    </w:rPr>
  </w:style>
  <w:style w:type="character" w:customStyle="1" w:styleId="UnresolvedMention1">
    <w:name w:val="Unresolved Mention1"/>
    <w:uiPriority w:val="99"/>
    <w:semiHidden/>
    <w:unhideWhenUsed/>
    <w:rsid w:val="00191A79"/>
    <w:rPr>
      <w:color w:val="605E5C"/>
      <w:shd w:val="clear" w:color="auto" w:fill="E1DFDD"/>
    </w:rPr>
  </w:style>
  <w:style w:type="paragraph" w:styleId="BalloonText">
    <w:name w:val="Balloon Text"/>
    <w:basedOn w:val="Normal"/>
    <w:link w:val="BalloonTextChar"/>
    <w:uiPriority w:val="99"/>
    <w:semiHidden/>
    <w:unhideWhenUsed/>
    <w:rsid w:val="00191A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1A79"/>
    <w:rPr>
      <w:rFonts w:ascii="Times New Roman" w:eastAsia="Calibri" w:hAnsi="Times New Roman" w:cs="Times New Roman"/>
      <w:sz w:val="18"/>
      <w:szCs w:val="18"/>
    </w:rPr>
  </w:style>
  <w:style w:type="paragraph" w:styleId="ListParagraph">
    <w:name w:val="List Paragraph"/>
    <w:basedOn w:val="Normal"/>
    <w:uiPriority w:val="34"/>
    <w:qFormat/>
    <w:rsid w:val="00191A79"/>
    <w:pPr>
      <w:ind w:left="720"/>
      <w:contextualSpacing/>
    </w:pPr>
  </w:style>
  <w:style w:type="character" w:styleId="FollowedHyperlink">
    <w:name w:val="FollowedHyperlink"/>
    <w:uiPriority w:val="99"/>
    <w:semiHidden/>
    <w:unhideWhenUsed/>
    <w:rsid w:val="00191A79"/>
    <w:rPr>
      <w:color w:val="800080"/>
      <w:u w:val="single"/>
    </w:rPr>
  </w:style>
  <w:style w:type="character" w:styleId="CommentReference">
    <w:name w:val="annotation reference"/>
    <w:uiPriority w:val="99"/>
    <w:semiHidden/>
    <w:unhideWhenUsed/>
    <w:rsid w:val="00191A79"/>
    <w:rPr>
      <w:sz w:val="16"/>
      <w:szCs w:val="16"/>
    </w:rPr>
  </w:style>
  <w:style w:type="paragraph" w:styleId="CommentText">
    <w:name w:val="annotation text"/>
    <w:basedOn w:val="Normal"/>
    <w:link w:val="CommentTextChar"/>
    <w:uiPriority w:val="99"/>
    <w:semiHidden/>
    <w:unhideWhenUsed/>
    <w:rsid w:val="00191A79"/>
    <w:rPr>
      <w:sz w:val="20"/>
      <w:szCs w:val="20"/>
    </w:rPr>
  </w:style>
  <w:style w:type="character" w:customStyle="1" w:styleId="CommentTextChar">
    <w:name w:val="Comment Text Char"/>
    <w:basedOn w:val="DefaultParagraphFont"/>
    <w:link w:val="CommentText"/>
    <w:uiPriority w:val="99"/>
    <w:semiHidden/>
    <w:rsid w:val="00191A7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91A79"/>
    <w:rPr>
      <w:b/>
      <w:bCs/>
    </w:rPr>
  </w:style>
  <w:style w:type="character" w:customStyle="1" w:styleId="CommentSubjectChar">
    <w:name w:val="Comment Subject Char"/>
    <w:basedOn w:val="CommentTextChar"/>
    <w:link w:val="CommentSubject"/>
    <w:uiPriority w:val="99"/>
    <w:semiHidden/>
    <w:rsid w:val="00191A79"/>
    <w:rPr>
      <w:rFonts w:ascii="Calibri" w:eastAsia="Calibri" w:hAnsi="Calibri" w:cs="Calibri"/>
      <w:b/>
      <w:bCs/>
      <w:sz w:val="20"/>
      <w:szCs w:val="20"/>
    </w:rPr>
  </w:style>
  <w:style w:type="table" w:styleId="TableGrid">
    <w:name w:val="Table Grid"/>
    <w:basedOn w:val="TableNormal"/>
    <w:uiPriority w:val="39"/>
    <w:rsid w:val="00191A79"/>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91A79"/>
    <w:rPr>
      <w:rFonts w:ascii="Calibri" w:eastAsia="Calibri" w:hAnsi="Calibri" w:cs="Calibri"/>
    </w:rPr>
  </w:style>
  <w:style w:type="paragraph" w:styleId="Footer">
    <w:name w:val="footer"/>
    <w:basedOn w:val="Normal"/>
    <w:link w:val="FooterChar"/>
    <w:uiPriority w:val="99"/>
    <w:unhideWhenUsed/>
    <w:rsid w:val="00191A79"/>
    <w:pPr>
      <w:tabs>
        <w:tab w:val="center" w:pos="4680"/>
        <w:tab w:val="right" w:pos="9360"/>
      </w:tabs>
    </w:pPr>
  </w:style>
  <w:style w:type="character" w:customStyle="1" w:styleId="FooterChar">
    <w:name w:val="Footer Char"/>
    <w:basedOn w:val="DefaultParagraphFont"/>
    <w:link w:val="Footer"/>
    <w:uiPriority w:val="99"/>
    <w:rsid w:val="00191A79"/>
    <w:rPr>
      <w:rFonts w:ascii="Calibri" w:eastAsia="Calibri" w:hAnsi="Calibri" w:cs="Calibri"/>
    </w:rPr>
  </w:style>
  <w:style w:type="character" w:styleId="PageNumber">
    <w:name w:val="page number"/>
    <w:basedOn w:val="DefaultParagraphFont"/>
    <w:uiPriority w:val="99"/>
    <w:semiHidden/>
    <w:unhideWhenUsed/>
    <w:rsid w:val="00191A79"/>
  </w:style>
  <w:style w:type="character" w:styleId="LineNumber">
    <w:name w:val="line number"/>
    <w:basedOn w:val="DefaultParagraphFont"/>
    <w:uiPriority w:val="99"/>
    <w:semiHidden/>
    <w:unhideWhenUsed/>
    <w:rsid w:val="005F2470"/>
  </w:style>
  <w:style w:type="paragraph" w:styleId="NoSpacing">
    <w:name w:val="No Spacing"/>
    <w:uiPriority w:val="1"/>
    <w:qFormat/>
    <w:rsid w:val="002D4E1F"/>
    <w:pPr>
      <w:widowControl w:val="0"/>
      <w:jc w:val="both"/>
    </w:pPr>
    <w:rPr>
      <w:rFonts w:ascii="Calibri" w:eastAsia="Calibri" w:hAnsi="Calibri" w:cs="Calibri"/>
    </w:rPr>
  </w:style>
  <w:style w:type="character" w:customStyle="1" w:styleId="UnresolvedMention2">
    <w:name w:val="Unresolved Mention2"/>
    <w:basedOn w:val="DefaultParagraphFont"/>
    <w:uiPriority w:val="99"/>
    <w:semiHidden/>
    <w:unhideWhenUsed/>
    <w:rsid w:val="00FC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rzi@purdu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suter@purdue.edu" TargetMode="External"/><Relationship Id="rId4" Type="http://schemas.openxmlformats.org/officeDocument/2006/relationships/settings" Target="settings.xml"/><Relationship Id="rId9" Type="http://schemas.openxmlformats.org/officeDocument/2006/relationships/hyperlink" Target="mailto:alam13@purdue.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C76C9-36EF-4D6E-BCE9-CDF87111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6332</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2021-01-05T15:34:00Z</dcterms:created>
  <dcterms:modified xsi:type="dcterms:W3CDTF">2021-01-05T15:34:00Z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http://www.zotero.org/styles/free-radical-biology-and-medicine</vt:lpwstr>
  </property>
  <property fmtid="{D5CDD505-2E9C-101B-9397-08002B2CF9AE}" pid="9" name="Mendeley Recent Style Name 3_1">
    <vt:lpwstr>Free Radical Biology and Medicine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http://csl.mendeley.com/styles/485292581/joveAt</vt:lpwstr>
  </property>
  <property fmtid="{D5CDD505-2E9C-101B-9397-08002B2CF9AE}" pid="13" name="Mendeley Recent Style Name 5_1">
    <vt:lpwstr>JoVE</vt:lpwstr>
  </property>
  <property fmtid="{D5CDD505-2E9C-101B-9397-08002B2CF9AE}" pid="14" name="Mendeley Recent Style Id 6_1">
    <vt:lpwstr>https://csl.mendeley.com/styles/485292581/joveAt</vt:lpwstr>
  </property>
  <property fmtid="{D5CDD505-2E9C-101B-9397-08002B2CF9AE}" pid="15" name="Mendeley Recent Style Name 6_1">
    <vt:lpwstr>JoVE</vt:lpwstr>
  </property>
  <property fmtid="{D5CDD505-2E9C-101B-9397-08002B2CF9AE}" pid="16" name="Mendeley Recent Style Id 7_1">
    <vt:lpwstr>http://csl.mendeley.com/styles/485292581/joveAt-2</vt:lpwstr>
  </property>
  <property fmtid="{D5CDD505-2E9C-101B-9397-08002B2CF9AE}" pid="17" name="Mendeley Recent Style Name 7_1">
    <vt:lpwstr>JoVE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