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Time-Lapse Imaging of Primary Mouse Embryonic Palatal Mesenchyme Cells to Analyze Collective Movement Attributes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P. Goering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Dona Greta Isai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Andras Czirok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Irfan Saadi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Anatomy and Cell Biology, University of Kansas Medical Center, Kansas City, KS,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Biological Physics, Eotvos University, Budapest, Hungary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Jeremy P. Goering</w:t>
        <w:tab/>
        <w:tab/>
        <w:t xml:space="preserve">(jgoering2@kumc.edu)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Dona Greta Isai</w:t>
        <w:tab/>
        <w:tab/>
        <w:t xml:space="preserve">(donnagreta@gmail.com)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Irfan Saadi</w:t>
        <w:tab/>
        <w:tab/>
        <w:tab/>
        <w:t xml:space="preserve">(isaadi@kumc.edu)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Andras Czirok</w:t>
        <w:tab/>
        <w:tab/>
        <w:tab/>
        <w:t xml:space="preserve">(aczirok@kumc.edu)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Palatogenesis, Cleft palate, Palate Elevation, Primary mesenchymal cells, Cell migration, Wound-repair, Time-lapse imaging, Cell stream formation, Collective cell movement, Coordinated cell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isolation and culture of primary mouse embryonic palatal mesenchymal cells for time-lapse imaging of two-dimensional (2D) growth and wound-repair assays. We also provide the methodology for analysis of the time-lapse imaging data to determine cell-stream formation and directional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the palate is a dynamic process, which involves vertical growth of bilateral palatal shelves next to the tongue followed by elevation and fusion above the tongue. Defects in this process lead to cleft palate, a common birth defect. Recent studies have shown that palatal shelf elevation involves a remodeling process that transforms the orientation of the shelf from a vertical to a horizontal one. The role of the palatal shelf mesenchymal cells in this dynamic remodeling has been difficult to study. Time-lapse-imaging-based quantitative analysis has been recently used to show that primary mouse embryonic palatal mesenchymal (MEPM) cells can self-organize into a collective movement. Quantitative analyses could identify differences in mutant MEPM cells from a mouse model with palate elevation defects. This paper describes methods to isolate and culture MEPM cells from E13.5 embryos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specifically for time-lapse imaging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to determine various cellular attributes of collective movement, including measures for stream formation, shape alignment, and persistence of direction. It posits that MEPM cells can serve as a proxy model for studying the role of palatal shelf mesenchyme during the dynamic process of elevation. These quantitative methods will allow investigators in the craniofacial field to assess and compare collective movement attributes in control and mutant cells, which will augment the understanding of mesenchymal remodeling during palatal shelf elevation. Furthermore, MEPM cells provide a rare mesenchymal cell model for investigation of collective cell movement in general.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Palate development has been studied extensively as defects in palatogenesis lead to cleft palate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common birth defect that occurs in isolated cases or as part of hundreds of syndromes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development of the embryonic palate is a dynamic process that involves movement and fusion of embryonic tissue. This process can be divided into four major steps: 1) induction of palatal shelves, 2) vertical growth of the palatal shelves next to the tongue, 3) elevation of the palatal shelves above the tongue, and 4) fusion of the palatal shelves at the midline</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Over the past several decades, many mouse mutants have been identified that manifest cleft palate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Characterization of these models have indicated defects in palatal shelf induction, proliferation, and fusion steps; however, palatal shelf elevation defects have been rare. Thus, understanding the dynamics of palatal shelf elevation is an intriguing area of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 analysis of some mouse mutants with palatal shelf elevation defects has led to the current model that posits that the very anterior region of the palatal shelf appears to flip up, while a vertical to horizontal movement or “remodeling” of the palatal shelves occurs in the middle to posterior regions of the palate</w:t>
      </w:r>
      <w:r>
        <w:rPr>
          <w:rFonts w:ascii="Calibri" w:hAnsi="Calibri" w:cs="Calibri" w:eastAsia="Calibri"/>
          <w:color w:val="auto"/>
          <w:spacing w:val="0"/>
          <w:position w:val="0"/>
          <w:sz w:val="24"/>
          <w:shd w:fill="auto" w:val="clear"/>
          <w:vertAlign w:val="superscript"/>
        </w:rPr>
        <w:t xml:space="preserve">1,3,4,9-11</w:t>
      </w:r>
      <w:r>
        <w:rPr>
          <w:rFonts w:ascii="Calibri" w:hAnsi="Calibri" w:cs="Calibri" w:eastAsia="Calibri"/>
          <w:color w:val="auto"/>
          <w:spacing w:val="0"/>
          <w:position w:val="0"/>
          <w:sz w:val="24"/>
          <w:shd w:fill="auto" w:val="clear"/>
        </w:rPr>
        <w:t xml:space="preserve">. The medial edge epithelium of the palatal shelf likely initiates the signaling required for this remodeling, which is then driven by the palatal shelf mesenchyme. Recently, many researchers have identified palatal shelf elevation delay in mouse models that showed transient oral adhesions involving palatal shelves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mesenchymal remodeling involves reorganization of the cells to create a bulge in the horizontal direction, while simultaneously retracting the palatal shelf in the vertical direction</w:t>
      </w:r>
      <w:r>
        <w:rPr>
          <w:rFonts w:ascii="Calibri" w:hAnsi="Calibri" w:cs="Calibri" w:eastAsia="Calibri"/>
          <w:color w:val="auto"/>
          <w:spacing w:val="0"/>
          <w:position w:val="0"/>
          <w:sz w:val="24"/>
          <w:shd w:fill="auto" w:val="clear"/>
          <w:vertAlign w:val="superscript"/>
        </w:rPr>
        <w:t xml:space="preserve">9,10,14</w:t>
      </w:r>
      <w:r>
        <w:rPr>
          <w:rFonts w:ascii="Calibri" w:hAnsi="Calibri" w:cs="Calibri" w:eastAsia="Calibri"/>
          <w:color w:val="auto"/>
          <w:spacing w:val="0"/>
          <w:position w:val="0"/>
          <w:sz w:val="24"/>
          <w:shd w:fill="auto" w:val="clear"/>
        </w:rPr>
        <w:t xml:space="preserve">. Among the several mechanisms proposed to affect palatal shelf elevation and the underlying mesenchymal remodeling are cell proliferation</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chemotactic gradients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extracellular matrix components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 important question arose: is the palatal shelf elevation delay observed in </w:t>
      </w:r>
      <w:r>
        <w:rPr>
          <w:rFonts w:ascii="Calibri" w:hAnsi="Calibri" w:cs="Calibri" w:eastAsia="Calibri"/>
          <w:i/>
          <w:color w:val="auto"/>
          <w:spacing w:val="0"/>
          <w:position w:val="0"/>
          <w:sz w:val="24"/>
          <w:shd w:fill="auto" w:val="clear"/>
        </w:rPr>
        <w:t xml:space="preserve">Specc1l-</w:t>
      </w:r>
      <w:r>
        <w:rPr>
          <w:rFonts w:ascii="Calibri" w:hAnsi="Calibri" w:cs="Calibri" w:eastAsia="Calibri"/>
          <w:color w:val="auto"/>
          <w:spacing w:val="0"/>
          <w:position w:val="0"/>
          <w:sz w:val="24"/>
          <w:shd w:fill="auto" w:val="clear"/>
        </w:rPr>
        <w:t xml:space="preserve">deficient mice also partly due to a defect in the palatal shelf remodeling, and could this remodeling defect manifest in an intrinsic defect in behavior of primary MEPM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MEPM cells have been used in the craniofacial field for many studies involving gene expression</w:t>
      </w:r>
      <w:r>
        <w:rPr>
          <w:rFonts w:ascii="Calibri" w:hAnsi="Calibri" w:cs="Calibri" w:eastAsia="Calibri"/>
          <w:color w:val="auto"/>
          <w:spacing w:val="0"/>
          <w:position w:val="0"/>
          <w:sz w:val="24"/>
          <w:shd w:fill="auto" w:val="clear"/>
          <w:vertAlign w:val="superscript"/>
        </w:rPr>
        <w:t xml:space="preserve">22-29</w:t>
      </w:r>
      <w:r>
        <w:rPr>
          <w:rFonts w:ascii="Calibri" w:hAnsi="Calibri" w:cs="Calibri" w:eastAsia="Calibri"/>
          <w:color w:val="auto"/>
          <w:spacing w:val="0"/>
          <w:position w:val="0"/>
          <w:sz w:val="24"/>
          <w:shd w:fill="auto" w:val="clear"/>
        </w:rPr>
        <w:t xml:space="preserve">, and a few involving proliferation</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and migration</w:t>
      </w:r>
      <w:r>
        <w:rPr>
          <w:rFonts w:ascii="Calibri" w:hAnsi="Calibri" w:cs="Calibri" w:eastAsia="Calibri"/>
          <w:color w:val="auto"/>
          <w:spacing w:val="0"/>
          <w:position w:val="0"/>
          <w:sz w:val="24"/>
          <w:shd w:fill="auto" w:val="clear"/>
          <w:vertAlign w:val="superscript"/>
        </w:rPr>
        <w:t xml:space="preserve">25,31,32</w:t>
      </w:r>
      <w:r>
        <w:rPr>
          <w:rFonts w:ascii="Calibri" w:hAnsi="Calibri" w:cs="Calibri" w:eastAsia="Calibri"/>
          <w:color w:val="auto"/>
          <w:spacing w:val="0"/>
          <w:position w:val="0"/>
          <w:sz w:val="24"/>
          <w:shd w:fill="auto" w:val="clear"/>
        </w:rPr>
        <w:t xml:space="preserve"> , but none for collective cell behavior analysis. Time-lapse imaging of MEPM cells was performed in 2D culture and wound-repair assays to show that MEPM cells displayed directional movement and formed density-dependent cell streams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attributes of collective movement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Furthermore, </w:t>
      </w:r>
      <w:r>
        <w:rPr>
          <w:rFonts w:ascii="Calibri" w:hAnsi="Calibri" w:cs="Calibri" w:eastAsia="Calibri"/>
          <w:i/>
          <w:color w:val="auto"/>
          <w:spacing w:val="0"/>
          <w:position w:val="0"/>
          <w:sz w:val="24"/>
          <w:shd w:fill="auto" w:val="clear"/>
        </w:rPr>
        <w:t xml:space="preserve">Specc1l </w:t>
      </w:r>
      <w:r>
        <w:rPr>
          <w:rFonts w:ascii="Calibri" w:hAnsi="Calibri" w:cs="Calibri" w:eastAsia="Calibri"/>
          <w:color w:val="auto"/>
          <w:spacing w:val="0"/>
          <w:position w:val="0"/>
          <w:sz w:val="24"/>
          <w:shd w:fill="auto" w:val="clear"/>
        </w:rPr>
        <w:t xml:space="preserve">mutant cells formed narrower cell streams and showed highly variable cell migration trajectories. This lack of coordinated motility is considered to contribute to the palate elevation delay in </w:t>
      </w:r>
      <w:r>
        <w:rPr>
          <w:rFonts w:ascii="Calibri" w:hAnsi="Calibri" w:cs="Calibri" w:eastAsia="Calibri"/>
          <w:i/>
          <w:color w:val="auto"/>
          <w:spacing w:val="0"/>
          <w:position w:val="0"/>
          <w:sz w:val="24"/>
          <w:shd w:fill="auto" w:val="clear"/>
        </w:rPr>
        <w:t xml:space="preserve">Specc1l </w:t>
      </w:r>
      <w:r>
        <w:rPr>
          <w:rFonts w:ascii="Calibri" w:hAnsi="Calibri" w:cs="Calibri" w:eastAsia="Calibri"/>
          <w:color w:val="auto"/>
          <w:spacing w:val="0"/>
          <w:position w:val="0"/>
          <w:sz w:val="24"/>
          <w:shd w:fill="auto" w:val="clear"/>
        </w:rPr>
        <w:t xml:space="preserve">mutant embryos</w:t>
      </w:r>
      <w:r>
        <w:rPr>
          <w:rFonts w:ascii="Calibri" w:hAnsi="Calibri" w:cs="Calibri" w:eastAsia="Calibri"/>
          <w:color w:val="auto"/>
          <w:spacing w:val="0"/>
          <w:position w:val="0"/>
          <w:sz w:val="24"/>
          <w:shd w:fill="auto" w:val="clear"/>
          <w:vertAlign w:val="superscript"/>
        </w:rPr>
        <w:t xml:space="preserve">13,21</w:t>
      </w:r>
      <w:r>
        <w:rPr>
          <w:rFonts w:ascii="Calibri" w:hAnsi="Calibri" w:cs="Calibri" w:eastAsia="Calibri"/>
          <w:color w:val="auto"/>
          <w:spacing w:val="0"/>
          <w:position w:val="0"/>
          <w:sz w:val="24"/>
          <w:shd w:fill="auto" w:val="clear"/>
        </w:rPr>
        <w:t xml:space="preserve">. Thus, these relatively simple assays using primary MEPM cells may serve as a proxy for studying mesenchymal remodeling during palatal shelf elevation. This paper describes the isolation and culture of primary MEPM cells, as well as the time-lapse imaging and analysis, for the 2D and wound-repair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involving animals were carried out with a protocol approved by the KUMC Institutional Animal Care and Use Committee, in accordance with their guidelines and regulations (Protocol Number: 2018-2447).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Harvest E13.5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Euthanize pregnant female mice using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chamber or by a procedure approved by the Institutional Animal Care and Use Committee. Immediately proceed to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Expose the inferior half of the abdominal cavity by removing the skin and peritoneum. Excise both horns of the uterus, which contain the E13.5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Briefly place the uterus in prewarmed 37 &amp;#176;C sterile phosphate-buffered saline (PBS) to rinse off excess blood, hair, or other debris. Place the uterus in a sterile 10 cm dish filled with sterile PBS.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Using small scissors, cut through the uterine wall along the length of the uterus to expose each embryo, still in its yolk sac. Remove the yolk sac surrounding the embryo, but save it for genotyping, if needed. As the embryos are removed, place each embryo in its own well of a sterile 12-well plate filled with sterile PBS.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Dissection of palatal shelves from embryos (Figure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Sterilize the stainless steel dissection instruments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after processing each embryo by placing the instruments first in a beaker of 100% ethyl alcohol (EtOH), then in an instrument sterilizer at 350 &amp;#176;C for 10 s, and then cooling them in a second beaker of 100% EtOH.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Using a sterilized perforated spoon, place the embryo in a new sterile 10 cm dish filled with sterile MEPM culture medium consisting of Dulbecco’s minimum essential medium (DMEM) containing 10% fetal bovine serum (FBS), L-glutamine (4 mM L-Glu), and the antibiotics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penicillin and streptomycin (50 units/mL).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Decapitate the embryo right below the jaw line using sterile scissors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red dotted line). Remove the lower jaw by inserting one point of a sterilized fine #5 forceps into the mouth, keeping it just inside the cheek. Push the point of the inserted forceps through until it exits out the back of skull.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Orient the forceps, along the yellow line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so that the other side of the forceps (which is still outside of the embryo) is hovering just over the ear canal, then pinch the forceps shut to cut the tissue. If necessary, run another fine forceps along the seam of the now closed forceps to cut through any tissue that was not completely severed by the pinch.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Repeat the previous step for the other side of the embryo head. Continue the pinch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cut procedure to fully remove the lower jaw, tongue, and inferior portion of the skull and expose the palatal shelves.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Remove the cranium of the skull by cutting just above the eyes, as shown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(green line). Do this by placing the head on its left or right side and positioning the points of a small sterile stainless steel scissors in front of and behind the skull just above the embryo’s eye level. Cut off the top of the skull with one fast snip of the scissors, creating a flat surface that will be important for stability in later steps and that should look like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when viewed from the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the remaining part of the head upside down, with the superior aspect of the head (cranium removed) resting flat on the bottom of the dish, which will provide a stable surface for palatal shelf removal. Take a moment to identify the palatal shelves, which are now exposed and facing up and will appear as two raised ridges on either side of a central groove in the anterior half of the head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Pin the remaining portion of the head to the dish to immobilize it while the shelves are removed. Do this by inserting one point of a fine forceps through the tissue near the nasal region of head, anterior to the palatal shelves, and insert the other point of the forceps through the base of the skull, posterior to the palatal shelves. Hold these in place while performing the excision of the palate shelves.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 Immobilizing the head with one hand, pick any one of the two shelves to remove first, and insert both points of a second fine forceps into the tissue at the base of the lateral surface of the shelf, and pinch to cut the tissue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Repeat this along the base of the medial surface of the shelf and then at both the anterior and posterior ends of the shelf to detach the shelf from its attachment to the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Gently lift the shelf, making additional pinches, as needed, to completely free the shelf from the surrounding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Repeat the previous two steps to remove the second palatal shelf.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With the palatal shelves now freed from the surrounding tissue and placed in PBS (</w:t>
      </w:r>
      <w:r>
        <w:rPr>
          <w:rFonts w:ascii="Calibri" w:hAnsi="Calibri" w:cs="Calibri" w:eastAsia="Calibri"/>
          <w:b/>
          <w:color w:val="auto"/>
          <w:spacing w:val="0"/>
          <w:position w:val="0"/>
          <w:sz w:val="24"/>
          <w:shd w:fill="FFFF00" w:val="clear"/>
        </w:rPr>
        <w:t xml:space="preserve">Figure G</w:t>
      </w:r>
      <w:r>
        <w:rPr>
          <w:rFonts w:ascii="Calibri" w:hAnsi="Calibri" w:cs="Calibri" w:eastAsia="Calibri"/>
          <w:color w:val="auto"/>
          <w:spacing w:val="0"/>
          <w:position w:val="0"/>
          <w:sz w:val="24"/>
          <w:shd w:fill="FFFF00" w:val="clear"/>
        </w:rPr>
        <w:t xml:space="preserve">), use a sterile plastic bulb transfer-pipette to draw up the shelves in the pipette, and transfer them into a sterile 1.5mL microcentrifuge tube along with approximately 500 &amp;#181;L of sterile PBS. Keep the tubes containing palatal shelves on ice as the rest of the litter is processed in the same fashion.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shelves can be placed in 1.5mL microcentrifuge tube containing prewarmed trypsin (0.25%) immediately after dissection (in lieu of placing them on ice). Samples will be fresher, but care must be taken to time all the proceeding steps for each individual sample as opposed to treating the samples collectively.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Culture of MEPM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Under the conditions described here, the palate epithelial cells do not survive the first passage, resulting in a pure palate mesenchymal cell culture. Use sterile technique to perform all steps in a tissue culture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Aspirate and discard the PBS from the 1.5 mL tube, taking care not to discard the shelves in the process. Immediately add 200 &amp;#181;L of prewarmed (37 &amp;#176;C) trypsin (0.25%) to each tube that contains palatal shelves. Briefly pipet the shelves up and down in the trypsin using a 1000 &amp;#181;L pipette tip to accelerate the trypsinization.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Incubate the tubes for 5 min at 37 &amp;#176;C, then pipet each sample up and down again to help break up the tissue. Incubate the tubes for another 5 min at 37 &amp;#176;C, and pipet up and down once more to complete the dissociation of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shelves must be completely or nearly completely dissociated and suspended in the trypsin with no visible chunks of tissue remaining.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800 &amp;#181;L of MEPM culture medium (step 2.1) to each 1.5 mL tube. Centrifuge the 1.5 mL tube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to pellet the cells. Remove the supernatant, and resuspend the cell pellet in 1 mL of MEPM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Plate the MEPM cells into a 6-well tissue culture-treated plate containing MEPM culture medium. Allow the cells to adhere to the plastic surface for 12 h at 37 &amp;#176;C in a sterile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overnight incubation, the vast majority (~90%) of cells will attach. At this point, the adhered cells will look fairly homogeneous, with a triangular or slightly elongated shape.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Change the medium every day by gently aspirating the old medium and immediately replacing it with 1 mL of warm sterile PBS without calcium or magnesium for ~1 min. Aspirate the PBS, and replace with 3 mL of prewarmed MEPM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Passage the cells once they become 100% confluent.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MEPM cells should proliferate by doubling in number almost daily.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To passage the cells, gently aspirate the old medium, and immediately replace it with warm sterile PBS without calcium or magnesium for ~1 min. Aspirate the PBS, and replace it with 0.5 mL of prewarmed 0.25% trypsin.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Incubate at 37 &amp;#176;C for ~5 min, or until the cells detach from the surface of the dish when gently rocked back and forth by hand. Once the cells have detached, immediately add 5 mL of prewarmed MEPM culture medium to the trypsinized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Using a sterile 10 mL serological pipet, gently collect the cells in a 15 mL conical tube, and centrifuge the tube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pellet the cells. Aspirate the trypsin and medium, and resuspend the cells in 3 mL of prewarmed MEPM culture medium. Gently pipet 1 mL of cells into a single well of a 6-well dish, and add 2 mL of MEPM culture medium to bring the total volume to 3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constitutes a 1:3 split of cells. MEPMs may be passaged up to three times. The seeding density of MEPMs is somewhat flexible, and the number of cells present varies depending on the culturing vessel. However, MEPMs do not properly proliferate when split too sparsely and should be at least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confluent in their new dish once they adhere.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Cryopreservation of MEPM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Once trypsinized MEPM cells are pelleted, resuspend the cells in MEPM culture medium to obtain a concentration of ~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Pipet the cells into cryovials, and add a final concentration of 5% dimethylsulfoxide in the cell stock. Cap the cryovial, briefly mix by inverting, and immediately place the vials in a freezing container that cools at a rate of 1 &amp;#176;C/min. per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Place the cooler in a -80 &amp;#176;C freezer overnight. On the next day, move the cryovials to a liquid nitrogen tank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Thawing cryopreserved MEPM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Remove the cryovials from the liquid nitrogen tank, and thaw at room temperature until the contents begin to become liquid. Empty the contents into a 15 mL conical tube containing 9 mL of prewarmed MEPM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Centrifuge the tube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the cells. Resuspend the cells in 1 mL of MEPM culture medium, and pipet the cells into a single well of 6-well plate. Add 2 mL of warm MEPM culture medium to bring the total volume to 3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Culture the cells at 37 &amp;#176;C in a sterile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the medium daily.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Live-imaging of MEPM cells</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2D collective migration assay (Figure 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a plate to use for live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Use small surgical scissors or a sharp scalpel to shorten a sterile 2-well silicone insert to a height of ~1 mm. Prepare an insert for each sample being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Using sterile forceps, place the shortened sterile 2-well silicone insert in the center of a well of a 6-well plate. Press down along all edges to ensure it is fully adhered.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Thaw cryopreserved cells by following the steps in section 4.3 of this protocol. Count MEPM cells, and seed 300 cells/mm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of the shortened silicone inserts in a total volume of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MEPM culture medium per well</w:t>
      </w:r>
      <w:r>
        <w:rPr>
          <w:rFonts w:ascii="Calibri" w:hAnsi="Calibri" w:cs="Calibri" w:eastAsia="Calibri"/>
          <w:color w:val="auto"/>
          <w:spacing w:val="0"/>
          <w:position w:val="0"/>
          <w:sz w:val="24"/>
          <w:shd w:fill="auto" w:val="clear"/>
        </w:rPr>
        <w:t xml:space="preserve">. Culture the cells overnight at 37 &amp;#176;C in a sterile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On the next day, prepare for live time-lapse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Use a phase contrast microscope with an on-stage incubator and automatic imaging capability. Add water to the onstage incubator reservoir to reduce evaporation of the culture medium; set the temperature to 37 &amp;#176;C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5%. Allow ~30 min for the humidity to build up before placing the 6-well dish in the onstage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Use settings equivalent to the following for time-lapse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Select the 4x objective to have large fields of view and phase contrast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Autofocus, Auto find sample, z-stack, and auto-lighting are not usually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Select two microscopic fields per well to capture the lumen of the shortened silicone inserts. Ensure all imaging positions have the correct focus.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planes can be adjusted during imaging, but such adjustment is not usually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Select the desired image output file-type, then select or de-select post-imaging options, such as automatic video creation and watermarks, as desired. If applicable, select phase contrast as imaging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watermarks may impede subsequent image processing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Set the duration of the recording to 72 h. Set the program to capture images every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only 48 h of imaging is required, but imaging can be stopped at any point before the 72 h mark without losing images that have already been taken.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 Make sure the environmental chamber is operational as required in 5.3.1. Save these settings (</w:t>
      </w:r>
      <w:r>
        <w:rPr>
          <w:rFonts w:ascii="Calibri" w:hAnsi="Calibri" w:cs="Calibri" w:eastAsia="Calibri"/>
          <w:b/>
          <w:color w:val="auto"/>
          <w:spacing w:val="0"/>
          <w:position w:val="0"/>
          <w:sz w:val="24"/>
          <w:shd w:fill="auto" w:val="clear"/>
        </w:rPr>
        <w:t xml:space="preserve">the routine</w:t>
      </w:r>
      <w:r>
        <w:rPr>
          <w:rFonts w:ascii="Calibri" w:hAnsi="Calibri" w:cs="Calibri" w:eastAsia="Calibri"/>
          <w:color w:val="auto"/>
          <w:spacing w:val="0"/>
          <w:position w:val="0"/>
          <w:sz w:val="24"/>
          <w:shd w:fill="auto" w:val="clear"/>
        </w:rPr>
        <w:t xml:space="preserve">) and begin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Continue imaging until 72 h (or the specified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Live-imaging of MEPM Cells in a wound-repair assay (Figure 3)</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Prepare a plate to use for live-imaging. Using sterile forceps, place a sterile 2-well silicone insert in the center of a well of a 6-well plate, and press down along all edges to ensure it is fully adhered. Prepare one 2-well insert for every sample being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Thaw cryopreserved cells by following the steps in section 4.3 of this protocol. Count MEPM cells, and if necessary, concentrate the cells to at least 350 cells/&amp;#181;L.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Seed 1400 cells/mm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of the silicone inserts in a volume of 100 &amp;#181;L of MEPM culture medium per well.</w:t>
      </w:r>
      <w:r>
        <w:rPr>
          <w:rFonts w:ascii="Calibri" w:hAnsi="Calibri" w:cs="Calibri" w:eastAsia="Calibri"/>
          <w:color w:val="auto"/>
          <w:spacing w:val="0"/>
          <w:position w:val="0"/>
          <w:sz w:val="24"/>
          <w:shd w:fill="auto" w:val="clear"/>
        </w:rPr>
        <w:t xml:space="preserve"> Culture the cells for 48 h at 37 &amp;#176;C in a sterile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change the medium every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After 48 h of seeding the cells, prepare a microscope for live time-lapse imaging as described in sections 5.3 and 5.4. Immediately prior to placing the cells in the onstage incubator, add 3 mL of prewarmed MEPM culture medium to the well (but outside of the inserts), and then carefully remove the silicone inserts.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wall separating the 2 chambers leaves a gap that is the “wound”.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Start time-lapse imaging as described in 5.4, with the following differences: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Use a higher magnification (e.g., 10x) objective. To capture wound closure, select 5 fields of view along each wound, so that the wound is parallel with the vertical axis of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Stop imaging after 72 h or when the wounds have fully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Computational analysis of time-lapse image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procedures on a computer equipped with standard computational tools, such as the python interpreter, C compiler, and a shell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Confluency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be used to estimate cell proliferation within a sparse culture or to quantify wound closure experiments. To detect areas occupied by cells, a segmentation threshold is applied to the local standard deviation of image brightness. The code has been described previously by Wu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Neufeld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is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http://github.com/aczirok/cellconfluency</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Determine the segmentation threshold for the images. As an example, to see the segmentation with a threshold 4, issue the command</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segment.py -i inout-image.jpg -S 4 -test output.jpg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then check the output (</w:t>
      </w:r>
      <w:r>
        <w:rPr>
          <w:rFonts w:ascii="Calibri" w:hAnsi="Calibri" w:cs="Calibri" w:eastAsia="Calibri"/>
          <w:b/>
          <w:color w:val="auto"/>
          <w:spacing w:val="0"/>
          <w:position w:val="0"/>
          <w:sz w:val="24"/>
          <w:shd w:fill="auto" w:val="clear"/>
        </w:rPr>
        <w:t xml:space="preserve">output.jpg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threshold is too low, background areas in the micrograph are classified as cell-covered. In contrast, if the threshold is too high, cell-covered areas are not classified as such. The optimal threshold value keeps both errors at a minimum.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Use the provided area.sh script to calculate confluency values for a sequence of images as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area.sh -S 4 img_001.jpg img_002.jpg .... </w:t>
      </w:r>
      <w:r>
        <w:rPr>
          <w:rFonts w:ascii="Calibri" w:hAnsi="Calibri" w:cs="Calibri" w:eastAsia="Calibri"/>
          <w: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confluency.dat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discrimination threshold value 4 is verified in step 1, and the results are stored in the file </w:t>
      </w:r>
      <w:r>
        <w:rPr>
          <w:rFonts w:ascii="Calibri" w:hAnsi="Calibri" w:cs="Calibri" w:eastAsia="Calibri"/>
          <w:b/>
          <w:color w:val="auto"/>
          <w:spacing w:val="0"/>
          <w:position w:val="0"/>
          <w:sz w:val="24"/>
          <w:shd w:fill="auto" w:val="clear"/>
        </w:rPr>
        <w:t xml:space="preserve">confluency.dat</w:t>
      </w:r>
      <w:r>
        <w:rPr>
          <w:rFonts w:ascii="Calibri" w:hAnsi="Calibri" w:cs="Calibri" w:eastAsia="Calibri"/>
          <w:color w:val="auto"/>
          <w:spacing w:val="0"/>
          <w:position w:val="0"/>
          <w:sz w:val="24"/>
          <w:shd w:fill="auto" w:val="clear"/>
        </w:rPr>
        <w:t xml:space="preserve">. By sorting the images into appropriate folders, the list of image file names can be replaced by </w:t>
      </w:r>
      <w:r>
        <w:rPr>
          <w:rFonts w:ascii="Calibri" w:hAnsi="Calibri" w:cs="Calibri" w:eastAsia="Calibri"/>
          <w:b/>
          <w:color w:val="auto"/>
          <w:spacing w:val="0"/>
          <w:position w:val="0"/>
          <w:sz w:val="24"/>
          <w:shd w:fill="auto" w:val="clear"/>
        </w:rPr>
        <w:t xml:space="preserve">wildcard</w:t>
      </w:r>
      <w:r>
        <w:rPr>
          <w:rFonts w:ascii="Calibri" w:hAnsi="Calibri" w:cs="Calibri" w:eastAsia="Calibri"/>
          <w:color w:val="auto"/>
          <w:spacing w:val="0"/>
          <w:position w:val="0"/>
          <w:sz w:val="24"/>
          <w:shd w:fill="auto" w:val="clear"/>
        </w:rPr>
        <w:t xml:space="preserve"> notation: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area.sh -S4 *.jpg  &amp;gt; confluency.dat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For wound-closure experiments, transform the confluency data </w:t>
      </w:r>
      <w:r>
        <w:rPr>
          <w:rFonts w:ascii="Calibri" w:hAnsi="Calibri" w:cs="Calibri" w:eastAsia="Calibri"/>
          <w:i/>
          <w:color w:val="auto"/>
          <w:spacing w:val="0"/>
          <w:position w:val="0"/>
          <w:sz w:val="24"/>
          <w:shd w:fill="auto" w:val="clear"/>
        </w:rPr>
        <w:t xml:space="preserve">A(t)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size of cell-covered area expressed as a percentage as a function of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into wound-edge propagation speed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denotes the width of the field and dA/dt is the time derivative of A(t), i.e., the expansion rate of the cell-covered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Cell motility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Execute a particle image velocimetry (PIV) algorithm to characterize cell motility, and extract the extent of local movement “optical flow” between image pairs, but not to identify individual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an initial window size of 50 &amp;#181;m is used, as described in detail by Zamir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Czirok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with an initial window size of 50 &amp;#181;m. The PIV analysis yields a velocity field v(x,t) for each image frame t and location (within the image) 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Extract the average speed of cell motility from v(x,t) as a spatial average calculated over the cell occupied area, as determined in section 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Manual cell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PIV analysis provides an automatic assessment of cell motility, to focus on the behavior of individual cells often requires manual tracking. While several tools provide this functionality, it is very helpful if the manually positioned markers can be modified after their initial placement, and if tracking can be performed both forward and backward in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Perform cell tracking with a custom-developed python tool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http://github.com/donnagreta/cm_track</w:t>
        </w:r>
      </w:hyperlink>
      <w:r>
        <w:rPr>
          <w:rFonts w:ascii="Calibri" w:hAnsi="Calibri" w:cs="Calibri" w:eastAsia="Calibri"/>
          <w:color w:val="auto"/>
          <w:spacing w:val="0"/>
          <w:position w:val="0"/>
          <w:sz w:val="24"/>
          <w:shd w:fill="auto" w:val="clear"/>
        </w:rPr>
        <w:t xml:space="preserve">), which also provides basic editor functions such as deleting trajectory segments.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manual tracking tool yields the positions P(i,t) of cell i at time t in a text file, and invoked as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cm_track.py -i images/ -o track.dat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time-lapse images are in the folder images/ and the position data is collected in the file </w:t>
      </w:r>
      <w:r>
        <w:rPr>
          <w:rFonts w:ascii="Calibri" w:hAnsi="Calibri" w:cs="Calibri" w:eastAsia="Calibri"/>
          <w:b/>
          <w:color w:val="auto"/>
          <w:spacing w:val="0"/>
          <w:position w:val="0"/>
          <w:sz w:val="24"/>
          <w:shd w:fill="auto" w:val="clear"/>
        </w:rPr>
        <w:t xml:space="preserve">track.dat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Overlay trajectories on images using a second tool, invoked as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visdat.py -d track.dat -i images/ -o overlay/ -l999 -r3 -C2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Collect the images with the trajectories overlaid in the folder overlay.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cell position data are stored in the file </w:t>
      </w:r>
      <w:r>
        <w:rPr>
          <w:rFonts w:ascii="Calibri" w:hAnsi="Calibri" w:cs="Calibri" w:eastAsia="Calibri"/>
          <w:b/>
          <w:color w:val="auto"/>
          <w:spacing w:val="0"/>
          <w:position w:val="0"/>
          <w:sz w:val="24"/>
          <w:shd w:fill="auto" w:val="clear"/>
        </w:rPr>
        <w:t xml:space="preserve">track.dat</w:t>
      </w:r>
      <w:r>
        <w:rPr>
          <w:rFonts w:ascii="Calibri" w:hAnsi="Calibri" w:cs="Calibri" w:eastAsia="Calibri"/>
          <w:color w:val="auto"/>
          <w:spacing w:val="0"/>
          <w:position w:val="0"/>
          <w:sz w:val="24"/>
          <w:shd w:fill="auto" w:val="clear"/>
        </w:rPr>
        <w:t xml:space="preserve">, while the time-lapse image sequence is within the folder images. The rest of the parameters control the maximal length of the trajectories drawn (-l), the size of the symbols (-r), and the color scheme (-C)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Analysis of individual cell trajectories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Characterize trajectories by the total path length </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net displacement toward the wound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denotes the projection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in the direction perpendicular to the wound: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coordinate of the positions when the wound is parallel to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 Calculate the guidance efficiency as  for each cell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Characterize cultures by the population average of these single cell measures, evaluated at a suitable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Collective streaming motion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 Characterize the local spatial correlations of cell movements by the average velocity of other cells that are in the vicinity of a moving cell, as described previously</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computational code is available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https://github.com/aczirok/flowfield</w:t>
        </w:r>
      </w:hyperlink>
      <w:r>
        <w:rPr>
          <w:rFonts w:ascii="Calibri" w:hAnsi="Calibri" w:cs="Calibri" w:eastAsia="Calibri"/>
          <w:color w:val="auto"/>
          <w:spacing w:val="0"/>
          <w:position w:val="0"/>
          <w:sz w:val="24"/>
          <w:shd w:fill="auto" w:val="clear"/>
        </w:rPr>
        <w:t xml:space="preserve">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7.5.1.1. Align a reference system with directions front, rear, left, and right to each vector </w:t>
      </w:r>
      <w:r>
        <w:rPr>
          <w:rFonts w:ascii="Calibri" w:hAnsi="Calibri" w:cs="Calibri" w:eastAsia="Calibri"/>
          <w:i/>
          <w:color w:val="auto"/>
          <w:spacing w:val="0"/>
          <w:position w:val="0"/>
          <w:sz w:val="24"/>
          <w:shd w:fill="auto" w:val="clear"/>
        </w:rPr>
        <w:t xml:space="preserve">v(x,t)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Assign each of the surrounding cell or PIV velocity vector to the appropriate spatial cell of the reference system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Repeat the procedure as each vector serves as the origin of the reference systems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so that a given velocity vector is assigned to multiple bins.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data point could be in front of a vector, and to left of another 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7.5.1.2. Rotate the reference systems into a common orientation (</w:t>
      </w:r>
      <w:r>
        <w:rPr>
          <w:rFonts w:ascii="Calibri" w:hAnsi="Calibri" w:cs="Calibri" w:eastAsia="Calibri"/>
          <w:b/>
          <w:color w:val="auto"/>
          <w:spacing w:val="0"/>
          <w:position w:val="0"/>
          <w:sz w:val="24"/>
          <w:shd w:fill="auto" w:val="clear"/>
        </w:rPr>
        <w:t xml:space="preserve">Figure 5C,F</w:t>
      </w:r>
      <w:r>
        <w:rPr>
          <w:rFonts w:ascii="Calibri" w:hAnsi="Calibri" w:cs="Calibri" w:eastAsia="Calibri"/>
          <w:color w:val="auto"/>
          <w:spacing w:val="0"/>
          <w:position w:val="0"/>
          <w:sz w:val="24"/>
          <w:shd w:fill="auto" w:val="clear"/>
        </w:rPr>
        <w:t xml:space="preserve">) and pool them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of each bin of the pooled velocity data is a velocity vector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that is indicative of spatial correlation: the average is a measure of a shared velocity component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7.5.1.3. Fit the </w:t>
      </w:r>
      <w:r>
        <w:rPr>
          <w:rFonts w:ascii="Calibri" w:hAnsi="Calibri" w:cs="Calibri" w:eastAsia="Calibri"/>
          <w:i/>
          <w:color w:val="auto"/>
          <w:spacing w:val="0"/>
          <w:position w:val="0"/>
          <w:sz w:val="24"/>
          <w:shd w:fill="auto" w:val="clear"/>
        </w:rPr>
        <w:t xml:space="preserve">U(x)</w:t>
      </w:r>
      <w:r>
        <w:rPr>
          <w:rFonts w:ascii="Calibri" w:hAnsi="Calibri" w:cs="Calibri" w:eastAsia="Calibri"/>
          <w:color w:val="auto"/>
          <w:spacing w:val="0"/>
          <w:position w:val="0"/>
          <w:sz w:val="24"/>
          <w:shd w:fill="auto" w:val="clear"/>
        </w:rPr>
        <w:t xml:space="preserve"> flow fields with an exponential function , where </w:t>
      </w:r>
      <w:r>
        <w:rPr>
          <w:rFonts w:ascii="Calibri" w:hAnsi="Calibri" w:cs="Calibri" w:eastAsia="Calibri"/>
          <w:i/>
          <w:color w:val="auto"/>
          <w:spacing w:val="0"/>
          <w:position w:val="0"/>
          <w:sz w:val="24"/>
          <w:shd w:fill="auto" w:val="clear"/>
        </w:rPr>
        <w:t xml:space="preserve">a, x0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U0</w:t>
      </w:r>
      <w:r>
        <w:rPr>
          <w:rFonts w:ascii="Calibri" w:hAnsi="Calibri" w:cs="Calibri" w:eastAsia="Calibri"/>
          <w:color w:val="auto"/>
          <w:spacing w:val="0"/>
          <w:position w:val="0"/>
          <w:sz w:val="24"/>
          <w:shd w:fill="auto" w:val="clear"/>
        </w:rPr>
        <w:t xml:space="preserve"> are fitting parameters. Out of the three fitting parameters, focus on x0, the correlation length (</w:t>
      </w:r>
      <w:r>
        <w:rPr>
          <w:rFonts w:ascii="Calibri" w:hAnsi="Calibri" w:cs="Calibri" w:eastAsia="Calibri"/>
          <w:b/>
          <w:color w:val="auto"/>
          <w:spacing w:val="0"/>
          <w:position w:val="0"/>
          <w:sz w:val="24"/>
          <w:shd w:fill="auto" w:val="clear"/>
        </w:rPr>
        <w:t xml:space="preserve">Figure 5I,J</w:t>
      </w:r>
      <w:r>
        <w:rPr>
          <w:rFonts w:ascii="Calibri" w:hAnsi="Calibri" w:cs="Calibri" w:eastAsia="Calibri"/>
          <w:color w:val="auto"/>
          <w:spacing w:val="0"/>
          <w:position w:val="0"/>
          <w:sz w:val="24"/>
          <w:shd w:fill="auto" w:val="clear"/>
        </w:rPr>
        <w:t xml:space="preserve">), which is the characteristic distance where local velocity-velocity correlations disappear.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dissection of palatal shelves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sequence of incisions is designed to minimize slippage of the tissue. Following the removal of the head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lower jaw is removed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The incision of the upper part of the head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is done to stabilize the tissue when placed upside down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to visualize (</w:t>
      </w:r>
      <w:r>
        <w:rPr>
          <w:rFonts w:ascii="Calibri" w:hAnsi="Calibri" w:cs="Calibri" w:eastAsia="Calibri"/>
          <w:b/>
          <w:color w:val="auto"/>
          <w:spacing w:val="0"/>
          <w:position w:val="0"/>
          <w:sz w:val="24"/>
          <w:shd w:fill="auto" w:val="clear"/>
        </w:rPr>
        <w:t xml:space="preserve">Figure 1E, dotted lines</w:t>
      </w:r>
      <w:r>
        <w:rPr>
          <w:rFonts w:ascii="Calibri" w:hAnsi="Calibri" w:cs="Calibri" w:eastAsia="Calibri"/>
          <w:color w:val="auto"/>
          <w:spacing w:val="0"/>
          <w:position w:val="0"/>
          <w:sz w:val="24"/>
          <w:shd w:fill="auto" w:val="clear"/>
        </w:rPr>
        <w:t xml:space="preserve">), pinch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excise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the palatal shelves.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excised palatal shelf pair from a single embryo are trypsinized and cultured in a 35 mm dish or in a well of a 6-well dish. Larger dishes are not preferred as the cell density is too low for optimal growth. Upon confluence, the cells from each well are trypsinized and passaged into three 35-mm-equivalent wells (passage #1). Confluent cells from passage #1 can then be frozen down into aliquots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Frozen aliquots are subsequently brought up in a 35-mm-equivalent dish and grown to confluence. The cells are then trypsinized (passage #2) and seeded according to the experiment. Creating and using frozen aliquots helped to normalize conditions, especially with respect to cell density. The use of fresh MEPM cells resulted in more variability in final cell density in experiments, which is believed to be due to a variable proportion of viable or sub-viable cells in fresh cultures. In addition, the number of MEPM cell passages were strictly limited to two (listed above) for these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that a) cell density was critical, b) MEPM cells from a single embryo were limited, and c) imaging optics were better in a large dish, 2-well silicone inserts were used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wound-repair assays, MEPM cells were grown in the 2-well silicone inserts until high confluence, then the inserts were removed, and the wound imaged until closure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However, for 2D culture, the MEPM cells needed imaging as they grew, so the 2-well silicone inserts were simply trimmed to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of their height to allow for clear imaging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Small 3D printed rings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35 mm dishes were also used for 2D motility analysis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MEPM trajectories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are persistent: the direction of cell motility is maintained for several hours. The mean displacement vs. time analysis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indicates the persistence in the form of displacement being proportional with elapsed time. The typical speed of MEPM cells on tissue culture plastic surface, 10 &amp;#181;m/h, can be also used for quality control of the cell culture. Flow analysis of the motility data reveals that the co-moving clusters of MEPM cells are ~300 &amp;#181;m in size (</w:t>
      </w:r>
      <w:r>
        <w:rPr>
          <w:rFonts w:ascii="Calibri" w:hAnsi="Calibri" w:cs="Calibri" w:eastAsia="Calibri"/>
          <w:b/>
          <w:color w:val="auto"/>
          <w:spacing w:val="0"/>
          <w:position w:val="0"/>
          <w:sz w:val="24"/>
          <w:shd w:fill="auto" w:val="clear"/>
        </w:rPr>
        <w:t xml:space="preserve">Figure 5I,J</w:t>
      </w:r>
      <w:r>
        <w:rPr>
          <w:rFonts w:ascii="Calibri" w:hAnsi="Calibri" w:cs="Calibri" w:eastAsia="Calibri"/>
          <w:color w:val="auto"/>
          <w:spacing w:val="0"/>
          <w:position w:val="0"/>
          <w:sz w:val="24"/>
          <w:shd w:fill="auto" w:val="clear"/>
        </w:rPr>
        <w:t xml:space="preserve">). The representative results also indicate a profound motility difference between wild-type and mutant MEPM cells. In addition to wildtype and mutant comparison, both 2D and wound-repair assays can be combined with various biochemical treatments. For example, PI3K-AKT pathway activators have been used with MEPM cells, as described previously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Dissection of embryonic palatal shelves to isolate mesenchymal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E13.5 mouse embryo head is removed by cutting along the neck (red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Next, the lower jaw and tongue are removed with incisions along the oral cavity, between the upper and lower jaws (yellow line).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stabilize the tissue for palatal shelf removal, the top of the head is excised (green line).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resulting dissected upper jaw region is placed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upside down to visualize the palatal shelves (black dotted lines).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excision of individual palatal shelves is depicted schematically, where individual protruding shelves (yellow) are pinched off from the maxilla (blue).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Excised pair of palatal shelves form a single embryo, which can then be trypsinized and cultured in a 35 mm dish or in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setup of 2D MEPM cell 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Thaw a frozen aliquot of MEPM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culture the cells in a 35 mm dish or a 6-well plate. When confluent, trypsinize the cells and seed them as described in the protocol in a 35 mm dish either with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2-well silicone inserts that have been trimmed 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with 3D-printed rings. A small culture space minimizes the need for large numbers of MEPM cells. The low profile of the trimmed silicone inserts or the 3D-printed rings allows for direct imaging without a halo effect. Time-lapse imaging can continue until the desired cell density is achieved, which can be up to 72 h. Representative images are shown at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0 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24 h,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45 h timepoints. The images were taken using a 4x objective. The scalebars for E, F, G = 300 &amp;#181;m. Abbreviations: 2D = two-dimensional; MEPM = mouse embryonic palatal mesenchyme; 3D = three-dimensional.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Experimental setup of wound-closure assay using MEPM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Thaw a frozen aliquot of MEPM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culture cells in a 35 mm dish or a 6-well plate. When confluent, trypsinize the cells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seed them in the 2-well silicone inserts in a 35 mm dish. Culture the cells in the insert until the desired confluence (~48 h), then remove the silicone insert and image. Representative images are shown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immediately after removal of the insert,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24 h,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40 h. Wound closure takes around 36 h. The images were taken using a 10x objective. The scalebar represents 300 &amp;#181;m. Abbreviations: MEPM = mouse embryonic palatal mesenchyme.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individual cell trajectories.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Phase-contrast time-lapse micrographs are subjected to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a manual tracking procedure, which marks cells (green dots).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Cell positions (x,y) are stored for each cell distinguished by its ID and for each frame f.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Trajectories can be overlaid on the micrographs and color-coded to indicate temporal information. As an example, in each trajectory, a blue to red color palette indicates progressively later trajectory segments, with red and blue marking the initial and final cell locations, respectively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Various statistical properties of trajectories, such as the mean square displacement, can be extracted and used to characterize the motility of various cell populations, which in this example include wildtype (wt, blue), and knockdown (kd, red) MEPM cells. The scalebars represent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of stream formation of cultured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Phase-contrast time-lapse images from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are used to identify cell movements. For each moving cell, a frame of reference (blue) and spatial bins (white) were co-aligned to categorize adjacent cells as being in the front, rear, left, or right.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The velocity of adjacent cells (black vectors) was related to the same frame of reference (</w:t>
      </w:r>
      <w:r>
        <w:rPr>
          <w:rFonts w:ascii="Calibri" w:hAnsi="Calibri" w:cs="Calibri" w:eastAsia="Calibri"/>
          <w:b/>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This procedure was repeated for each cell and time-point.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After pooling this local information, each bin will contain multiple velocity vectors (gray), which can be averaged to determine the average co-moving velocity (magenta arrows) at various locations relative to an average motile cell.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average velocity map thus characterizes the typical cell velocities at various locations relative to a moving cell. (</w:t>
      </w:r>
      <w:r>
        <w:rPr>
          <w:rFonts w:ascii="Calibri" w:hAnsi="Calibri" w:cs="Calibri" w:eastAsia="Calibri"/>
          <w:b/>
          <w:color w:val="auto"/>
          <w:spacing w:val="0"/>
          <w:position w:val="0"/>
          <w:sz w:val="24"/>
          <w:shd w:fill="auto" w:val="clear"/>
        </w:rPr>
        <w:t xml:space="preserve">I,J</w:t>
      </w:r>
      <w:r>
        <w:rPr>
          <w:rFonts w:ascii="Calibri" w:hAnsi="Calibri" w:cs="Calibri" w:eastAsia="Calibri"/>
          <w:color w:val="auto"/>
          <w:spacing w:val="0"/>
          <w:position w:val="0"/>
          <w:sz w:val="24"/>
          <w:shd w:fill="auto" w:val="clear"/>
        </w:rPr>
        <w:t xml:space="preserve">) Finally, this field was sampled along the front-rear (parallel) axis and also along the left-right (perpendicular)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Palatal shelf elevation constitutes a vertical to horizontal remodeling event</w:t>
      </w:r>
      <w:r>
        <w:rPr>
          <w:rFonts w:ascii="Calibri" w:hAnsi="Calibri" w:cs="Calibri" w:eastAsia="Calibri"/>
          <w:color w:val="auto"/>
          <w:spacing w:val="0"/>
          <w:position w:val="0"/>
          <w:sz w:val="24"/>
          <w:shd w:fill="auto" w:val="clear"/>
          <w:vertAlign w:val="superscript"/>
        </w:rPr>
        <w:t xml:space="preserve">1,3,4,9,11</w:t>
      </w:r>
      <w:r>
        <w:rPr>
          <w:rFonts w:ascii="Calibri" w:hAnsi="Calibri" w:cs="Calibri" w:eastAsia="Calibri"/>
          <w:color w:val="auto"/>
          <w:spacing w:val="0"/>
          <w:position w:val="0"/>
          <w:sz w:val="24"/>
          <w:shd w:fill="auto" w:val="clear"/>
        </w:rPr>
        <w:t xml:space="preserve">. It is postulated that this remodeling process requires palatal shelf mesenchymal cells to behave coordinately. The analyses with wildtype MEPM cells show that this cell behavior is intrinsic and can be quantitated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Thus, these assays can be used to uncover primary palatal shelf elevation defects in new and existing mouse models of cleft palate. The methods outlined in sections 1 and 2 should allow investigators to isolate, culture, and freeze aliquots of primary MEPM cells. These cells can then be used for a wide variety of applications, including the 2D culture and wound-repair assays described here. The 2D culture, when combined with time-lapse imaging, presents a simple method to determine basic cell attributes over a range of cell densities. Presented here is a method to assess cell alignment and cell stream formation, which are attributes of collective cell movement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Wound-closure assays are commonly used to assess cell migration</w:t>
      </w:r>
      <w:r>
        <w:rPr>
          <w:rFonts w:ascii="Calibri" w:hAnsi="Calibri" w:cs="Calibri" w:eastAsia="Calibri"/>
          <w:color w:val="auto"/>
          <w:spacing w:val="0"/>
          <w:position w:val="0"/>
          <w:sz w:val="24"/>
          <w:shd w:fill="auto" w:val="clear"/>
          <w:vertAlign w:val="superscript"/>
        </w:rPr>
        <w:t xml:space="preserve">41-43</w:t>
      </w:r>
      <w:r>
        <w:rPr>
          <w:rFonts w:ascii="Calibri" w:hAnsi="Calibri" w:cs="Calibri" w:eastAsia="Calibri"/>
          <w:color w:val="auto"/>
          <w:spacing w:val="0"/>
          <w:position w:val="0"/>
          <w:sz w:val="24"/>
          <w:shd w:fill="auto" w:val="clear"/>
        </w:rPr>
        <w:t xml:space="preserve">. The cell-free region of the “wound” provides a cue for directional movement of cells at the periphery. Time-lapse imaging of this process allowed the determination and assessment of cell trajectories during migration. These cell trajectories, in turn, determine cell migration speed and directionality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first optimize conditions for culture and assays using only wildtype MEPM cells. After the palatal shelves have been successfully trypsinized and the resulting single-cell suspension plated overnight, the vast majority (~90%) of cells will readily attach to the growth-surface of the dish. If the cells do not readily adhere, then there may be something wrong with the culture conditions. Initially, the adhered cells will look fairly homogeneous, with a triangular or slightly elongated shape, but as they grow to a high density, they become more spindle-shaped and elongated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If the cells become dramatically large in size or multinucleated, they should not be used for experiments. This optimization will also establish basic wildtype parameters for successful growth (time to confluence) and wound-repair (time to closure). The cells should proliferate by doubling in number almost daily and in time-lapse images, show motility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&amp;#181;m/h. Similarly, if in any subsequent experiment involving a wildtype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mutant comparison, these basic parameters are not met by wildtype cells, the experiment may need to be excluded from analysis. For example, wildtype MEPM cells take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h to completely close the wound using the 2-well silicone inserts. If in an experiment, wildtype cells take significantly longer than 40 h to close the wound, the entire experiment would be suspect. Poor performance from MEPM cells may be due to 1) poor frozen aliquot quality, 2) poor revival, or 3) excessive differentiation. Differentiated or senescent cells can be detected visually as they grow very large and do not divide. A culture with a large number of such cells should be avoided. In general, there should be no abnormal cells in the field of view of a 10x objective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cell or two outside the field of view should not materially affect the analysis. Restricting analysis to only two cell passages (above) greatly helps maintain the quality of MEPM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both the 2D culture and wound-repair assays using primary MEPM cells, the key requirement for success was a high initial cell density. This requirement was first determined during optimization of wound-repair assay in which cells were seeded at &amp;gt;1400 cells/mm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density of cells migrating into the wound was then used as the seeding density in 2D culture assays. A seeding density of ~300 cells/mm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formed cell streams, while still allowing for automated analysis of cell trajectories. Densities higher than 300 cells/mm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tend to form more vivid streams that can be visualized by eye, but make individual cell tracking difficult. When comparing primary MEPM cells from wildtype and mutant embryos, although wound-closure delay can be assessed without computational analysis, stream formation and directionality differences may not be discernable by eye. If the cell density is too high or image quality is poor/blurred, for example due to loss of focus, automated cell tracking may be difficult. In such a case, it is possible to use manual cell tracking to determine cell trajectories in wound-repair assays using ImageJ. A very low concentration of Hoechst nuclear stain (3 &amp;#181;L/mL of 20 mM solution in MEPM culture medium) can also be used to facilitate cell tracking; however, fluorescent laser toxicity can be an issue with extended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manual tracking, it was easier to track cells in reverse from the end of wound-closure backwards as far as possible until high cell density obscured further tracking. Even partial cell trajectories, when combined for a cell population, were informative. In contrast to wound-repair assays, automated cell tracking is required for 2D cell culture analysis, which is one reason why intermediate cell densities were chosen. Lastly, sensitive primary MEPM-based analyses can be used to identify compounds and pathways that may affect palate elevation. Previous studies indicated that activation of the PI3K-AKT pathway improved both cell speed and directionality of </w:t>
      </w:r>
      <w:r>
        <w:rPr>
          <w:rFonts w:ascii="Calibri" w:hAnsi="Calibri" w:cs="Calibri" w:eastAsia="Calibri"/>
          <w:i/>
          <w:color w:val="auto"/>
          <w:spacing w:val="0"/>
          <w:position w:val="0"/>
          <w:sz w:val="24"/>
          <w:shd w:fill="auto" w:val="clear"/>
        </w:rPr>
        <w:t xml:space="preserve">Specc1l</w:t>
      </w:r>
      <w:r>
        <w:rPr>
          <w:rFonts w:ascii="Calibri" w:hAnsi="Calibri" w:cs="Calibri" w:eastAsia="Calibri"/>
          <w:color w:val="auto"/>
          <w:spacing w:val="0"/>
          <w:position w:val="0"/>
          <w:sz w:val="24"/>
          <w:shd w:fill="auto" w:val="clear"/>
        </w:rPr>
        <w:t xml:space="preserve"> mutant MEPM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Other MEPM studies have also used various growth factor or drug treatments to stimulate downstream signaling cascades or to assess proliferation</w:t>
      </w:r>
      <w:r>
        <w:rPr>
          <w:rFonts w:ascii="Calibri" w:hAnsi="Calibri" w:cs="Calibri" w:eastAsia="Calibri"/>
          <w:color w:val="auto"/>
          <w:spacing w:val="0"/>
          <w:position w:val="0"/>
          <w:sz w:val="24"/>
          <w:shd w:fill="auto" w:val="clear"/>
          <w:vertAlign w:val="superscript"/>
        </w:rPr>
        <w:t xml:space="preserve">22,29,30,44,45</w:t>
      </w:r>
      <w:r>
        <w:rPr>
          <w:rFonts w:ascii="Calibri" w:hAnsi="Calibri" w:cs="Calibri" w:eastAsia="Calibri"/>
          <w:color w:val="auto"/>
          <w:spacing w:val="0"/>
          <w:position w:val="0"/>
          <w:sz w:val="24"/>
          <w:shd w:fill="auto" w:val="clear"/>
        </w:rPr>
        <w:t xml:space="preserve">. Thus, MEPM-based analyses offer a quick method to identify many more positive or negative regulatory factors, which can then be validated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in part by the National Institutes of Health grants DE026172 (I.S.), and GM102801 (A.C.). I.S. was also supported in part by the Center of Biomedical Research Excellence (COBRE) grant (National Institute of General Medical Sciences P20 GM104936), Kansas IDeA Network for Biomedical Research Excellence grant (National Institute of General Medical Sciences P20 GM103418), and Kansas Intellectual and Developmental Disabilities Research Center (KIDDRC) grant (U54 Eunice Kennedy Shriver National Institute of Child Health and Human Development, HD090216).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Bush, J. O., Jiang, R. Palatogenesis: morphogenetic and molecular mechanisms of secondary palate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Mossey, P. A., Little, J., Munger, R. G., Dixon, M. J., Shaw, W. C. Cleft lip and palate.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(9703), 1773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Lan, Y., Xu, J., Jiang, R. Cellular and molecular mechanisms of palatogenesis.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 C., Lan, Y., Jiang, R. Molecular and cellular mechanisms of palate development.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(11), 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Gritli-Linde, A. The etiopathogenesis of cleft lip and cleft palate: usefulness and caveats of mouse models.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Meng, L., Bian, Z., Torensma, R., Von den Hoff, J. W. Biological mechanisms in palatogenesis and cleft palate.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Dixon, M. J., Marazita, M. L., Beaty, T. H., Murray, J. C. Cleft lip and palate: understanding genetic and environmental influences.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Kousa, Y. A., Schutte, B. C. Toward an orofacial gene regulatory network.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(3),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Jin, J.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Mesenchymal cell remodeling during mouse secondary palate reorientation.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(7), 2110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 K., Ornitz, D. M. Histomorphological study of palatal shelf elevation during murine secondary palate formation.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(7), 1737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Chiquet, M., Blumer, S., Angelini, M., Mitsiadis, T. A., Katsaros, C. Mesenchymal remodeling during palatal shelf elevation revealed by extracellular matrix and F-actin expression patterns.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Paul,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ARHGAP29 mutation is associated with abnormal oral epithelial adhesions.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(11), 1298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Hall, E.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SPECC1L regulates palate development downstream of IRF6.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Walker, B. E., Fraser, F. C. Closure of the secondary palate in three strains of mice. </w:t>
      </w:r>
      <w:r>
        <w:rPr>
          <w:rFonts w:ascii="Calibri" w:hAnsi="Calibri" w:cs="Calibri" w:eastAsia="Calibri"/>
          <w:i/>
          <w:color w:val="auto"/>
          <w:spacing w:val="0"/>
          <w:position w:val="0"/>
          <w:sz w:val="24"/>
          <w:shd w:fill="auto" w:val="clear"/>
        </w:rPr>
        <w:t xml:space="preserve">Journal of Embryology and Experimental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Jin, J. Z., Li, Q., Higashi, Y., Darling, D. S., Ding, J. Analysis of Zfhx1a mutant mice reveals palatal shelf contact-independent medial edge epithelial differentiation during palate fusion.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Kouskoura,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etiology of cleft palate formation in BMP7-deficient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e59463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Lan, Y., Zhang, N., Liu, H., Xu, J., Jiang, R. Golgb1 regulates protein glycosylation and is crucial for mammalian palate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(13), 2344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Wnt5a regulates directional cell migration and cell proliferation via Ror2-mediated noncanonical pathway in mammalian palate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(23), 3871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Lan, Y., Qin, C., Jiang, R. Requirement of hyaluronan synthase-2 in craniofacial and palate development.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(12), 1367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Yonemitsu, M. A., Lin, T. Y., Yu, K. Hyaluronic acid is required for palatal shelf movement and its interaction with the tongue during palatal shelf elevation.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Goering, 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SPECC1L-deficient palate mesenchyme cells show speed and directionality defect.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In Press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Fantauzzo, K. A., Soriano, P. PI3K-mediated PDGFRalpha signaling regulates survival and proliferation in skeletal development through p53-dependent intracellular pathways.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1005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Vasudevan, H. N., Soriano, P. SRF regulates craniofacial development through selective recruitment of MRTF cofactors by PDGF signaling.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Vasudevan, H. N., Mazot, P., He, F., Soriano, P. Receptor tyrosine kinases modulate distinct transcriptional programs by differential usage of intracellular pathways.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e07186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2,3,7,8-Tetrachlorodibenzo-p-dioxin and TGFbeta3-mediated mouse embryonic palatal mesenchymal cells. </w:t>
      </w:r>
      <w:r>
        <w:rPr>
          <w:rFonts w:ascii="Calibri" w:hAnsi="Calibri" w:cs="Calibri" w:eastAsia="Calibri"/>
          <w:i/>
          <w:color w:val="auto"/>
          <w:spacing w:val="0"/>
          <w:position w:val="0"/>
          <w:sz w:val="24"/>
          <w:shd w:fill="auto" w:val="clear"/>
        </w:rPr>
        <w:t xml:space="preserve">Dose Response.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1559325818786822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Iyyanar, P. P. R., Nazarali, A. J. Hoxa2 inhibits bone morphogenetic protein signaling during osteogenic differentiation of the palatal mesenchyme.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Jiang, Z., Pan, L., Chen, X., Chen, Z., Xu, D. Wnt6 influences the viability of mouse embryonic palatal mesenchymal cells via the beta-catenin pathway. </w:t>
      </w:r>
      <w:r>
        <w:rPr>
          <w:rFonts w:ascii="Calibri" w:hAnsi="Calibri" w:cs="Calibri" w:eastAsia="Calibri"/>
          <w:i/>
          <w:color w:val="auto"/>
          <w:spacing w:val="0"/>
          <w:position w:val="0"/>
          <w:sz w:val="24"/>
          <w:shd w:fill="auto" w:val="clear"/>
        </w:rPr>
        <w:t xml:space="preserve">Experimental and Therapeutic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5339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Negative interplay of retinoic acid and TGF-beta signaling mediated by TG-interacting factor to modulate mouse embryonic palate mesenchymal-cell proliferation. </w:t>
      </w:r>
      <w:r>
        <w:rPr>
          <w:rFonts w:ascii="Calibri" w:hAnsi="Calibri" w:cs="Calibri" w:eastAsia="Calibri"/>
          <w:i/>
          <w:color w:val="auto"/>
          <w:spacing w:val="0"/>
          <w:position w:val="0"/>
          <w:sz w:val="24"/>
          <w:shd w:fill="auto" w:val="clear"/>
        </w:rPr>
        <w:t xml:space="preserve">Birth Defects Research Part B: Developmental and Reproductive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(6),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Bush, J. O., Soriano, P. Ephrin-B1 forward signaling regulates craniofacial morphogenesis by controlling cell proliferation across Eph-ephrin boundaries.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 2068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Mo, J., Long, R., Fantauzzo, K. A. Pdgfra and Pdgfrb genetically interact in the murine neural crest cell lineage to regulate migration and proliferation.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588901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He, F., Soriano, P. A critical role for PDGFRalpha signaling in medial nasal process development.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e1003851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Fantauzzo, K. A., Soriano, P. Generation of an immortalized mouse embryonic palatal mesenchyme cell line.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e0179078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Wu, K., Gauthier, D., Levine, M. D. Live cell image segmentation.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Neufeld,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role of Allee effect in modelling post resection recurrence of glioblastoma.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e1005818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Zamir, E. A., Czirok, A., Rongish, B. J., Little, C. D. A digital image-based method for computational tissue fate mapping during early avian morphogenesis.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Czirok,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Optical-flow based non-invasive analysis of cardiomyocyte contractility.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10404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Biggs, 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Interferon regulatory factor 6 regulates keratinocyte migration.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(Pt 13), 2840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Czirok, A., Varga, K., Mehes, E., Szabo, A. Collective cell streams in epithelial monolayers depend on cell adhesion. </w:t>
      </w:r>
      <w:r>
        <w:rPr>
          <w:rFonts w:ascii="Calibri" w:hAnsi="Calibri" w:cs="Calibri" w:eastAsia="Calibri"/>
          <w:i/>
          <w:color w:val="auto"/>
          <w:spacing w:val="0"/>
          <w:position w:val="0"/>
          <w:sz w:val="24"/>
          <w:shd w:fill="auto" w:val="clear"/>
        </w:rPr>
        <w:t xml:space="preserve">New Journal of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75006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Szabo,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Collective cell motion in endothelial monolayers. </w:t>
      </w:r>
      <w:r>
        <w:rPr>
          <w:rFonts w:ascii="Calibri" w:hAnsi="Calibri" w:cs="Calibri" w:eastAsia="Calibri"/>
          <w:i/>
          <w:color w:val="auto"/>
          <w:spacing w:val="0"/>
          <w:position w:val="0"/>
          <w:sz w:val="24"/>
          <w:shd w:fill="auto" w:val="clear"/>
        </w:rPr>
        <w:t xml:space="preserve">Physical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046007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Gulyas, M., Csiszer, M., Mehes, E., Czirok, A. Software tools for cell culture-related 3D printed structures.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e0203203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Soderholm, J., Heald, R. Scratch n' screen for inhibitors of cell migration.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Riahi, R., Yang, Y., Zhang, D. D., Wong, P. K. Advances in wound-healing assays for probing collective cell migration. </w:t>
      </w:r>
      <w:r>
        <w:rPr>
          <w:rFonts w:ascii="Calibri" w:hAnsi="Calibri" w:cs="Calibri" w:eastAsia="Calibri"/>
          <w:i/>
          <w:color w:val="auto"/>
          <w:spacing w:val="0"/>
          <w:position w:val="0"/>
          <w:sz w:val="24"/>
          <w:shd w:fill="auto" w:val="clear"/>
        </w:rPr>
        <w:t xml:space="preserve">Journal of Laboratory Automation.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(2012).</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Svensson, C. M., Medyukhina, A., Belyaev, I., Al-Zaben, N., Figge, M. T. Untangling cell tracks: Quantifying cell migration by time lapse image data analysis.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Fantauzzo, K. A., Soriano, P. PDGFRbeta regulates craniofacial development through homodimers and functional heterodimers with PDGFRalpha.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(21), 2443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Rafi,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Teratogenic drug topiramate upregulates TGF&amp;#946;1 and SOX9 expression in primary palatal mesenchyme cells.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2019.2012.2031.892042, doi:10.1101/2019.12.31.892042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github.com/donnagreta/cm_track" Id="docRId1" Type="http://schemas.openxmlformats.org/officeDocument/2006/relationships/hyperlink" /><Relationship Target="numbering.xml" Id="docRId3" Type="http://schemas.openxmlformats.org/officeDocument/2006/relationships/numbering" /><Relationship TargetMode="External" Target="http://github.com/aczirok/cellconfluency" Id="docRId0" Type="http://schemas.openxmlformats.org/officeDocument/2006/relationships/hyperlink" /><Relationship TargetMode="External" Target="https://github.com/aczirok/flowfield" Id="docRId2" Type="http://schemas.openxmlformats.org/officeDocument/2006/relationships/hyperlink" /><Relationship Target="styles.xml" Id="docRId4" Type="http://schemas.openxmlformats.org/officeDocument/2006/relationships/styles" /></Relationships>
</file>