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Systematic Scoring Analysis for Intestinal Inflammation in a Murine Dextran Sodium Sulfate-Induced Colitis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Vicky Garcia-Hernandez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Philipp-Alexander Neumann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Stefan Koch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Renae Lyons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Asma Nusrat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A. Parkos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Michigan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Surgery, Klinikum Rechts der Isar, Technische Universit&amp;#228;t M&amp;#252;nchen,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Wallenberg Centre for Molecular Medicine, Link&amp;#246;ping University, Link&amp;#246;ping, Sweden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and Clinical Sciences (BKV), Link&amp;#246;ping University, Link&amp;#246;ping,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Vicky Garcia-Hernandez </w:t>
        <w:tab/>
        <w:t xml:space="preserve">(vgarciah@umich.edu)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Philipp-Alexander Neumann </w:t>
        <w:tab/>
        <w:t xml:space="preserve">(philipp-alexander.neumann@tum.de)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Koch </w:t>
        <w:tab/>
        <w:tab/>
        <w:tab/>
        <w:t xml:space="preserve">(stefan.koch@liu.se)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Renae Lyons </w:t>
        <w:tab/>
        <w:tab/>
        <w:tab/>
        <w:t xml:space="preserve">(renaecat@umich.edu)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Asma Nusrat </w:t>
        <w:tab/>
        <w:tab/>
        <w:tab/>
        <w:t xml:space="preserve">(anusrat@umich.edu)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Parkos </w:t>
        <w:tab/>
        <w:tab/>
        <w:t xml:space="preserve">(cparkos@umich.edu)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Asma Nusrat </w:t>
        <w:tab/>
        <w:tab/>
        <w:tab/>
        <w:t xml:space="preserve">(anusrat@umich.edu)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Parkos </w:t>
        <w:tab/>
        <w:tab/>
        <w:t xml:space="preserve">(cparkos@umich.edu)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DSS-colitis, inflammation, injury, erosion, ulcer, histological colitis score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Systematic scoring of intestinal inflammation using a free computer-assisted system is a powerful tool to quantitatively compare histopathological changes in colitis models characterized by the presence of ulcers and inflammatory changes. Histological colitis score evaluation strengthens clinical observations and facilitates data interpretation.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colitis models are tools that are extensively employed in studies focused on understanding the pathobiology of inflammatory intestinal disorders. However, robust standards for objective and reproducible quantification of disease severity remain to be defined. Most colitis analysis methods rely on limited histological scoring of small segments of intestine, leading to partial or biased analyses. Here, we combine high-resolution image acquisition and longitudinal analysis of the entire colon to quantify intestinal injury and ulceration in the dextran sodium sulfate (DSS) induced model of murine colitis. This protocol allows for the generation of objective and reproducible results without extensive user training. Here, we provide comprehensive details on sample preparation and image analysis using examples of data from DSS induced colitis. This method can be easily adapted to other models of murine colitis that have significant inflammation associated with mucosal injury. We demonstrate that the fraction of inflamed/injured and eroded/ulcerated mucosa relative to the complete length of the colon closely parallels clinical findings such as weight loss amid DSS-induced disease progression. This histological protocol provides a reliable time and cost-effective aid to standardize analyses of disease activity in an unbiased way in DSS colitis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gastrointestinal epithelial barrier plays a pivotal role in separating luminal antigens and pathogens from underlying tissue compartments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Epithelial injury and mucosal wounds seen in pathologic conditions such as inflammatory bowel disease (IBD), ischemia, or surgical injury are associated with clinical symptoms that include diarrhea, weight loss, blood in stool, and abdominal pain. In response to injury, epithelial cells migrate and proliferate to re-epithelialize and repair mucosal barrier defects. Resolution of inflammation and restitution of mucosal integrity are crucial to re-establishing intestinal mucosal homeostasis and function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animal models have been employed to study the underlying molecular mechanisms that are associated with the damage to the intestinal epithelial barrier. Well-established and easily applicable models of chemically induced colitis are widely used, particularly in studies related to inflammatory injury such as IBD. A common, reproducible, and reliable murine colitis model employs dextran sodium sulfate (DSS) mediated colonic injury and inflammation. The severity of disease varies depending upon mouse strain, dose of DSS, length of DSS administration, and molecular weight of DSS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mucosal damage during DSS colitis is usually evaluated using the Disease Activity Index (DAI), a composite score determined by weight loss, fecal blood content, and stool consistency. The fecal blood content can be microscopic (detected using a stool guaiac acid test) or macroscopic; fecal consistency is classified as hard, soft, or liquid (i.e., diarrhea)</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Scoring of these clinical parameters can be subjective and may vary depending on the user’s experience and bias, although overall, the data provides reliable information and is thus widely used by IBD researchers. In contrast, there is no generally accepted method for histological evaluation of mucosal damage. Most commonly, selected areas of the colon are inspected by a trained pathologist and scored based on several parameters that usually include crypt injury and leukocyte infiltration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However, because the number of investigated parameters and the amount of tissue analyzed varies considerably between individual reports, comparability of many published studies is limited. To reduce observer bias and enhance inter-study concordance, an ideal histological scoring protocol should: 1) include the entire length of the colon, as intestinal mucosal inflammation is most often variable and skip lesions are common, 2) limit analysis to specific key and easily interpretable parameters to reduce subjectivity, 3) facilitate fast, consistent processing of large numbers of samples, and 4) use widely available and affordable tools for data acquisition, analysis and presentation.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technique to process the entire colon or long segments of the small intestine in a “Swiss roll” configuration along with the use of a free computer-assisted scoring system to analyze intestinal mucosal inflammation and damage because of DSS-induced colitis.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described were approved by the University of Michigan's Committee on the Use and Care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Tissue harvest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Euthanize mice humanely using isoflurane anesthesia followed by cervical dislocation, in accordance with approved protocols. For all animal experiments, approval was obtained by a certified review board in accordance with the National and Institutional guidelines for animal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mouse on a dissecting pad in a supine position. Immobilize mouse extremities using 20 G x 1 1/2-inch G needles.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Using forceps and scissors, make a small incision on the abdominal skin and pull it to the side to expose the peritoneum.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Open the abdominal cavity with a midline incision in the peritoneum from the pubic bone to the sides of the abdomen.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Carefully remove tissues and organs until large intestine is visualized. Cut the pelvic bone on both sides of the colon to fully visualize the organ, extending from the anus towards the cecum.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Gently remove fat, small veins and arteries attached to the colon, while carefully dissecting the organ, cutting just proximal to the anus and just distal to the cecum.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dissected colon should remain at room temperature while completing the Swiss roll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Carefully flush the colon with 1x PBS, using a flexible plastic gavage needle inserted through the anus to remove fecal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Position the colon in a straight line, and open longitudinally along the mesenteric artery. Bisect the colon longitudinally from the distal to the proximal end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One half of the tissue can be used for histological analysis while the other can be processed for western blot, PCR or rolled into a second Swiss roll for fresh frozen immunofluorescence microscopy</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swiss rolls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Trim extra tissue from the proximal colon using a razor blade until approximately the same width along the length of the whole colon is obtained.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Align the colon to expose the lumen facing-up, and flatten the tissue completely using a flexible gavage needle. Add more PBS, if needed, to keep the tissue moist throughout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Remove the excess of PBS using a paper wipe. With a syringe and gavage needle, add 10% neutral buffered formalin solution over the tissue for 2-3 min to fix and flatten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straight forceps to grab the end of the distal colon and twist the colon into concentric circles from the distal to proximal end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possible to push back the inside of the Swiss roll while rolling using the forefinger to ensure the tissue is inside the roll.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Insert a 27 G needle to pin the colon in the middle to hold its Swiss roll shape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the Swiss roll with the needle into an embedding cassette inside a histologic specimen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Tissue must be oriented in parallel with respect to the cassette before fixation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Fix the tissue in 10% neutral buffered formalin solution overnight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After overnight fixation, wash the tissue 3x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70% ethanol to the tissue prior to the paraffin embedding process. Remove the needle from the Swiss roll before proceeding. Tissue can be stored in ethanol at room temperature until paraffin embedment</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Place samples into the tissue processor, embed in paraffin, and prepare 4 &amp;#181;m sections, mounted on positively charged microscopy slides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This can be an optional stop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tissue orientation is critical to achieve sections suitable for image analysis. Parallel Swiss roll embedding in the paraffin cassette will result in full sections appropriated for image analysis (</w:t>
      </w:r>
      <w:r>
        <w:rPr>
          <w:rFonts w:ascii="Calibri" w:hAnsi="Calibri" w:cs="Calibri" w:eastAsia="Calibri"/>
          <w:b/>
          <w:color w:val="auto"/>
          <w:spacing w:val="0"/>
          <w:position w:val="0"/>
          <w:sz w:val="24"/>
          <w:shd w:fill="auto" w:val="clear"/>
        </w:rPr>
        <w:t xml:space="preserve">Figure 1F-1H</w:t>
      </w:r>
      <w:r>
        <w:rPr>
          <w:rFonts w:ascii="Calibri" w:hAnsi="Calibri" w:cs="Calibri" w:eastAsia="Calibri"/>
          <w:color w:val="auto"/>
          <w:spacing w:val="0"/>
          <w:position w:val="0"/>
          <w:sz w:val="24"/>
          <w:shd w:fill="auto" w:val="clear"/>
        </w:rPr>
        <w:t xml:space="preserve">). Oblique sections must be avoided to prevent incomplete sections (</w:t>
      </w:r>
      <w:r>
        <w:rPr>
          <w:rFonts w:ascii="Calibri" w:hAnsi="Calibri" w:cs="Calibri" w:eastAsia="Calibri"/>
          <w:b/>
          <w:color w:val="auto"/>
          <w:spacing w:val="0"/>
          <w:position w:val="0"/>
          <w:sz w:val="24"/>
          <w:shd w:fill="auto" w:val="clear"/>
        </w:rPr>
        <w:t xml:space="preserve">Figure 1I-1K</w:t>
      </w:r>
      <w:r>
        <w:rPr>
          <w:rFonts w:ascii="Calibri" w:hAnsi="Calibri" w:cs="Calibri" w:eastAsia="Calibri"/>
          <w:color w:val="auto"/>
          <w:spacing w:val="0"/>
          <w:position w:val="0"/>
          <w:sz w:val="24"/>
          <w:shd w:fill="auto" w:val="clear"/>
        </w:rPr>
        <w:t xml:space="preserve">). For more details, see the Discussion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Stain sections with hematoxylin and eosin (H&amp;amp;E)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Digital scanning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accurate evaluation of mucosal changes, select only sections that include at least 90% of the total colon 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Scan stained sections using a slide scanner or imager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Images produced need a resolution of 0.25 microns per pixel with 40x objective and 40x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Install and download an appropriate software for digital analysis of scanned slides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Open scanned images in the image processing software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Verify that the entire colon is visible and that there are no missing areas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Activate the label imager and scale bar tools to properly identify scanned slides by clicking </w:t>
      </w:r>
      <w:r>
        <w:rPr>
          <w:rFonts w:ascii="Calibri" w:hAnsi="Calibri" w:cs="Calibri" w:eastAsia="Calibri"/>
          <w:b/>
          <w:color w:val="auto"/>
          <w:spacing w:val="0"/>
          <w:position w:val="0"/>
          <w:sz w:val="24"/>
          <w:shd w:fill="FFFF00" w:val="clear"/>
        </w:rPr>
        <w:t xml:space="preserve">Label imager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Open the annotations tool by clicking </w:t>
      </w:r>
      <w:r>
        <w:rPr>
          <w:rFonts w:ascii="Calibri" w:hAnsi="Calibri" w:cs="Calibri" w:eastAsia="Calibri"/>
          <w:b/>
          <w:color w:val="auto"/>
          <w:spacing w:val="0"/>
          <w:position w:val="0"/>
          <w:sz w:val="24"/>
          <w:shd w:fill="FFFF00" w:val="clear"/>
        </w:rPr>
        <w:t xml:space="preserve">Annotations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create 3 different layers by clicking </w:t>
      </w:r>
      <w:r>
        <w:rPr>
          <w:rFonts w:ascii="Calibri" w:hAnsi="Calibri" w:cs="Calibri" w:eastAsia="Calibri"/>
          <w:b/>
          <w:color w:val="auto"/>
          <w:spacing w:val="0"/>
          <w:position w:val="0"/>
          <w:sz w:val="24"/>
          <w:shd w:fill="FFFF00" w:val="clear"/>
        </w:rPr>
        <w:t xml:space="preserve">New layer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to quantify the total length the Swiss roll, inflammation/injury, and erosion/ulceration. Choose a different color for each layer by clicking </w:t>
      </w:r>
      <w:r>
        <w:rPr>
          <w:rFonts w:ascii="Calibri" w:hAnsi="Calibri" w:cs="Calibri" w:eastAsia="Calibri"/>
          <w:b/>
          <w:color w:val="auto"/>
          <w:spacing w:val="0"/>
          <w:position w:val="0"/>
          <w:sz w:val="24"/>
          <w:shd w:fill="FFFF00" w:val="clear"/>
        </w:rPr>
        <w:t xml:space="preserve">Layer color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Measure the length of each layer/category by clicking the </w:t>
      </w:r>
      <w:r>
        <w:rPr>
          <w:rFonts w:ascii="Calibri" w:hAnsi="Calibri" w:cs="Calibri" w:eastAsia="Calibri"/>
          <w:b/>
          <w:color w:val="auto"/>
          <w:spacing w:val="0"/>
          <w:position w:val="0"/>
          <w:sz w:val="24"/>
          <w:shd w:fill="FFFF00" w:val="clear"/>
        </w:rPr>
        <w:t xml:space="preserve">Pen tool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using the muscularis mucosa as a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View the image at 400 &amp;#181;m zoom (or more) to facilitate adequate visualization of the muscularis mucosa.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Magnification is easily controlled using the mouse scroll wheel and will need to be adjusted as necessary while moving across the section to draw all the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Click on the </w:t>
      </w:r>
      <w:r>
        <w:rPr>
          <w:rFonts w:ascii="Calibri" w:hAnsi="Calibri" w:cs="Calibri" w:eastAsia="Calibri"/>
          <w:b/>
          <w:color w:val="auto"/>
          <w:spacing w:val="0"/>
          <w:position w:val="0"/>
          <w:sz w:val="24"/>
          <w:shd w:fill="FFFF00" w:val="clear"/>
        </w:rPr>
        <w:t xml:space="preserve">Pen </w:t>
      </w:r>
      <w:r>
        <w:rPr>
          <w:rFonts w:ascii="Calibri" w:hAnsi="Calibri" w:cs="Calibri" w:eastAsia="Calibri"/>
          <w:color w:val="auto"/>
          <w:spacing w:val="0"/>
          <w:position w:val="0"/>
          <w:sz w:val="24"/>
          <w:shd w:fill="FFFF00" w:val="clear"/>
        </w:rPr>
        <w:t xml:space="preserve">tool to draw a line following the muscularis mucosa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Move the pointer as needed to visualize the adjacent area for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time that the pen is stopped, a small new layer region will be generated. It can be visualized and edited with the </w:t>
      </w:r>
      <w:r>
        <w:rPr>
          <w:rFonts w:ascii="Calibri" w:hAnsi="Calibri" w:cs="Calibri" w:eastAsia="Calibri"/>
          <w:b/>
          <w:color w:val="auto"/>
          <w:spacing w:val="0"/>
          <w:position w:val="0"/>
          <w:sz w:val="24"/>
          <w:shd w:fill="FFFF00" w:val="clear"/>
        </w:rPr>
        <w:t xml:space="preserve">Layer regions</w:t>
      </w:r>
      <w:r>
        <w:rPr>
          <w:rFonts w:ascii="Calibri" w:hAnsi="Calibri" w:cs="Calibri" w:eastAsia="Calibri"/>
          <w:color w:val="auto"/>
          <w:spacing w:val="0"/>
          <w:position w:val="0"/>
          <w:sz w:val="24"/>
          <w:shd w:fill="FFFF00" w:val="clear"/>
        </w:rPr>
        <w:t xml:space="preserve"> tab (select desired segment and click </w:t>
      </w:r>
      <w:r>
        <w:rPr>
          <w:rFonts w:ascii="Calibri" w:hAnsi="Calibri" w:cs="Calibri" w:eastAsia="Calibri"/>
          <w:b/>
          <w:color w:val="auto"/>
          <w:spacing w:val="0"/>
          <w:position w:val="0"/>
          <w:sz w:val="24"/>
          <w:shd w:fill="FFFF00" w:val="clear"/>
        </w:rPr>
        <w:t xml:space="preserve">Delete Layer</w:t>
      </w:r>
      <w:r>
        <w:rPr>
          <w:rFonts w:ascii="Calibri" w:hAnsi="Calibri" w:cs="Calibri" w:eastAsia="Calibri"/>
          <w:color w:val="auto"/>
          <w:spacing w:val="0"/>
          <w:position w:val="0"/>
          <w:sz w:val="24"/>
          <w:shd w:fill="FFFF00" w:val="clear"/>
        </w:rPr>
        <w:t xml:space="preserve"> in case of mistakes or corrections,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 Once all layers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are defined, export the data using the </w:t>
      </w:r>
      <w:r>
        <w:rPr>
          <w:rFonts w:ascii="Calibri" w:hAnsi="Calibri" w:cs="Calibri" w:eastAsia="Calibri"/>
          <w:b/>
          <w:color w:val="auto"/>
          <w:spacing w:val="0"/>
          <w:position w:val="0"/>
          <w:sz w:val="24"/>
          <w:shd w:fill="FFFF00" w:val="clear"/>
        </w:rPr>
        <w:t xml:space="preserve">Export Grid to Text File</w:t>
      </w:r>
      <w:r>
        <w:rPr>
          <w:rFonts w:ascii="Calibri" w:hAnsi="Calibri" w:cs="Calibri" w:eastAsia="Calibri"/>
          <w:color w:val="auto"/>
          <w:spacing w:val="0"/>
          <w:position w:val="0"/>
          <w:sz w:val="24"/>
          <w:shd w:fill="FFFF00" w:val="clear"/>
        </w:rPr>
        <w:t xml:space="preserve"> button inside the layer regions options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Save files often while creating the layers to ensure data is properly stored.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Open the text files and copy the data with a spreadsheet software. Total all the segments from each region and calculate percentage of injury and ulceration with respect to total 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To calculate the Histological Colitis Score (HCS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to evaluate the severity of disease, consider three main characteristics as detailed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Check for healthy intestinal mucosa which is characterized by organized epithelial cells in the crypt-luminal axis, lamina propria with few immune cells, and subjacent muscularis mucosa that interfaces the mucosa and submucosa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w:t>
        <w:tab/>
        <w:t xml:space="preserve">Check for inflammation/injury which is characterized by epithelial crypts that are attenuated or partially missing epithelial cells and mucosal inflammation with neutrophil infiltration into crypts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3.9.3</w:t>
        <w:tab/>
        <w:t xml:space="preserve">Check for the presence of erosion/ulceration which is characterized by areas devoid of surface epithelium or areas completely lacking epithelial crypts with or without associated leukocytes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auto"/>
          <w:spacing w:val="0"/>
          <w:position w:val="0"/>
          <w:sz w:val="24"/>
          <w:shd w:fill="auto" w:val="clear"/>
        </w:rPr>
        <w:t xml:space="preserve">Calculate HCS of injured and ulcerated regions expressed as a percentage of the total length in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HCS combines the percentage of inflammation/injury and erosion/ulceration adding a factor of two to the latter, based on a reasonable assumption that complete loss of the epithelium results in maximum loss of barrier integrity and hence worse disease. HCS consistently represents the morphological changes caused by DSS induced experimental colitis. Interestingly, we have not seen a clear correlation between the numbers of colonic lymphoid aggregates or follicles and clinical disease severity in DSS colitis and, therefore, we did not include the quantification in this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Take a snapshot of the representative images (click </w:t>
      </w:r>
      <w:r>
        <w:rPr>
          <w:rFonts w:ascii="Calibri" w:hAnsi="Calibri" w:cs="Calibri" w:eastAsia="Calibri"/>
          <w:b/>
          <w:color w:val="auto"/>
          <w:spacing w:val="0"/>
          <w:position w:val="0"/>
          <w:sz w:val="24"/>
          <w:shd w:fill="auto" w:val="clear"/>
        </w:rPr>
        <w:t xml:space="preserve">Snapshot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save. Include scale bars if needed by clicking on </w:t>
      </w:r>
      <w:r>
        <w:rPr>
          <w:rFonts w:ascii="Calibri" w:hAnsi="Calibri" w:cs="Calibri" w:eastAsia="Calibri"/>
          <w:b/>
          <w:color w:val="auto"/>
          <w:spacing w:val="0"/>
          <w:position w:val="0"/>
          <w:sz w:val="24"/>
          <w:shd w:fill="auto" w:val="clear"/>
        </w:rPr>
        <w:t xml:space="preserve">Show/Hide Scale Bar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reliability of this Histological Colitis Score Analysis in the context of mucosal damage after DSS challenge and subsequent recovery from colitis, we administered 2.5% DSS in the drinking water of eight 10 weeks old male C57BL6 wild type mice for 5 days followed by a recovery period with regular water for 5 days. There was no change in body weight during the acute administration of DSS, from day 0 to 5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Body weight dramatically decreased after day 5, when mice started drinking regular tap water. Blood and soft stools appeared after 3 days of DSS administration and continued for the subsequent 3 days on water until day 8 of the experiment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observations suggested that the most detrimental effects of exposure to DSS were observed during the recovery period between days 5 and 8. Measurement of the colon length on the day 10 confirmed a significant shortening at the end of the experiment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Colons were harvested at days 0, 2, 5, 7, 8, and 10 to make paraffin Swiss rolls. Tissue was stained with H&amp;amp;E and high-definition scans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were analyzed to calculate the Histological Colitis Score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and percentage of injury and ulceration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normal crypt architecture in untreated C576BL6 mice, superficial to the muscularis mucosa and supported by the lamina propria (day 0, arrow). After 2 days of DSS administration, immune cell recruitment was observed (day 2, arrow). On day 5, epithelial cells appeared damaged, and there was an infiltration of neutrophils across the epithelium (cryptitis) associated with epithelial injury (day 5, arrow). From day 5 to 8, areas of epithelial loss with inflammation and ulceration were noted (day 7 and 8, arrows). The latter is commonly observed as the mice drink regular tap water during the recovery phase. Finally, epithelial cells begin to regenerate and repopulate ulcerated areas, slowly restoring colonic mucosa at day 10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HCS closely mirrors simple assessment of percentage of inflammation/injury and erosion/ulceration, and both quantitatively demonstrate that there is significant damage to the colon of mice during recovery from DSS on day 5 to 10, which correlates with epithelial erosions and leukocyte infiltration shown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Data provided by HCS distinguishes between the severity of the disease with regards to inflammation associated with epithelial injury versus erosion/ulceration.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observations demonstrate that the systematic scoring system of HCS proposed in this protocol constitutes a reliable tool to quantify mucosal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preparation is crucial for accurate data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Distal colon fully extended and opened along the mesenteric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Swiss rolling process.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Needle insertion to hold Swiss roll shape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paraffin embedding cassette.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Paraffin block.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Swiss roll parallel orientation to avoid partial sections.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Complete Swiss roll, scale bar: 2 mm.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Ideal section of colonic crypts, scale bar: 80 &amp;#181;m.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Oblique Swiss roll orientation.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Incomplete Swiss roll, scale bar: 2mm.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Oblique section of colonic crypts, scale bar: 80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Quantitative evaluation of mucosal damage.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Basic tool bar with Snapshot, zoom slider, show/hide scale bar/axes/grid, label imager, annotations, and pen tool features, among others.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Annotations menu displaying layer color, new layer, delete layer, show/hide layer, delete region and export grid to text file buttons.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Overview of total length, injured and ulcerated layers, scale bar: 3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Morphology of mouse intestinal mucosa stained with hematoxylin &amp;amp; eosin after acute DSS-experimental colitis followed by recovery.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Healthy intestinal cells organized in colonic crypts surrounded by lamina propria and separated from the submucosa by the muscularis mucosa, scale bar: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Acute mucosal inflammation or injury with infiltration of neutrophils into the mucosa and crypt epithelium, associated with crypt epithelial distortion/loss and epithelial attenuation, scale bar: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Ulcerated or eroded areas with complete epithelial loss and associated inflammation., scale bar: 200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Histological Colitis Score and percentage of injury and ulceration correlates with body weight and stool index during DSS experimental colitis: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 weight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stool indexes are evaluated daily in wild type mice treated with 2.5% DSS for 5 days (red line), followed by 5 days of recovery on water (black line). Data are representative of two independent experiments with at least 4 mice per group and are expressed as mean &amp;plusmn; SEM. Significance is determined by two-way ANOVA and Sidak multiple comparison, *p&amp;lt;0.033, **p&amp;lt;0.002, and ***p&amp;lt;0.001.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Colon length of mice was measured at day 10. Data are representative of two independent experiments with at least 3 mice per group and are expressed as mean &amp;plusmn; SEM. Significance is determined by two-tailed Student’s t test, ***p&amp;lt;0.001.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Hematoxylin and eosin (H&amp;amp;E)-stained tissue sections of colonic mucosa were analyzed to calculate, scale bars: 60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Histological Colitis Score (HCS) and percentage of injury/ulceration relative to the length of the colon. Data are representative of two experiments with 2 mice per group and are expressed as mean &amp;plusmn; SEM. Significance is determined by one-way ANOVA and Tukey multiple comparison, *p&amp;lt;0.033, **p&amp;lt;0.002, and ***p&amp;lt;0.001.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Our Histological Colitis Score system constitutes a reliable tool to quantify tissue inflammation and damage in the intestine. This approach provides an improved understanding of the histopathological state of the whole organ without the bias of selecting small areas or incomplete sections. Among the critical steps to successfully execute this protocol are proper preparation of Swiss rolls that allow for analysis of at least 90% of the length of the  colon; parallel orientation during paraffin embedding and sectioning to ensure straight and uniform tissue sections with longitudinal views of epithelial crypts; practice and training with supervision from an experienced pathologist to confirm that trainees identify the differences between acute inflammation, epithelial injury, and erosion/ulceration; and access to a high resolution digital scanner.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adjustments and troubleshooting are required to appropriately orient the Swiss roll during paraffin embedding as well as during sectioning to ensure that the tissue is parallel oriented relative to the paraffin cassette and blade (</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Adhering to this spatial orientation will reduce the number of incomplete sections. If the colon is perfectly rolled on itself, the best sections including most of the tissue length will be located near the middle of the Swiss roll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Collecting several sections greatly increases the chance of obtaining well-oriented sections where the entire length of the crypts is visible (</w:t>
      </w:r>
      <w:r>
        <w:rPr>
          <w:rFonts w:ascii="Calibri" w:hAnsi="Calibri" w:cs="Calibri" w:eastAsia="Calibri"/>
          <w:b/>
          <w:color w:val="auto"/>
          <w:spacing w:val="0"/>
          <w:position w:val="0"/>
          <w:sz w:val="24"/>
          <w:shd w:fill="auto" w:val="clear"/>
        </w:rPr>
        <w:t xml:space="preserve">Figure 1G-H</w:t>
      </w:r>
      <w:r>
        <w:rPr>
          <w:rFonts w:ascii="Calibri" w:hAnsi="Calibri" w:cs="Calibri" w:eastAsia="Calibri"/>
          <w:color w:val="auto"/>
          <w:spacing w:val="0"/>
          <w:position w:val="0"/>
          <w:sz w:val="24"/>
          <w:shd w:fill="auto" w:val="clear"/>
        </w:rPr>
        <w:t xml:space="preserve">). Avoid sectioning oblique Swiss rolls (</w:t>
      </w:r>
      <w:r>
        <w:rPr>
          <w:rFonts w:ascii="Calibri" w:hAnsi="Calibri" w:cs="Calibri" w:eastAsia="Calibri"/>
          <w:b/>
          <w:color w:val="auto"/>
          <w:spacing w:val="0"/>
          <w:position w:val="0"/>
          <w:sz w:val="24"/>
          <w:shd w:fill="auto" w:val="clear"/>
        </w:rPr>
        <w:t xml:space="preserve">Figure 1I-J</w:t>
      </w:r>
      <w:r>
        <w:rPr>
          <w:rFonts w:ascii="Calibri" w:hAnsi="Calibri" w:cs="Calibri" w:eastAsia="Calibri"/>
          <w:color w:val="auto"/>
          <w:spacing w:val="0"/>
          <w:position w:val="0"/>
          <w:sz w:val="24"/>
          <w:shd w:fill="auto" w:val="clear"/>
        </w:rPr>
        <w:t xml:space="preserve">), characterized by circular-shaped crypts or crypt donuts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Often visualization of the sections collected under the microscope is strongly recommended to ensure proper technique. A good section captures the entire length of the 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instrument that enables to capture the entire length of the Swiss roll and provides the resolution needed to magnify the tissue to visualize the crypt architecture is adequate for evaluation of the HCS. Some microscopes allow the overlap of small images and reconstruct entire tissue sections. However, the resolution of these images might be poor after increasing magnification to score the tissue. Additionally, the overlap of sections may not be perfect, leaving areas of tissue that are not well defined and impossible to accurately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advantages of the scoring protocol proposed here are the classification of the tissue in only two categories inflammation/injury or erosion/ulceration. This simplifies and accelerates the classification of tissue damage, while increasing reproducibility. The software used for the analysis is accessible, free, and easy to use. HCS accurately reflects mucosal damage, as it allows for quantifying ulcerated areas along the entire length of the colon and appropriately provides more weight towards this pathology over inflamed, non-ulcerated regions. This is clearly reflected when the HCS data is compared versus percentage of injury/ulceration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 Scoring analysis of each sample takes approximately 40 minutes. With the appropriate training, access to scanned slides, a computer, and the software, most researchers can perform the analysis. However, it is always advisable to confirm scoring results with a pathologist to ensure accuracy and reproducibility. Assessment of intestinal inflammation can be performed with any software that allows high resolution magnification of slides and length measurements; however, for simplicity, in this protocol we focused on the software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been using this scoring system to successfully analyze disease across various DSS colitis experiments. For example, Kelm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explored the importance of glycosylation of CD44v6, an important regulator of epithelial migration and proliferation, using a novel antibody (GM35). They demonstrated reduced disease activity index scoring and improved HSC in mice challenged with acute DSS following targeting of sialyl lewis A glycans on epithelial CD44v6, confirming the importance of post translational modification of CD44 variants for recovery after DSS induced injury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another example, Reed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used a chronic DSS model to study mucosal injury and repair in mice with an epithelial specific deletion of CD47, a transmembrane protein important for inflammatory and repair processes. Colon scans were analyzed and scored to calculate the percentage of injury and ulceration as described above, demonstrating markedly impaired mucosal repair in mice lacking epithelial CD47</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chronic colitis model in this report employed cyclical administration of DSS to analyze injury and repair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publications from our group and others have demonstrated the advantages of this scoring system and its correlation with clinical symptoms</w:t>
      </w:r>
      <w:r>
        <w:rPr>
          <w:rFonts w:ascii="Calibri" w:hAnsi="Calibri" w:cs="Calibri" w:eastAsia="Calibri"/>
          <w:color w:val="auto"/>
          <w:spacing w:val="0"/>
          <w:position w:val="0"/>
          <w:sz w:val="24"/>
          <w:shd w:fill="auto" w:val="clear"/>
          <w:vertAlign w:val="superscript"/>
        </w:rPr>
        <w:t xml:space="preserve">6,16,17</w:t>
      </w:r>
      <w:r>
        <w:rPr>
          <w:rFonts w:ascii="Calibri" w:hAnsi="Calibri" w:cs="Calibri" w:eastAsia="Calibri"/>
          <w:color w:val="auto"/>
          <w:spacing w:val="0"/>
          <w:position w:val="0"/>
          <w:sz w:val="24"/>
          <w:shd w:fill="auto" w:val="clear"/>
        </w:rPr>
        <w:t xml:space="preserve">. This protocol describes in detail how to prepare and score Swiss rolls, using free and easily accessible software. The simplicity of the scoring proposed here is based on use of only two categories (inflammation/injury or erosion/ulceration) in scanned slides to facilitate the scoring process and increase reproducibility. Importantly, the scoring system described here also correlates with clinical parameters of intestinal inflammation. In conclusion, the Histological Colitis Score is a tool that can be used to quantitatively score DSS-colitis and can be applied to other colitis models associated with inflammation and epithelial injury/loss.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acknowledge support from NIH funding DK055679, DK089763, DK079392, DK061739, DK072564 and the University of Michigan Pathology Slide Scanning Services.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Kagnoff, M. F. The intestinal epithelium is an integral component of a communications network.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(7), 2841-2843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Laukoetter, M. G., Nava, P., Nusrat, A. Role of the intestinal barrier in inflammatory bowel disease.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401-407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Baumgart, D. C., Sandborn, W. J. Crohn's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(9853), 1590-1605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Ordas, I., Eckmann, L., Talamini, M., Baumgart, D. C., Sandborn, W. J. Ulcerative colitis.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(9853), 1606-1619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Vowinkel, T., Kalogeris, T. J., Mori, M., Krieglstein, C. F., Granger, D. N. Impact of dextran sulfate sodium load on the severity of inflammation in experimental colitis. </w:t>
      </w:r>
      <w:r>
        <w:rPr>
          <w:rFonts w:ascii="Calibri" w:hAnsi="Calibri" w:cs="Calibri" w:eastAsia="Calibri"/>
          <w:i/>
          <w:color w:val="auto"/>
          <w:spacing w:val="0"/>
          <w:position w:val="0"/>
          <w:sz w:val="24"/>
          <w:shd w:fill="auto" w:val="clear"/>
        </w:rPr>
        <w:t xml:space="preserve">Digestive Diseases and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556-564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Kitajima, S., Takuma, S., Morimoto, M. Histological analysis of murine colitis induced by dextran sulfate sodium of different molecular weights.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9-15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Mahler, M. et al. Differential susceptibility of inbred mouse strains to dextran sulfate sodium-induced colitis.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(3), G544-G551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Wirtz, S., Neufert, C., Weigmann, B., Neurath, M. F. Chemically induced mouse models of intestinal inflammation.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541-546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Kozlowski,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entirely automated method to score DSS-induced colitis in mice by digital image analysis of pathology slides.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855-865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Perse, M., Cerar, A. Dextran sodium sulphate colitis mouse model: traps and tricks. </w:t>
      </w:r>
      <w:r>
        <w:rPr>
          <w:rFonts w:ascii="Calibri" w:hAnsi="Calibri" w:cs="Calibri" w:eastAsia="Calibri"/>
          <w:i/>
          <w:color w:val="auto"/>
          <w:spacing w:val="0"/>
          <w:position w:val="0"/>
          <w:sz w:val="24"/>
          <w:shd w:fill="auto" w:val="clear"/>
        </w:rPr>
        <w:t xml:space="preserve">Journal of  Biomedicine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718617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Mizoguchi, A. Animal models of inflammatory bowel disease.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263-320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Flemming,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Desmocollin-2 promotes intestinal mucosal repair by controlling integrin-dependent cell adhesion and migration.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407-418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Luna, L. G., Armed Forces Institute of Pathology (U.S.) &amp;amp; Armed Forces Institute of Pathology (U.S.). </w:t>
      </w:r>
      <w:r>
        <w:rPr>
          <w:rFonts w:ascii="Calibri" w:hAnsi="Calibri" w:cs="Calibri" w:eastAsia="Calibri"/>
          <w:i/>
          <w:color w:val="auto"/>
          <w:spacing w:val="0"/>
          <w:position w:val="0"/>
          <w:sz w:val="24"/>
          <w:shd w:fill="auto" w:val="clear"/>
        </w:rPr>
        <w:t xml:space="preserve">Manual of Histologic Staining Methods of the Armed Forces Institute of Pathology</w:t>
      </w:r>
      <w:r>
        <w:rPr>
          <w:rFonts w:ascii="Calibri" w:hAnsi="Calibri" w:cs="Calibri" w:eastAsia="Calibri"/>
          <w:color w:val="auto"/>
          <w:spacing w:val="0"/>
          <w:position w:val="0"/>
          <w:sz w:val="24"/>
          <w:shd w:fill="auto" w:val="clear"/>
        </w:rPr>
        <w:t xml:space="preserve">. 3d edn,  Blakiston Division.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Kelm, M. et al. Targeting epithelium-expressed sialyl Lewis glycans improves colonic mucosal wound healing and protects against colitis. </w:t>
      </w:r>
      <w:r>
        <w:rPr>
          <w:rFonts w:ascii="Calibri" w:hAnsi="Calibri" w:cs="Calibri" w:eastAsia="Calibri"/>
          <w:i/>
          <w:color w:val="auto"/>
          <w:spacing w:val="0"/>
          <w:position w:val="0"/>
          <w:sz w:val="24"/>
          <w:shd w:fill="auto" w:val="clear"/>
        </w:rPr>
        <w:t xml:space="preserve">The 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Reed,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CD47 is critical for mucosal repair in the murine intestine in vivo.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5004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Laukoetter, M. G. et al. JAM-A regulates permeability and inflammation in the intestine in vivo.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(13), 3067-3076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Khounlotham,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Compromised intestinal epithelial barrier induces adaptive immune compensation that protects from colitis.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563-573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