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Intra-Aortic Balloon Pump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Ganesh Gajanan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Emmanouil S. Brilakis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Jolanta M. Siller-Matula</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Ronald L. Zolty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Poonam Velagapudi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Division of Cardiovascular Medicine, University of Nebraska Medical Center, Omaha, 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Minneapolis Heart Institute, Minneapolis, MN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Internal Medicine II, Division of Cardiology, Medical University of Vienna, Austria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Department of Experimental and Clinical Pharmacology, Medical University of Warsaw, Center for Preclinical Research and Technology CEPT, Warsaw,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Department of Internal Medicine II, Division of Cardiology, Medical University of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Ganesh Gajanan: ganesh.gajanan@unmc.edu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Emmanouil S. Brilakis: esbrilakis@gmail.com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Jolanta M. Siller-Matula: jolanta.siller-matula@meduniwien.ac.at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L. Zolty: ronald.zolty@unmc.edu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Poonam Velagapudi: poonam.velagapudi@unmc.edu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Intra-aortic balloon pump, mechanical circulatory support, balloon pump, cardiogenic shock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steps for the percutaneous implantation of the intra-aortic balloon pump (IABP), a mechanical circulatory support device. It acts by counterpulsation, inflating at the onset of diastole, augmenting diastolic aortic pressure and improving coronary blood flow and systemic perfusion, and deflating before systole, reducing left ventricular afterload.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Cardiogenic shock remains one of the most challenging clinical syndromes in modern medicine. Mechanical support is being increasingly used in the management of cardiogenic shock. Intra-aortic balloon pump (IABP) is one of the earliest and most widely used types of mechanical circulatory support. The device acts by external counterpulsation and uses systolic unloading and diastolic augmentation of aortic pressure to improve hemodynamics. Although IABP provides less hemodynamic support when compared with newer mechanical circulatory support devices, it can still be the mechanical support device of choice in appropriate situations because of its relative simplicity of insertion and removal, need for smaller size vascular access and better safety profile. In this review, we discuss the equipment, procedural and technical aspects, hemodynamic effects, indications, evidence, current status and recent advances in the use of IABP in cardiogenic shock.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Cardiogenic shock is a clinical condition characterized by decreased end organ perfusion due to severe cardiac dysfunction. The most widely accepted definition of cardiogenic shock is based on the Should We Emergently Revascularize Occluded Coronaries for Cardiogenic Shock trial (SHOCK)</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and Intra-aortic Balloon Support for Myocardial Infarction with Cardiogenic Shock (IABP-SHOCK-II) trial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includes the following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Systolic blood pressure &amp;lt;90 mm Hg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or vasopressor and/or mechanical support to maintain SBP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mm Hg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Evidence of end-organ hypoperfusion (urine output &amp;lt;30 mL/h or cool extremities)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Hemodynamic criteria: cardiac index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L/min/m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pulmonary capillary wedge pressure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 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myocardial infarction (AMI) is the most common cause of cardiogenic shock accounting for approximately 30% of cases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Despite advances in the treatment of patients with AMI with early invasive revascularization, the mortality of cardiogenic shock remains high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mechanism of diastolic augmentation showing improvement in coronary perfusion and decreased left ventricular work was first demonstrated in 1958</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Subsequently, in 1962 the first experimental prototype of IABP was developed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Six years later, Kantrowitz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presented the first clinical experience of IABP use in four patients with AMI and cardiogenic shock unresponsive to medical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IABP’s mechanism of action involves inflation of the balloon during diastole and deflation during systole. This results in two important hemodynamic consequences: When the balloon inflates in diastole, the blood in the aorta is displaced proximally towards the aortic root thereby increasing coronary blood flow. When the balloon deflates in systole, it causes a vacuum or suction effect decreasing afterload and augmenting cardiac output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hemodynamic changes caused by IABP are listed below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Increase in aortic diastolic pressure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Decrease in systolic blood pressure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Increase in mean arterial pressure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Decrease in pulmonary capillary wedge pressure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Increase in cardiac output by ~20%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Increase in coronary blood flow</w:t>
      </w:r>
      <w:r>
        <w:rPr>
          <w:rFonts w:ascii="Calibri" w:hAnsi="Calibri" w:cs="Calibri" w:eastAsia="Calibri"/>
          <w:color w:val="auto"/>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indications of IABP are cardiogenic shock (due to AMI and other causes like ischemic and non-ischemic cardiomyopathy, myocarditis), mechanical complications of AMI like ventricular septal defect or severe mitral regurgitation, mechanical support during high risk percutaneous coronary interventions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a bridge to coronary artery bypass surgery in patients with critical CAD, inability to wean off cardiopulmonary bypass and as a bridge to decision or advanced therapies like left ventricular assist devices (LVAD) or cardiac transplantation in end stage heart failure</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Contraindications to use of IABP include moderate or severe aortic regurgitation which can worsen with counterpulsation, severe peripheral vascular disease which would preclude optimal arterial access and placement of the device and aortic pathologies like dissection</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IABP device consists of a console to control the unit and a vascular catheter with the balloon.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console includes the following four components: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Monitor unit which helps to process and determine a trigger signal for the balloon. The signal can be either electrocardiographic (ECG) triggering or pressure signal triggering;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Control unit: Processes the trigger signal and activates the gas valve to help with inflation or deflation;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A gas cylinder that contains helium. Carbon dioxide is an alternative but is less preferred than helium. Helium has a lower density and provides better balloon inflation characteristics with more rapid inflation and deflation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A valve unit which helps with gas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IABP (balloon) catheter is a 7-8.5 F vascular catheter with distance markings. The catheter has a polyethylene balloon mounted at the tip. The balloon size can vary from 20-50 mL. The ideal balloon has a length to cover from the left subclavian artery to the celiac artery take off, the inflated diameter measuring 90 to 95% of that of the descending aorta. The most commonly used balloon size in adult patients (height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cm to 6'/182 cm) is 40 mL. A 50 mL balloon is used for patients &amp;gt;6'/182 cm and 34 cm balloon for 5'/152 cm to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cm tall patients</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institutional human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Pre-insertion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IABP is preferably inserted in the cardiac catheterization lab under fluoroscopic guidance. Bedside placement can be considered in very critical clinical situations.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Begin by preparing the catheterization laboratory for the procedure. Prepare sterile drapes and chlorhexidine or povidone iodine, IABP control unit, IABP catheter, ultrasound for arterial access, 1% lidocaine for local anesthesia, micropuncture needle and wire, micropuncture sheath, 7-8.5 F arterial access sheath for the IABP depending on the balloon size or IABP manufacturer, sutures and sterile dressing.</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and drape the patient in the usual sterile fashion with a plan to access the femoral artery.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IABP can also be inserted through the axillary artery but this often requires a surgical cut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Have the patient lay down flat on his or her back. </w:t>
      </w:r>
      <w:r>
        <w:rPr>
          <w:rFonts w:ascii="Calibri" w:hAnsi="Calibri" w:cs="Calibri" w:eastAsia="Calibri"/>
          <w:color w:val="auto"/>
          <w:spacing w:val="0"/>
          <w:position w:val="0"/>
          <w:sz w:val="24"/>
          <w:shd w:fill="auto" w:val="clear"/>
        </w:rPr>
        <w:t xml:space="preserve">Administer moderate conscious sedation if the clinical scenario permits, by infiltrating the groin access site liberally with 1% Lidocaine.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Prepare the IABP catheter. Use a 50 mL syringe to apply a vacuum and completely deflate the balloon, using the one-way valve at the catheter hub.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Remove the stylet in the catheter and manually flush the inner lumen with 3-5 mL of saline.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Insertion of the IABP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Obtain arterial access using the Seldinger technique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Use ultrasound guided vascular access to improve first pass success and minimize vascular complications.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Insert a micropuncture needle at a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angle and insert the introducer wire once blood return is obtained.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Insert the micropuncture sheath.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Exchange the micropuncture sheath for a larger IABP sheath. The sheath size varies by manufacturers and balloon size but is usually 7-8.5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two methods to introduce and advance the IABP catheter. The catheter can either be backloaded with a wire or can be advanced over a wire.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Advance the IABP catheter through the sheath using short strokes until correct placement is achieved. The optimal balloon position is where the tip is situated distal to the left subclavian artery take off. This is often not easy to identify, and hence, use the carina of the trachea as a landmark, ensuring that the proximal end is above the renal arteries.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Confirm position by fluoroscopy. Secure the catheter in place either by using sutures or manufacturer provided locking plates and apply sterile dressing.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Incorrect balloon position results in reduced diastolic augmentation or vascular complications due to direct endovascular 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Switching on and setting up the IABP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Remove the guidewire and aspirate 3 mL of blood from the inner lumen. Flush the inner lumen with 3-5 mL of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Attach a standard arterial pressure monitoring tubing to the catheter hub. Remove the one-way valve from the catheter and attach the catheter hub to the console using the provided extension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Turn IABP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then open the gas tank. Connect the ECG cable to the console. Connect the fiber optic or pressure cable to the console (depending on the manufacturer).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Press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key on the console. This automatically purges and fills the balloon, calibrates, selects an appropriate ECG lead and trigger, and automatically sets the inflation and deflation timing.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Select an appropriate operation mode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Automatic, Semi-automatic or Manual depending on the clinical scenario.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Select a trigger source. The IABP uses a trigger to identify the beginning of the next cardiac cycle. It deflates the balloon when it recognizes a trigger event. Trigger can be either ECG (R wave) or pressure (systolic upstroke).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Observe the pressure changes on the IABP console by setting a 1:2 frequency. Confirm that the assisted systolic pressure is lower than unassisted one, there is decrease in assisted end-diastolic pressure and that diastolic augmentation is above the systolic pressure - all of which is associated with optimal IABP support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Set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appropriate IABP frequency which can be 1:1, 1:2 or 1:3. This represents the frequency of balloon inflation with each trigger.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Confirm that the IABP timing is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ideal IABP timing consists of the following: a) Inflation occurring at the dicrotic notch which appears as a sharp “V”. Ideally, the diastolic augmentation rises above systole, and b) Deflation occurring just prior to the next systole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 Use a continuous flush through the inner lumen (usually 3 mL/h).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patient and the IABP console are now ready to be transported.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 Use systemic anticoagulation to reduce the risk of arterial thromboembolism.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institution dependent and some centers do not use systemic anticoagulation for an IABP frequency of 1:1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Assessment of the patient after placement of IABP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Check distal pulses. If the left radial pulse is weak, verify the position of the balloon to make sure that it is not occluding the left subclavian artery. If no distal pulses are detected in the lower limb, consider removing the IABP and possibly alternate access.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Check the insertion site for any bleeding or hematoma.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Monitor urine output. If there is a drop in urine output or if there is a concern for hematuria, recheck balloon position to confirm that the balloon lies above the level of the renal arteries.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If there is blood in the IABP tubing, suspect balloon rupture. Immediately stop the IABP (this is usually done automatically) and remove the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Obtain a chest X-ray daily to verify optimal device positioning. Also change the sterile dressing daily to reduce the chances of infection.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Removal of IABP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Stop systemic anticoagulation and set IABP to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Palpate the femoral pulse and check the baseline distal perfusion by obtaining a Doppler of the pedal pulse.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Check the activated clotting time. It should ideally be less than 150-160 seconds.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Remove sutures.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Once ready to pull, press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on the IABP console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Pull the IABP until resistance is met against the sheath.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Pull the sheath and IABP as a unit.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Hold manual pressure over the femoral artery for 20-30 minutes or until bleeding stops.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Reassess distal pulses with Doppler.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Manual pressure has been mentioned here in the protocol because it is universal. However, there are numerous other methods apart from manual pressure to help achieve femoral arterial hemostasis. These are institution dependent and include but are not limited to: external compression devices like FemoStop, vascular closure devices like Angioseal and Perclose ProGlide Suture-Mediated Closure System. The above-mentioned protocol was partly developed by using official device information guides and manuals across various manufactures of IABP.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being used for many decades now, the evidence on IABP use has been controversial. Routine use of IABP in patients with AMI and cardiogenic shock is not recommended. The previous guidelines of the American Heart Association/American College of Cardiology (AHA/ACC) and the European Society of Cardiology (ESC) strongly recommended the use of the IABP in patients with AMI-associated cardiogenic shock (Class I B and Class I C) on the basis of pathophysiological considerations, non-randomized trials and registry data. However, the AHA/ACC in 2013 downgraded the use of IABP to class II A, primarily based on the results of the IABP Shock II trial</w:t>
      </w:r>
      <w:r>
        <w:rPr>
          <w:rFonts w:ascii="Calibri" w:hAnsi="Calibri" w:cs="Calibri" w:eastAsia="Calibri"/>
          <w:color w:val="auto"/>
          <w:spacing w:val="0"/>
          <w:position w:val="0"/>
          <w:sz w:val="24"/>
          <w:shd w:fill="auto" w:val="clear"/>
          <w:vertAlign w:val="superscript"/>
        </w:rPr>
        <w:t xml:space="preserve">13. </w:t>
      </w:r>
      <w:r>
        <w:rPr>
          <w:rFonts w:ascii="Calibri" w:hAnsi="Calibri" w:cs="Calibri" w:eastAsia="Calibri"/>
          <w:color w:val="auto"/>
          <w:spacing w:val="0"/>
          <w:position w:val="0"/>
          <w:sz w:val="24"/>
          <w:shd w:fill="auto" w:val="clear"/>
        </w:rPr>
        <w:t xml:space="preserve">The ESC STEMI Guidelines 2017 recommended no routine IABP counterpulsation but the guidelines state that IABP may be considered for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haemodynamic support in selected patients as those with severe mitral insufficiency or ventricular septal defect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ESC NSTE-ACS 2020 guidelines discourage form routine use of IABP in patients with CS (class IIIB) but recommend IABP in ACS-related mechanical complications (class IIA)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IABP Shock II trial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randomized 600 patients with acute MI complicated by cardiogenic shock to either IABP or no IABP. At 30 days, there were no differences in outcomes, including length of stay in the intensive care unit, renal function, rates of major bleeding, peripheral ischemic complications, sepsis, or stroke. There was no difference in mortality at long-term follow-up of 12 months and 6.2 years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.The major limitations of the trial were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timing of insertion of IABP was not controlled (86.6% were inserted post PCI). A lower mortality rate compared to other studies precludes application of this study to severe cardiogenic shock. Subsequent meta-analyses have showed that there is no convincing randomized data to support the routine use of IABP in AMI related cardiogenic shock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several recent studies have shown that there is still some utility for the use of IABP. A meta-analysis of 9212 patients investigated the utility of the IABP when implanted preoperatively in patients undergoing coronary bypass graft surgery. The results support the use of IABP in this clinical setting, with a 4% relative risk reduction of mortality. Also, the risk of MI, renal failure, intensive care, and hospital length of stay were reduced with IABP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Interestingly, with the increasing use of advanced heart failure therapies, IABP is being increasingly used in combination with extracorporeal membrane oxygenation and was associated with better survival in a recent meta-analysis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Hemodynamic effects of IABP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Comparison of catheter and sheath sizes across different IABP manufacturers</w:t>
      </w:r>
      <w:r>
        <w:rPr>
          <w:rFonts w:ascii="Calibri" w:hAnsi="Calibri" w:cs="Calibri" w:eastAsia="Calibri"/>
          <w:color w:val="auto"/>
          <w:spacing w:val="0"/>
          <w:position w:val="0"/>
          <w:sz w:val="24"/>
          <w:shd w:fill="auto" w:val="clear"/>
          <w:vertAlign w:val="superscript"/>
        </w:rPr>
        <w:t xml:space="preserve">33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Troubleshooting of potential device malfunction and major patient complications from IABP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Hemodynamic waveform with IABP and appropriate timing of IABP augmentation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circulatory support is a rapidly evolving field. Even with the arrival of newer support devices, IABP remains the most widely used and simplest to deploy mechanical circulatory support device available currently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this article we describe in detail, the procedure for percutaneous insertion of IABP, the indications, evidence, troubleshooting and complications. Despite conflicting evidence regarding the use of IABP in AMI-related cardiogenic shock, it remains the most widely used form of mechanical support. In addition to use in AMI related cardiogenic shock IABP is also used in coronary artery bypass surgery and as a bridge to advanced heart failure therapies like LVAD or cardiac transplant.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auto"/>
          <w:spacing w:val="0"/>
          <w:position w:val="0"/>
          <w:sz w:val="24"/>
          <w:shd w:fill="auto" w:val="clear"/>
        </w:rPr>
        <w:t xml:space="preserve">Insertion of the IABP is straightforward and the technique can be rapidly deployed either at bedside or preferably in the cardiac catheterization laboratory where fluoroscopic guidance can be used to confirm positioning. We recommend using ultrasound guidance to obtain arterial access to improve first pass success and better safety profile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IABP wire can either be backloaded (advancing the balloon and wire together as a unit) or over the wire as mentioned above. However, in patients with known peripheral vascular disease, we recommend the “over the wire” method. This helps confirm whether it is possible to navigate the IABP catheter through a narrow or tortuous vasculature. In patients with risk factors for limb ischemia, sheathless insertion technique can be considered which reduces the risk of ischemic complications secondary to the vascular sheath</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IABP is now being increasingly used in patients with end stage heart failure as a bridge to decision or advanced heart failure therapies like LVAD or cardiac transplant. A large study looking at the use of IABP in 1342 patients showed that IABP utilization increased over three fold since the 2018 cardiac transplant allocation change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Since these patients often require mechanical support for a prolonged period of time, IABP insertion through the axillary artery can be considered. The axillary approach is well tolerated and permits ambulation and reduces the risk of infection in those requiring prolonged mechanical support. This overcomes the major limitation of the femoral approach which restricts ambulation and thereby promoting deconditioning in this tenuous patient population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Newer devices which operate on the same principles as an IABP like the intravascular ventricular assist system (iVAS) are currently being studied which allow the patient to be discharged home with a temporary mechanical support device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Complications from IABP most commonly result from difficult arterial access, malposition and patient risk factors like peripheral vascular disease. Due to the endovascular nature of the device, the most common complications are primarily related to vascular injury. Other complications include cerebrovascular accident, thrombocytopenia, insertion site bleeding, aortic dissection, spinal cord ischemia, blood stream infections, balloon rupture and gas embolism</w:t>
      </w:r>
      <w:r>
        <w:rPr>
          <w:rFonts w:ascii="Calibri" w:hAnsi="Calibri" w:cs="Calibri" w:eastAsia="Calibri"/>
          <w:color w:val="auto"/>
          <w:spacing w:val="0"/>
          <w:position w:val="0"/>
          <w:sz w:val="24"/>
          <w:shd w:fill="auto" w:val="clear"/>
          <w:vertAlign w:val="superscript"/>
        </w:rPr>
        <w:t xml:space="preserve">11,27,31,32</w:t>
      </w:r>
      <w:r>
        <w:rPr>
          <w:rFonts w:ascii="Calibri" w:hAnsi="Calibri" w:cs="Calibri" w:eastAsia="Calibri"/>
          <w:color w:val="auto"/>
          <w:spacing w:val="0"/>
          <w:position w:val="0"/>
          <w:sz w:val="24"/>
          <w:shd w:fill="auto" w:val="clear"/>
        </w:rPr>
        <w:t xml:space="preserve">. Troubleshooting of the device and the common complications are summarized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Ganesh Gajanan MD has no conflicts of interests to declare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Emmanouil S. Brilakis, MD, PhD has the following disclosures : Consulting/speaker honoraria from Abbott Vascular, American Heart Association (associate editor Circulation), Amgen, Biotronik, Boston Scientific, Cardiovascular Innovations Foundation (Board of Directors), ControlRad, CSI, Ebix, Elsevier, GE Healthcare, InfraRedx, Medtronic, Siemens, and Teleflex; research support from Regeneron and Siemens. Shareholder: MHI Ventures.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Jolanta M. Siller-Matula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MD, PhD has the following disclosures: Lecture or consultant fees from AstraZeneca, Daiichi-Sankyo, Eli Lilly, Bayer and research grant from Roche Diagnostics;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L. Zolty, MD, PhD has the following disclosures: Consultant for Actelion, Bayer, United Therapeutics and Alnhylam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Poonam Velagapudi MD has no conflicts of interests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Hochman, J. S. et al. Early revascularization in acute myocardial infarction complicated by cardiogenic shock. SHOCK Investigators. Should We Emergently Revascularize Occluded Coronaries for Cardiogenic Shock.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(9), 625-634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Thiele, H. et al. Intraaortic Balloon Support for Myocardial Infarction with Cardiogenic Shock.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(14), 1287-1296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Berg, D. D. et al. Epidemiology of Shock in Contemporary Cardiac Intensive Care Units. </w:t>
      </w:r>
      <w:r>
        <w:rPr>
          <w:rFonts w:ascii="Calibri" w:hAnsi="Calibri" w:cs="Calibri" w:eastAsia="Calibri"/>
          <w:i/>
          <w:color w:val="auto"/>
          <w:spacing w:val="0"/>
          <w:position w:val="0"/>
          <w:sz w:val="24"/>
          <w:shd w:fill="auto" w:val="clear"/>
        </w:rPr>
        <w:t xml:space="preserve">Circulation Cardiovascular Quality and Outcomes.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e005618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Jeger, R. V. et al. Ten-year trends in the incidence and treatment of cardiogenic shock. </w:t>
      </w:r>
      <w:r>
        <w:rPr>
          <w:rFonts w:ascii="Calibri" w:hAnsi="Calibri" w:cs="Calibri" w:eastAsia="Calibri"/>
          <w:i/>
          <w:color w:val="auto"/>
          <w:spacing w:val="0"/>
          <w:position w:val="0"/>
          <w:sz w:val="24"/>
          <w:shd w:fill="auto" w:val="clear"/>
        </w:rPr>
        <w:t xml:space="preserve">Annals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 </w:t>
      </w:r>
      <w:r>
        <w:rPr>
          <w:rFonts w:ascii="Calibri" w:hAnsi="Calibri" w:cs="Calibri" w:eastAsia="Calibri"/>
          <w:color w:val="auto"/>
          <w:spacing w:val="0"/>
          <w:position w:val="0"/>
          <w:sz w:val="24"/>
          <w:shd w:fill="auto" w:val="clear"/>
        </w:rPr>
        <w:t xml:space="preserve">(9), 618-626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Harken, D. E. The surgical treatment of acquired valvular disease.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 1-6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Moulopoulos, S. D., Topaz, S. R., Kolff, W. J. Extracorporeal assistance to the circulation and intraaortic balloon pumping. </w:t>
      </w:r>
      <w:r>
        <w:rPr>
          <w:rFonts w:ascii="Calibri" w:hAnsi="Calibri" w:cs="Calibri" w:eastAsia="Calibri"/>
          <w:i/>
          <w:color w:val="auto"/>
          <w:spacing w:val="0"/>
          <w:position w:val="0"/>
          <w:sz w:val="24"/>
          <w:shd w:fill="auto" w:val="clear"/>
        </w:rPr>
        <w:t xml:space="preserve">Transactions of the American Society for Artificial Internal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85-89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Kantrowitz, A. et al. Initial clinical experience with intraaortic balloon pumping in cardiogenic shock.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113-118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Krishna, M., Zacharowski, K. Principles of intra-aortic balloon pump counterpulsation. </w:t>
      </w:r>
      <w:r>
        <w:rPr>
          <w:rFonts w:ascii="Calibri" w:hAnsi="Calibri" w:cs="Calibri" w:eastAsia="Calibri"/>
          <w:i/>
          <w:color w:val="auto"/>
          <w:spacing w:val="0"/>
          <w:position w:val="0"/>
          <w:sz w:val="24"/>
          <w:shd w:fill="auto" w:val="clear"/>
        </w:rPr>
        <w:t xml:space="preserve">Continuing Education in Anaesthesia Critical Care &amp;amp;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24-28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Mueller, H. et al. The effects of intra-aortic counterpulsation on cardiac performance and metabolism in shock associated with acute myocardial infarction.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(9), 1885-1900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Kern, M. J. et al. Enhanced coronary blood flow velocity during intraaortic balloon counterpulsation in critically ill patients. </w:t>
      </w:r>
      <w:r>
        <w:rPr>
          <w:rFonts w:ascii="Calibri" w:hAnsi="Calibri" w:cs="Calibri" w:eastAsia="Calibri"/>
          <w:i/>
          <w:color w:val="auto"/>
          <w:spacing w:val="0"/>
          <w:position w:val="0"/>
          <w:sz w:val="24"/>
          <w:shd w:fill="auto" w:val="clear"/>
        </w:rPr>
        <w:t xml:space="preserve">Journal of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359-368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Patterson, T., Perera, D., Redwood, S. R. Intra-aortic balloon pump for high-risk percutaneous coronary intervention. </w:t>
      </w:r>
      <w:r>
        <w:rPr>
          <w:rFonts w:ascii="Calibri" w:hAnsi="Calibri" w:cs="Calibri" w:eastAsia="Calibri"/>
          <w:i/>
          <w:color w:val="auto"/>
          <w:spacing w:val="0"/>
          <w:position w:val="0"/>
          <w:sz w:val="24"/>
          <w:shd w:fill="auto" w:val="clear"/>
        </w:rPr>
        <w:t xml:space="preserve">Circulation: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712-720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Parissis, H. et al. IABP: history-evolution-pathophysiology-indications: what we need to know. </w:t>
      </w:r>
      <w:r>
        <w:rPr>
          <w:rFonts w:ascii="Calibri" w:hAnsi="Calibri" w:cs="Calibri" w:eastAsia="Calibri"/>
          <w:i/>
          <w:color w:val="auto"/>
          <w:spacing w:val="0"/>
          <w:position w:val="0"/>
          <w:sz w:val="24"/>
          <w:shd w:fill="auto" w:val="clear"/>
        </w:rPr>
        <w:t xml:space="preserve">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O'Gara, P. T. et al. 2013 ACCF/AHA guideline for the management of ST-elevation myocardial infarction: executive summary: a report of the American College of Cardiology Foundation/American Heart Association Task Force on Practice Guidelines.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529-555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Ibanez, B. et al. 2017 ESC Guidelines for the management of acute myocardial infarction in patients presenting with ST-segment elevation: The Task Force for the management of acute myocardial infarction in patients presenting with ST-segment elevation of the European Society of Cardiology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119-177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Santa-Cruz, R. A., Cohen, M. G., Ohman, E. M. Aortic counterpulsation: a review of the hemodynamic effects and indications for use.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68-77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Hendrickx, H. H., Berkowitz, D. Differences between intra-aortic balloon pumps and their use.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796-797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Parissis, H., Soo, A., Leotsinidis, M., Dougenis, D. A statistical model that predicts the length from the left subclavian artery to the celiac axis; towards accurate intra aortic balloon sizing. </w:t>
      </w:r>
      <w:r>
        <w:rPr>
          <w:rFonts w:ascii="Calibri" w:hAnsi="Calibri" w:cs="Calibri" w:eastAsia="Calibri"/>
          <w:i/>
          <w:color w:val="auto"/>
          <w:spacing w:val="0"/>
          <w:position w:val="0"/>
          <w:sz w:val="24"/>
          <w:shd w:fill="auto" w:val="clear"/>
        </w:rPr>
        <w:t xml:space="preserve">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Seldinger, S. I. Catheter Replacement of the Needle in Percutaneous Arteriography: A New Technique.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os-39</w:t>
      </w:r>
      <w:r>
        <w:rPr>
          <w:rFonts w:ascii="Calibri" w:hAnsi="Calibri" w:cs="Calibri" w:eastAsia="Calibri"/>
          <w:color w:val="auto"/>
          <w:spacing w:val="0"/>
          <w:position w:val="0"/>
          <w:sz w:val="24"/>
          <w:shd w:fill="auto" w:val="clear"/>
        </w:rPr>
        <w:t xml:space="preserve"> (5), 368-376 (1953).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Pucher, P. H., Cummings, I. G., Shipolini, A. R., McCormack, D. J. Is heparin needed for patients with an intra-aortic balloon pump? </w:t>
      </w:r>
      <w:r>
        <w:rPr>
          <w:rFonts w:ascii="Calibri" w:hAnsi="Calibri" w:cs="Calibri" w:eastAsia="Calibri"/>
          <w:i/>
          <w:color w:val="auto"/>
          <w:spacing w:val="0"/>
          <w:position w:val="0"/>
          <w:sz w:val="24"/>
          <w:shd w:fill="auto" w:val="clear"/>
        </w:rPr>
        <w:t xml:space="preserve">Interactive Cardiovascular and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136-139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Collet, J.P. et al. 2020 ESC Guidelines for the management of acute coronary syndromes in patients presenting without persistent ST-segment elevation: The Task Force for the management of acute coronary syndromes in patients presenting without persistent ST-segment elevation of the European Society of Cardiology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10.1093/eurheartj/ehaa575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Thiele, H. et al. Intraaortic Balloon Pump in Cardiogenic Shock Complicating Acute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395-403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Unverzagt, S. et al. Intra-aortic balloon pump counterpulsation (IABP) for myocardial infarction complicated by cardiogenic shock. </w:t>
      </w:r>
      <w:r>
        <w:rPr>
          <w:rFonts w:ascii="Calibri" w:hAnsi="Calibri" w:cs="Calibri" w:eastAsia="Calibri"/>
          <w:i/>
          <w:color w:val="auto"/>
          <w:spacing w:val="0"/>
          <w:position w:val="0"/>
          <w:sz w:val="24"/>
          <w:shd w:fill="auto" w:val="clear"/>
        </w:rPr>
        <w:t xml:space="preserve">Cochrane Database Systematic Review</w:t>
      </w:r>
      <w:r>
        <w:rPr>
          <w:rFonts w:ascii="Calibri" w:hAnsi="Calibri" w:cs="Calibri" w:eastAsia="Calibri"/>
          <w:color w:val="auto"/>
          <w:spacing w:val="0"/>
          <w:position w:val="0"/>
          <w:sz w:val="24"/>
          <w:shd w:fill="auto" w:val="clear"/>
        </w:rPr>
        <w:t xml:space="preserve">. 10.1002/14651858.CD007398.pub3 (3), Cd007398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Deppe, A. C. et al. Preoperative intra-aortic balloon pump use in high-risk patients prior to coronary artery bypass graft surgery decreases the risk for morbidity and mortality-A meta-analysis of 9,212 patients. </w:t>
      </w:r>
      <w:r>
        <w:rPr>
          <w:rFonts w:ascii="Calibri" w:hAnsi="Calibri" w:cs="Calibri" w:eastAsia="Calibri"/>
          <w:i/>
          <w:color w:val="auto"/>
          <w:spacing w:val="0"/>
          <w:position w:val="0"/>
          <w:sz w:val="24"/>
          <w:shd w:fill="auto" w:val="clear"/>
        </w:rPr>
        <w:t xml:space="preserve">Journal of Cardiac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177-185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Y. et al. Effect of an intra-aortic balloon pump with venoarterial extracorporeal membrane oxygenation on mortality of patients with cardiogenic shock: a systematic review and meta-analysis.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395-404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Wernly, B. et al. Mechanical circulatory support with Impella versus intra-aortic balloon pump or medical treatment in cardiogenic shock-a critical appraisal of current data. </w:t>
      </w:r>
      <w:r>
        <w:rPr>
          <w:rFonts w:ascii="Calibri" w:hAnsi="Calibri" w:cs="Calibri" w:eastAsia="Calibri"/>
          <w:i/>
          <w:color w:val="auto"/>
          <w:spacing w:val="0"/>
          <w:position w:val="0"/>
          <w:sz w:val="24"/>
          <w:shd w:fill="auto" w:val="clear"/>
        </w:rPr>
        <w:t xml:space="preserve">Clinical Research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1249-1257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Seto, A. H. et al. Real-time ultrasound guidance facilitates femoral arterial access and reduces vascular complications: FAUST (Femoral Arterial Access With Ultrasound Trial). </w:t>
      </w:r>
      <w:r>
        <w:rPr>
          <w:rFonts w:ascii="Calibri" w:hAnsi="Calibri" w:cs="Calibri" w:eastAsia="Calibri"/>
          <w:i/>
          <w:color w:val="auto"/>
          <w:spacing w:val="0"/>
          <w:position w:val="0"/>
          <w:sz w:val="24"/>
          <w:shd w:fill="auto" w:val="clear"/>
        </w:rPr>
        <w:t xml:space="preserve">JACC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(7), 751-758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Erdogan, H. B. et al. In which patients should sheathless IABP be used? An analysis of vascular complications in 1211 cases. </w:t>
      </w:r>
      <w:r>
        <w:rPr>
          <w:rFonts w:ascii="Calibri" w:hAnsi="Calibri" w:cs="Calibri" w:eastAsia="Calibri"/>
          <w:i/>
          <w:color w:val="auto"/>
          <w:spacing w:val="0"/>
          <w:position w:val="0"/>
          <w:sz w:val="24"/>
          <w:shd w:fill="auto" w:val="clear"/>
        </w:rPr>
        <w:t xml:space="preserve">Journal of Cardiac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342-346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Huckaby, L. V., Seese, L. M., Mathier, M. A., Hickey, G. W., Kilic, A. Intra-Aortic Balloon Pump Bridging to Heart Transplantation: Impact of the 2018 Allocation Change. </w:t>
      </w:r>
      <w:r>
        <w:rPr>
          <w:rFonts w:ascii="Calibri" w:hAnsi="Calibri" w:cs="Calibri" w:eastAsia="Calibri"/>
          <w:i/>
          <w:color w:val="auto"/>
          <w:spacing w:val="0"/>
          <w:position w:val="0"/>
          <w:sz w:val="24"/>
          <w:shd w:fill="auto" w:val="clear"/>
        </w:rPr>
        <w:t xml:space="preserve">Circulation :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e006971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Estep, J. D. et al. Percutaneous placement of an intra-aortic balloon pump in the left axillary/subclavian position provides safe, ambulatory long-term support as bridge to heart transplantation. </w:t>
      </w:r>
      <w:r>
        <w:rPr>
          <w:rFonts w:ascii="Calibri" w:hAnsi="Calibri" w:cs="Calibri" w:eastAsia="Calibri"/>
          <w:i/>
          <w:color w:val="auto"/>
          <w:spacing w:val="0"/>
          <w:position w:val="0"/>
          <w:sz w:val="24"/>
          <w:shd w:fill="auto" w:val="clear"/>
        </w:rPr>
        <w:t xml:space="preserve">JACC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382-388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Jeevanandam, V. et al. The Hemodynamic Effects of Intravascular Ventricular Assist System (iVAS) in Advanced Heart Failure Patients Awaiting Heart Transplant.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Supplement), S194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Siriwardena, M. et al. Complications of intra-aortic balloon pump use: does the final position of the IABP tip matter? </w:t>
      </w:r>
      <w:r>
        <w:rPr>
          <w:rFonts w:ascii="Calibri" w:hAnsi="Calibri" w:cs="Calibri" w:eastAsia="Calibri"/>
          <w:i/>
          <w:color w:val="auto"/>
          <w:spacing w:val="0"/>
          <w:position w:val="0"/>
          <w:sz w:val="24"/>
          <w:shd w:fill="auto" w:val="clear"/>
        </w:rPr>
        <w:t xml:space="preserve">Anesthesia Intensive Care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43</w:t>
      </w:r>
      <w:r>
        <w:rPr>
          <w:rFonts w:ascii="Calibri" w:hAnsi="Calibri" w:cs="Calibri" w:eastAsia="Calibri"/>
          <w:color w:val="auto"/>
          <w:spacing w:val="0"/>
          <w:position w:val="0"/>
          <w:sz w:val="24"/>
          <w:shd w:fill="auto" w:val="clear"/>
        </w:rPr>
        <w:t xml:space="preserve"> (1), 66-73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Maccioli, G. A., Lucas, W. J., Norfleet, E. A. The intra-aortic balloon pump: a review. </w:t>
      </w:r>
      <w:r>
        <w:rPr>
          <w:rFonts w:ascii="Calibri" w:hAnsi="Calibri" w:cs="Calibri" w:eastAsia="Calibri"/>
          <w:i/>
          <w:color w:val="auto"/>
          <w:spacing w:val="0"/>
          <w:position w:val="0"/>
          <w:sz w:val="24"/>
          <w:shd w:fill="auto" w:val="clear"/>
        </w:rPr>
        <w:t xml:space="preserve">Journal of Cardiothoracic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365-373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https://citoday.com/device-guide/european/intra-aortic-balloon-pumps-1</w:t>
        </w:r>
      </w:hyperlink>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itoday.com/device-guide/european/intra-aortic-balloon-pumps-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