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Patient-derived Tumor Explants as a “Live” Preclinical Platform for Predicting Drug Resistance in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Giuditta Viticchi&amp;#233;</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Ian Powley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Constantinos Demetriou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James Cooper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Michael Butterworth</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Meeta Patel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Naila Abid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Gareth Miles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Lynne Howells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Howard Pringle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Marion MacFarlane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Catrin Pritchard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Leicester Cancer Research Center, University of Leicester,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MRC Toxicology Unit, Hodgkin Building, Lancaster Road, Leicester,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Ian Powley</w:t>
        <w:tab/>
        <w:tab/>
        <w:tab/>
        <w:tab/>
        <w:t xml:space="preserve">(</w:t>
      </w:r>
      <w:r>
        <w:rPr>
          <w:rFonts w:ascii="Calibri" w:hAnsi="Calibri" w:cs="Calibri" w:eastAsia="Calibri"/>
          <w:color w:val="auto"/>
          <w:spacing w:val="0"/>
          <w:position w:val="0"/>
          <w:sz w:val="24"/>
          <w:shd w:fill="auto" w:val="clear"/>
        </w:rPr>
        <w:t xml:space="preserve">irp2@le.ac.uk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Constantinos Demetriou</w:t>
        <w:tab/>
        <w:tab/>
        <w:t xml:space="preserve">(</w:t>
      </w:r>
      <w:r>
        <w:rPr>
          <w:rFonts w:ascii="Calibri" w:hAnsi="Calibri" w:cs="Calibri" w:eastAsia="Calibri"/>
          <w:color w:val="auto"/>
          <w:spacing w:val="0"/>
          <w:position w:val="0"/>
          <w:sz w:val="24"/>
          <w:shd w:fill="auto" w:val="clear"/>
        </w:rPr>
        <w:t xml:space="preserve">cd317@le.ac.uk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James Cooper</w:t>
        <w:tab/>
        <w:tab/>
        <w:tab/>
        <w:tab/>
        <w:t xml:space="preserve">(</w:t>
      </w:r>
      <w:r>
        <w:rPr>
          <w:rFonts w:ascii="Calibri" w:hAnsi="Calibri" w:cs="Calibri" w:eastAsia="Calibri"/>
          <w:color w:val="auto"/>
          <w:spacing w:val="0"/>
          <w:position w:val="0"/>
          <w:sz w:val="24"/>
          <w:shd w:fill="auto" w:val="clear"/>
        </w:rPr>
        <w:t xml:space="preserve">jc768@le.ac.uk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Michael Butterworth</w:t>
        <w:tab/>
        <w:tab/>
        <w:tab/>
        <w:t xml:space="preserve">(</w:t>
      </w:r>
      <w:r>
        <w:rPr>
          <w:rFonts w:ascii="Calibri" w:hAnsi="Calibri" w:cs="Calibri" w:eastAsia="Calibri"/>
          <w:color w:val="auto"/>
          <w:spacing w:val="0"/>
          <w:position w:val="0"/>
          <w:sz w:val="24"/>
          <w:shd w:fill="auto" w:val="clear"/>
        </w:rPr>
        <w:t xml:space="preserve">mb777@le.ac.uk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Meeta Patel</w:t>
        <w:tab/>
        <w:tab/>
        <w:tab/>
        <w:tab/>
        <w:t xml:space="preserve">(</w:t>
      </w:r>
      <w:r>
        <w:rPr>
          <w:rFonts w:ascii="Calibri" w:hAnsi="Calibri" w:cs="Calibri" w:eastAsia="Calibri"/>
          <w:color w:val="auto"/>
          <w:spacing w:val="0"/>
          <w:position w:val="0"/>
          <w:sz w:val="24"/>
          <w:shd w:fill="auto" w:val="clear"/>
        </w:rPr>
        <w:t xml:space="preserve">mp598@le.ac.uk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Naila Abid</w:t>
        <w:tab/>
        <w:tab/>
        <w:tab/>
        <w:tab/>
        <w:t xml:space="preserve">(</w:t>
      </w:r>
      <w:r>
        <w:rPr>
          <w:rFonts w:ascii="Calibri" w:hAnsi="Calibri" w:cs="Calibri" w:eastAsia="Calibri"/>
          <w:color w:val="auto"/>
          <w:spacing w:val="0"/>
          <w:position w:val="0"/>
          <w:sz w:val="24"/>
          <w:shd w:fill="auto" w:val="clear"/>
        </w:rPr>
        <w:t xml:space="preserve">na328@le.ac.uk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Gareth Miles</w:t>
        <w:tab/>
        <w:tab/>
        <w:tab/>
        <w:tab/>
        <w:t xml:space="preserve">(</w:t>
      </w:r>
      <w:r>
        <w:rPr>
          <w:rFonts w:ascii="Calibri" w:hAnsi="Calibri" w:cs="Calibri" w:eastAsia="Calibri"/>
          <w:color w:val="auto"/>
          <w:spacing w:val="0"/>
          <w:position w:val="0"/>
          <w:sz w:val="24"/>
          <w:shd w:fill="auto" w:val="clear"/>
        </w:rPr>
        <w:t xml:space="preserve">gjm14@le.ac.uk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Lynne Howells</w:t>
        <w:tab/>
        <w:tab/>
        <w:tab/>
        <w:tab/>
        <w:t xml:space="preserve">(</w:t>
      </w:r>
      <w:r>
        <w:rPr>
          <w:rFonts w:ascii="Calibri" w:hAnsi="Calibri" w:cs="Calibri" w:eastAsia="Calibri"/>
          <w:color w:val="auto"/>
          <w:spacing w:val="0"/>
          <w:position w:val="0"/>
          <w:sz w:val="24"/>
          <w:shd w:fill="auto" w:val="clear"/>
        </w:rPr>
        <w:t xml:space="preserve">lh28@le.ac.uk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Howard Pringle</w:t>
        <w:tab/>
        <w:tab/>
        <w:tab/>
        <w:t xml:space="preserve">(</w:t>
      </w:r>
      <w:r>
        <w:rPr>
          <w:rFonts w:ascii="Calibri" w:hAnsi="Calibri" w:cs="Calibri" w:eastAsia="Calibri"/>
          <w:color w:val="auto"/>
          <w:spacing w:val="0"/>
          <w:position w:val="0"/>
          <w:sz w:val="24"/>
          <w:shd w:fill="auto" w:val="clear"/>
        </w:rPr>
        <w:t xml:space="preserve">jhp@le.ac.uk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Marion MacFarlane</w:t>
        <w:tab/>
        <w:tab/>
        <w:tab/>
        <w:t xml:space="preserve">(</w:t>
      </w:r>
      <w:r>
        <w:rPr>
          <w:rFonts w:ascii="Calibri" w:hAnsi="Calibri" w:cs="Calibri" w:eastAsia="Calibri"/>
          <w:color w:val="auto"/>
          <w:spacing w:val="0"/>
          <w:position w:val="0"/>
          <w:sz w:val="24"/>
          <w:shd w:fill="auto" w:val="clear"/>
        </w:rPr>
        <w:t xml:space="preserve">mm21@le.ac.uk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Catrin Pritchard</w:t>
        <w:tab/>
        <w:tab/>
        <w:tab/>
        <w:t xml:space="preserve">(</w:t>
      </w:r>
      <w:r>
        <w:rPr>
          <w:rFonts w:ascii="Calibri" w:hAnsi="Calibri" w:cs="Calibri" w:eastAsia="Calibri"/>
          <w:color w:val="auto"/>
          <w:spacing w:val="0"/>
          <w:position w:val="0"/>
          <w:sz w:val="24"/>
          <w:shd w:fill="auto" w:val="clear"/>
        </w:rPr>
        <w:t xml:space="preserve">cap8@le.ac.uk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Giuditta Viticchi&amp;#233;</w:t>
      </w:r>
      <w:r>
        <w:rPr>
          <w:rFonts w:ascii="Calibri" w:hAnsi="Calibri" w:cs="Calibri" w:eastAsia="Calibri"/>
          <w:color w:val="000000"/>
          <w:spacing w:val="0"/>
          <w:position w:val="0"/>
          <w:sz w:val="24"/>
          <w:shd w:fill="auto" w:val="clear"/>
          <w:vertAlign w:val="superscript"/>
        </w:rPr>
        <w:tab/>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gv51@le.ac.uk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explants, tumor, preclinical models, histology, digital pathology, multi-immunofluorescence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methods for the generation, drug treatment, and analysis of patient-derived explants for assessing tumor drug responses in a live, patient-relevant, preclinical model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understanding of drug resistance and the development of novel strategies to sensitize highly resistant cancers rely on the availability of suitable preclinical models that can accurately predict patient responses. One of the disadvantages of existing preclinical models is the inability to contextually preserve the human tumor microenvironment (TME) and accurately represent intratumoral heterogeneity, thus limiting the clinical translation of data. By contrast, by representing the culture of live fragments of human tumors, the patient-derived explant (PDE) platform allows drug responses to be examined in a three-dimensional (3D) context that mirrors the pathological and architectural features of the original tumors as closely as possible. Previous reports with PDEs have documented the ability of the platform to distinguish chemosensitive from chemoresistant tumors, and it has been shown that this segregation is predictive of patient responses to the same chemotherapies. Simultaneously, PDEs allow the opportunity to interrogate molecular, genetic, and histological features of tumors that predict drug responses, thereby identifying biomarkers for patient stratification as well as novel interventional approaches to sensitize resistant tumors. This paper reports PDE methodology in detail, from collection of patient samples through to endpoint analysis. It provides a detailed description of explant derivation and culture methods, highlighting bespoke conditions for particular tumors, where appropriate. For endpoint analysis, there is a focus on multiplexed immunofluorescence and multispectral imaging for the spatial profiling of key biomarkers within both tumoral and stromal regions. By combining these methods, it is possible to generate quantitative and qualitative drug response data that can be related to various clinicopathological parameters and thus potentially be used for biomarker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effective and safe anticancer agents requires appropriate preclinical models that can also provide insight into mechanisms of action that can facilitate the identification of predictive and pharmacodynamic biomarkers. Inter- and intratumor heterogeneity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the TME</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are known to influence anticancer drug responses, and many existing preclinical cancer models such as cell lines, organoids, and mouse models are not able to fully accommodate these crucial features. An “ideal” model is one that can recapitulate the complex spatial interactions of malignant with non-malignant cells within tumors as well as reflect the regional differences within tumors. This article focuses on PDEs as an emerging platform that can fulfil many of these requirements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example of the use of human PDEs, also known as histocultures, dates back to the late 1980s when Hoffman et al. generated slices of freshly resected human tumors and cultured them in a collagen matrix</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This involved establishing a 3D culture system that preserved tissue architecture, ensuring the maintenance of stromal components and cell interactions within the TME. Without deconstructing the original tumor, Hoffman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heralded a new approach of translational research, and since this time, many groups have optimized different explant methods with the aim of preserving the tissue integrity and generating accurate drug response data</w:t>
      </w:r>
      <w:r>
        <w:rPr>
          <w:rFonts w:ascii="Calibri" w:hAnsi="Calibri" w:cs="Calibri" w:eastAsia="Calibri"/>
          <w:color w:val="auto"/>
          <w:spacing w:val="0"/>
          <w:position w:val="0"/>
          <w:sz w:val="24"/>
          <w:shd w:fill="auto" w:val="clear"/>
          <w:vertAlign w:val="superscript"/>
        </w:rPr>
        <w:t xml:space="preserve">17-24</w:t>
      </w:r>
      <w:r>
        <w:rPr>
          <w:rFonts w:ascii="Calibri" w:hAnsi="Calibri" w:cs="Calibri" w:eastAsia="Calibri"/>
          <w:color w:val="auto"/>
          <w:spacing w:val="0"/>
          <w:position w:val="0"/>
          <w:sz w:val="24"/>
          <w:shd w:fill="auto" w:val="clear"/>
        </w:rPr>
        <w:t xml:space="preserve">, although some differences between protocols are evident. Butler et al. cultured explants in gelatin sponges to help the diffusion of nutrients and drugs through the specimen</w:t>
      </w:r>
      <w:r>
        <w:rPr>
          <w:rFonts w:ascii="Calibri" w:hAnsi="Calibri" w:cs="Calibri" w:eastAsia="Calibri"/>
          <w:color w:val="auto"/>
          <w:spacing w:val="0"/>
          <w:position w:val="0"/>
          <w:sz w:val="24"/>
          <w:shd w:fill="auto" w:val="clear"/>
          <w:vertAlign w:val="superscript"/>
        </w:rPr>
        <w:t xml:space="preserve">20,21,25</w:t>
      </w:r>
      <w:r>
        <w:rPr>
          <w:rFonts w:ascii="Calibri" w:hAnsi="Calibri" w:cs="Calibri" w:eastAsia="Calibri"/>
          <w:color w:val="auto"/>
          <w:spacing w:val="0"/>
          <w:position w:val="0"/>
          <w:sz w:val="24"/>
          <w:shd w:fill="auto" w:val="clear"/>
        </w:rPr>
        <w:t xml:space="preserve">, whereas Majumder et al. created a tumor ecosystem by culturing explants on top of a matrix composed of tumor and stromal proteins in the presence of autologous serum derived from the same patient</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this group set up a protocol whereby explants are generated by fragmentation of tumors into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-sized pieces that are then placed without additional components on permeable membranes at the air-liquid interface of a culture system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Taken together,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these numerous studies have demonstrated that PDEs allow the culture of intact, live fragments of human tumors that retain the spatial architecture and regional heterogeneity of the original tumors. In original experiments, explants or histocultures were usually subjected to homogenization following drug treatment, after which various viability assays were applied to the homogenized samples such as the histoculture drug response assay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MTT (3-(6)-2,5-diphenyltetrazolium bromide) assay, the lactate dehydrogenase assay, or the resazurin-based assay</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Recent progress in endpoint analysis techniques, particularly digital pathology, have now expanded the repertoire of endpoint tests and assays that can be performed on explants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To apply these new technologies, instead of homogenization, explants are fixed in formalin, embedded in paraffin (FFPE) and then analyzed using immunostaining techniques, allowing spatial profiling. Examples of this approach have been documented for non-small cell lung cancer (NSCLC), breast cancer, colorectal cancer, and mesothelioma explants whereby immunohistochemical staining for the proliferation marker, Ki67, and the apoptotic marker, cleaved poly-ADP ribose polymerase (cPARP), was used to monitor changes in cell proliferation and cell death</w:t>
      </w:r>
      <w:r>
        <w:rPr>
          <w:rFonts w:ascii="Calibri" w:hAnsi="Calibri" w:cs="Calibri" w:eastAsia="Calibri"/>
          <w:color w:val="auto"/>
          <w:spacing w:val="0"/>
          <w:position w:val="0"/>
          <w:sz w:val="24"/>
          <w:shd w:fill="auto" w:val="clear"/>
          <w:vertAlign w:val="superscript"/>
        </w:rPr>
        <w:t xml:space="preserve">24,31-34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Multiplexed immunofluorescence is particularly amenable for spatial profiling of drug responses in explants at endpoint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For example, it is possible to measure the relocalization and spatial distribution of specific classes of immune cells, such as macrophages or T cells, within the TME upon drug treatment</w:t>
      </w:r>
      <w:r>
        <w:rPr>
          <w:rFonts w:ascii="Calibri" w:hAnsi="Calibri" w:cs="Calibri" w:eastAsia="Calibri"/>
          <w:color w:val="auto"/>
          <w:spacing w:val="0"/>
          <w:position w:val="0"/>
          <w:sz w:val="24"/>
          <w:shd w:fill="auto" w:val="clear"/>
          <w:vertAlign w:val="superscript"/>
        </w:rPr>
        <w:t xml:space="preserve">13,36-38</w:t>
      </w:r>
      <w:r>
        <w:rPr>
          <w:rFonts w:ascii="Calibri" w:hAnsi="Calibri" w:cs="Calibri" w:eastAsia="Calibri"/>
          <w:color w:val="auto"/>
          <w:spacing w:val="0"/>
          <w:position w:val="0"/>
          <w:sz w:val="24"/>
          <w:shd w:fill="auto" w:val="clear"/>
        </w:rPr>
        <w:t xml:space="preserve">, and investigate whether a therapeutic agent can favor the transition from “cold tumor” to “hot tumor”</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In recent years, this group has focused on the derivation of PDEs from different tumor types (NSCLC, renal cancer, breast cancer, colorectal cancer, melanoma) and the testing of a range of anticancer agents including chemotherapies, small-molecule inhibitors, and immune checkpoint inhibitors (ICIs). Endpoint analysis methods have been optimized to include multiplexed immunofluorescence to allow spatial profiling of biomarkers for viability as well as biomarkers for different constituents of the TME.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Multispectral imaging of mIF-stained histological sections permits identification and phenotyping of individual cell populations and identification of tumor and stromal components in the explant TME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Multispectral imaging is particularly useful for the analysis of tissues with high intrinsic autofluorescence, such as tissue with a high collagen content, as it allows the autofluorescence signal to be deconvoluted from other signals and excluded from subsequent analysis. Subsequent in silico tissue and cell segmentation allows the quantification of drug response with a multitude of outputs including, but not limited to, raw cell numbers (e.g., percent positivity), signal intensity, cell size, tissue area, and spatial location of individual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and cell segmentation are therefore extremely useful for the quantitative analysis of drug treatment outcomes and the identification of tumor- and stromal-specific responses. For example, staining for Ki67 and cPARP alongside a tumor marker allows for the quantitation of proliferation and cell death levels, respectively, in explants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the example given, Ki67 and cPARP levels are quantitated for stromal and tumor regions in PDEs in response to the anti-programmed cell death protein 1 (PD-1) immune checkpoint inhibitor (ICI), nivolumab. In addition, the ability to extract spatial information from stained sections allows the calculation of intercell distances as well as distances to tumor borders and other structures. Therefore, changes in cellular distribution following drug treatment can be quantitatively analyzed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example shown represents PDE treatment with nivolumab.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for the generation and analysis of PDEs.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Freshly resected human tumor specimens are processed and arranged on a permeable culture insert disc floating in culture medium.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Following drug treatment, the explants are harvested, subjected to FFPE, and then sectioned for histological analysis, e.g., for H&amp;amp;E staining.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mIF staining and scanning of the tissue sections are performed to generate multispectral images from which individual signals can be deconvoluted and analyzed separately.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Analysis of composite images allows separation of tumor and stromal areas and assessment of the phenotype of different cell types. Abbreviations: PDE = patient-derived explant; FFPE = fixed in formalin, embedded in paraffin; H&amp;amp;E = hematoxylin and eosin; mIF = multiplex immunofluorescence; HRP = horseradish peroxidase;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hydrogen peroxide; Ab = antibody; TSA = tyramide signal amplification.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an mIF-stained tissue section.</w:t>
      </w:r>
      <w:r>
        <w:rPr>
          <w:rFonts w:ascii="Calibri" w:hAnsi="Calibri" w:cs="Calibri" w:eastAsia="Calibri"/>
          <w:color w:val="auto"/>
          <w:spacing w:val="0"/>
          <w:position w:val="0"/>
          <w:sz w:val="24"/>
          <w:shd w:fill="auto" w:val="clear"/>
        </w:rPr>
        <w:t xml:space="preserve"> NSCLC explant tissue was stained for markers of cell viability, namely, cPARP (red) and Ki67 (green) as well as a pan-cytokeratin marker (yellow) and DAPI (blue) to mark nuclei. Multispectral imaging was performed to deconvolute the fluorescent signals and remove autofluorescence. Images show 20x magnification of the selected field. Scale bars = 50 &amp;#181;m. Abbreviations: mIF = multiplex immunofluorescence; NSCLC = non-small cell lung cancer; cPARP = cleaved poly-ADP ribose polymerase; CK = cytokeratin; DAPI = 4’-6-diamidino-2-phenylindole; AF = autofluorescence.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Quantification of cell death and proliferation in PDEs.</w:t>
      </w:r>
      <w:r>
        <w:rPr>
          <w:rFonts w:ascii="Calibri" w:hAnsi="Calibri" w:cs="Calibri" w:eastAsia="Calibri"/>
          <w:color w:val="auto"/>
          <w:spacing w:val="0"/>
          <w:position w:val="0"/>
          <w:sz w:val="24"/>
          <w:shd w:fill="auto" w:val="clear"/>
        </w:rPr>
        <w:t xml:space="preserve"> Example of box and whisker plots showing apoptosis induction in NSCLC PDEs after 24 h of treatment with 5 &amp;#181;g/mL nivolumab compared to medium control. The percentage of proliferation (Ki67) and percentage of apoptotic cell death (cPARP) events is displayed in the tumor area and stroma, respectively. Each point represents a single explant, the central line of the box represents the median of the distribution, and the sides of the box (bottom and top) represent the first and third quartiles, respectively. Error bars represent the interquartile range (further than 1.5 x IQR). Abbreviations: PDE = patient-derived explant; NSCLC = non-small cell lung cancer; cPARP = cleaved poly-ADP ribose polymerase; IQR = interquartile range.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Spatial organization following drug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showing mIF staining of T cell markers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CD4, FOXP3, CD8 (left panel)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performed on a melanoma explant, and corresponding phenotype analysis (right) identifying intercell distances between CD8+ cells and Treg cells (CD4+/FOXP3+). Scale bars =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Histogram plot showing increased distance between cytotoxic T cells (CD8+) and Treg cells (CD4+/FOXP3+) after treatment of melanoma PDEs with 5 &amp;#181;g/mL of nivolumab, confirming on-target effects of the IO drug. Density unit is expressed as the number of cells divided by sum of all cells per bandwidth. Abbreviations: mIF = multiplex immunofluorescence; CD = cluster of differentiation; FOXP3 = Forkhead box P3; PDE = patient-derived explant; NSCLC = non-small cell lung cancer; IO = immunooncology.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b/>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methods for generation, drug treatment, and analysis of PDEs and highlights the advantages of the platform as a preclinical model system. Ex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culturing of a freshly resected tumor, which does not involve its deconstruction, allows for the retention of the tumor architecture</w:t>
      </w:r>
      <w:r>
        <w:rPr>
          <w:rFonts w:ascii="Calibri" w:hAnsi="Calibri" w:cs="Calibri" w:eastAsia="Calibri"/>
          <w:color w:val="auto"/>
          <w:spacing w:val="0"/>
          <w:position w:val="0"/>
          <w:sz w:val="24"/>
          <w:shd w:fill="auto" w:val="clear"/>
          <w:vertAlign w:val="superscript"/>
        </w:rPr>
        <w:t xml:space="preserve">13,24</w:t>
      </w:r>
      <w:r>
        <w:rPr>
          <w:rFonts w:ascii="Calibri" w:hAnsi="Calibri" w:cs="Calibri" w:eastAsia="Calibri"/>
          <w:color w:val="auto"/>
          <w:spacing w:val="0"/>
          <w:position w:val="0"/>
          <w:sz w:val="24"/>
          <w:shd w:fill="auto" w:val="clear"/>
        </w:rPr>
        <w:t xml:space="preserve"> and thus, the spatial interactions of cellular components in the TME as well as intratumoral heterogeneity. This method demonstrates how, by using a tumor-specific marker, it is possible to identify areas of tumor tissue versus areas of stroma and therefore separate drug responses within these compartments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Additionally, multiple biomarkers can be profiled simultaneously to assess, for example, the on-target movement of immune cells within the TME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publication documented the application of this PDE platform to the stratification of NSCLC PDEs for the standard of care chemotherapy, cisplatin, showing that it is possible to segregate chemoresistant from chemosensitive populations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These PDE-related findings mirror patient responses. By following the methods described here, it is possible to undertake similar approaches for other tumor types and with different types of drugs, chemotherapeutics or otherwise. The separation of PDEs into drug-sensitive and drug-resistant populations creates an invaluable resource for generating further mechanistic insight into drug resistance. For example, because PDEs can be processed for RNA, DNA, protein, or metabolite isolation, this can allow the implementation of “omic” technologies to identify key biomarkers that are predictive of response. Alternatively, FFPE sections generated from treated PDEs can be used for extensive spatial profiling to understand how different cell types in the PDE contribute to drug resistance.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may be facilitated by further developments in multispectral imaging and mass cytometry approaches</w:t>
      </w:r>
      <w:r>
        <w:rPr>
          <w:rFonts w:ascii="Calibri" w:hAnsi="Calibri" w:cs="Calibri" w:eastAsia="Calibri"/>
          <w:color w:val="auto"/>
          <w:spacing w:val="0"/>
          <w:position w:val="0"/>
          <w:sz w:val="24"/>
          <w:shd w:fill="auto" w:val="clear"/>
          <w:vertAlign w:val="superscript"/>
        </w:rPr>
        <w:t xml:space="preserve">35,40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which would allow hundreds of biomarkers to be profiled simultaneously</w:t>
      </w:r>
      <w:r>
        <w:rPr>
          <w:rFonts w:ascii="Calibri" w:hAnsi="Calibri" w:cs="Calibri" w:eastAsia="Calibri"/>
          <w:color w:val="232222"/>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Preclinical models that evaluate immunotherapeutic efficacy are much sought after, and this paper demonstrates that PDEs can fill this critical niche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color w:val="212121"/>
          <w:spacing w:val="0"/>
          <w:position w:val="0"/>
          <w:sz w:val="24"/>
          <w:shd w:fill="auto" w:val="clear"/>
        </w:rPr>
        <w:t xml:space="preserve">Monoclonal antibodies targeting immune checkpoints, such as cytotoxic T-lymphocyte antigen 4 and PD-1/programmed death ligand-1 (PD-L1), have been developed</w:t>
      </w:r>
      <w:r>
        <w:rPr>
          <w:rFonts w:ascii="Calibri" w:hAnsi="Calibri" w:cs="Calibri" w:eastAsia="Calibri"/>
          <w:color w:val="212121"/>
          <w:spacing w:val="0"/>
          <w:position w:val="0"/>
          <w:sz w:val="24"/>
          <w:shd w:fill="auto" w:val="clear"/>
          <w:vertAlign w:val="superscript"/>
        </w:rPr>
        <w:t xml:space="preserve">44-47</w:t>
      </w:r>
      <w:r>
        <w:rPr>
          <w:rFonts w:ascii="Calibri" w:hAnsi="Calibri" w:cs="Calibri" w:eastAsia="Calibri"/>
          <w:color w:val="212121"/>
          <w:spacing w:val="0"/>
          <w:position w:val="0"/>
          <w:sz w:val="24"/>
          <w:shd w:fill="auto" w:val="clear"/>
        </w:rPr>
        <w:t xml:space="preserve"> with some remarkable improvements in overall patient survival in a large number of solid tumors compared to standard chemotherapy. However, ICIs are effective in a limited number of patients for reasons that are not clear, necessitating the identification of predictive biomarkers</w:t>
      </w:r>
      <w:r>
        <w:rPr>
          <w:rFonts w:ascii="Calibri" w:hAnsi="Calibri" w:cs="Calibri" w:eastAsia="Calibri"/>
          <w:color w:val="212121"/>
          <w:spacing w:val="0"/>
          <w:position w:val="0"/>
          <w:sz w:val="24"/>
          <w:shd w:fill="auto" w:val="clear"/>
          <w:vertAlign w:val="superscript"/>
        </w:rPr>
        <w:t xml:space="preserve">48</w:t>
      </w:r>
      <w:r>
        <w:rPr>
          <w:rFonts w:ascii="Calibri" w:hAnsi="Calibri" w:cs="Calibri" w:eastAsia="Calibri"/>
          <w:color w:val="212121"/>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outstanding feature of PDEs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preserving the 3D architecture of tumor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facilitates the evaluation of ICI efficacy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the monitoring of immune cells in response to ICI treatment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Thus, PDEs are an ideal platform for distinguishing ICI-sensitive versus ICI-resistant cases and for investigating the mechanisms underpinning this distinction.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PDE technology does suffer from a few disadvantages. The generation of accurate, experimental results from PDEs relies on tumor integrity, and occasionally, tumor samples after surgery are too necrotic to process for PDEs. Furthermore, despite some specific examples of retention of tissue integrity after prolonged culture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for most reported cases, integrity and viability has been lost after 72 h in culture, and tissue disintegration occurs. The window of time to perform drug experiments is therefore relatively limited, prohibiting the use of this model for the study of the mechanisms of acquired drug resistance or the study of invasion and metastasis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Extending the viability of explants may become possible in the future through the development of new technologies, such as scaffolds and perfused channels, which may facilitate diffusion and uptake of nutrients, allowing more extended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until these improvements can be made, the PDE platform should be regarded as a short-term culture method that can provide immediate drug response data. It should be utilized alongside other model systems, such as organoids and PDX models, that can provide longer term drug response data. Overall, the PDE platform is a proof-of-concept preclinical model system that is of use in determining the sensitivity of a patient’s tumor to a given anticancer agent, for deriving insight into mechanisms of drug action in a real tumor, and for developing predictive and pharmacodynamic biomarkers.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Nothing to disclose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surgeons and pathologists at University Hospitals of Leicester NHS Trust for providing surgical resected tumor tissue. We also thank the Histology facility within Core Biotechnology Services for help with tissue processing and sectioning of FFPE tissue blocks and Kees Straatman for support with use of the Vectra Polaris. This research was supported and funded by the Explant Consortium comprising four partners: The University of Leicester, The MRC Toxicology Unit, Cancer Research UK Therapeutic Discovery Laboratories, and LifeArc. Additional support was provided by the CRUK-NIHR Leicester Experimental Cancer Medicine Centre (C10604/A25151). Funding for GM, CD, and NA was provided by Breast Cancer Now’s Catalyst Programme (2017NOVPCC1066), which is supported by funding from Pfizer.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Gerlinger,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Intratumor heterogeneity and branched evolution revealed by multiregion sequencing.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(10), 883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Jamal-Hanjani,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Tracking the evolution of non-small-cell lung cancer. The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(22), 2109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McGranahan, N., Swanton, C. Biological and therapeutic impact of intratumor heterogeneity in cancer evolution.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Casey,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signatures suggest a major role for stromal cells in development of invasive breast cancer. </w:t>
      </w:r>
      <w:r>
        <w:rPr>
          <w:rFonts w:ascii="Calibri" w:hAnsi="Calibri" w:cs="Calibri" w:eastAsia="Calibri"/>
          <w:i/>
          <w:color w:val="auto"/>
          <w:spacing w:val="0"/>
          <w:position w:val="0"/>
          <w:sz w:val="24"/>
          <w:shd w:fill="auto" w:val="clear"/>
        </w:rPr>
        <w:t xml:space="preserve">Breast Cancer Research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Gerdes,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Emerging understanding of multiscale tumor heterogeneity.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366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Komohara, Y., Takeya, M. CAFs and TAMs: maestros of the tumour microenvironment. The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(3),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Miyake,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CXCL1-mediated interaction of cancer cells with tumor-associated macrophages and cancer-associated fibroblasts promotes tumor progression in human bladder cancer. </w:t>
      </w:r>
      <w:r>
        <w:rPr>
          <w:rFonts w:ascii="Calibri" w:hAnsi="Calibri" w:cs="Calibri" w:eastAsia="Calibri"/>
          <w:i/>
          <w:color w:val="auto"/>
          <w:spacing w:val="0"/>
          <w:position w:val="0"/>
          <w:sz w:val="24"/>
          <w:shd w:fill="auto" w:val="clear"/>
        </w:rPr>
        <w:t xml:space="preserve">Neoplasia.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636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Hisamitsu,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Interaction between cancer cells and cancer-associated fibroblasts after cisplatin treatment promotes cancer cell regrowth. </w:t>
      </w:r>
      <w:r>
        <w:rPr>
          <w:rFonts w:ascii="Calibri" w:hAnsi="Calibri" w:cs="Calibri" w:eastAsia="Calibri"/>
          <w:i/>
          <w:color w:val="auto"/>
          <w:spacing w:val="0"/>
          <w:position w:val="0"/>
          <w:sz w:val="24"/>
          <w:shd w:fill="auto" w:val="clear"/>
        </w:rPr>
        <w:t xml:space="preserve">Human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Witz, I. P. The tumor microenvironment: the making of a paradigm. </w:t>
      </w:r>
      <w:r>
        <w:rPr>
          <w:rFonts w:ascii="Calibri" w:hAnsi="Calibri" w:cs="Calibri" w:eastAsia="Calibri"/>
          <w:i/>
          <w:color w:val="auto"/>
          <w:spacing w:val="0"/>
          <w:position w:val="0"/>
          <w:sz w:val="24"/>
          <w:shd w:fill="auto" w:val="clear"/>
        </w:rPr>
        <w:t xml:space="preserve">Cancer Microenvironment.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(Suppl 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Fu, X.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Tumor-associated macrophages modulate resistance to oxaliplatin via inducing autophagy in hepatocellular carcinoma. </w:t>
      </w:r>
      <w:r>
        <w:rPr>
          <w:rFonts w:ascii="Calibri" w:hAnsi="Calibri" w:cs="Calibri" w:eastAsia="Calibri"/>
          <w:i/>
          <w:color w:val="auto"/>
          <w:spacing w:val="0"/>
          <w:position w:val="0"/>
          <w:sz w:val="24"/>
          <w:shd w:fill="auto" w:val="clear"/>
        </w:rPr>
        <w:t xml:space="preserve">Cancer Cell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D., Zhang, X. Tipping tumor microenvironment against drug resistance. </w:t>
      </w:r>
      <w:r>
        <w:rPr>
          <w:rFonts w:ascii="Calibri" w:hAnsi="Calibri" w:cs="Calibri" w:eastAsia="Calibri"/>
          <w:i/>
          <w:color w:val="auto"/>
          <w:spacing w:val="0"/>
          <w:position w:val="0"/>
          <w:sz w:val="24"/>
          <w:shd w:fill="auto" w:val="clear"/>
        </w:rPr>
        <w:t xml:space="preserve">Journal of Oncology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106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Roma-Rodrigues, C., Mendes, R., Baptista, P. V., Fernandes, A. R. Targeting tumor microenvironment for cancer therapy.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840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Powley, I. R. et al. Patient-derived explants (PDEs) as a powerful preclinical platform for anti-cancer drug and biomarker discovery.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(6), 735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Freeman, A. E., Hoffman, R. M. In vivo-like growth of human tumors in vitro. </w:t>
      </w:r>
      <w:r>
        <w:rPr>
          <w:rFonts w:ascii="Calibri" w:hAnsi="Calibri" w:cs="Calibri" w:eastAsia="Calibri"/>
          <w:i/>
          <w:color w:val="auto"/>
          <w:spacing w:val="0"/>
          <w:position w:val="0"/>
          <w:sz w:val="24"/>
          <w:shd w:fill="auto" w:val="clear"/>
        </w:rPr>
        <w:t xml:space="preserve">Proceedings of the National Academy of  Sciences of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(8), 2694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2698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Vescio, 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vivo-like drug responses of human tumors growing in three-dimensional gel-supported primary culture. </w:t>
      </w:r>
      <w:r>
        <w:rPr>
          <w:rFonts w:ascii="Calibri" w:hAnsi="Calibri" w:cs="Calibri" w:eastAsia="Calibri"/>
          <w:i/>
          <w:color w:val="auto"/>
          <w:spacing w:val="0"/>
          <w:position w:val="0"/>
          <w:sz w:val="24"/>
          <w:shd w:fill="auto" w:val="clear"/>
        </w:rPr>
        <w:t xml:space="preserve">Proceedings of the National Academy of Sciences of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(14), 5029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5033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Hoffman, R. M. 3D Sponge-matrix histoculture: an overview.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1760</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Vescio, R. A., Connors, K. M., Kubota, T., Hoffman, R. M. Correlation of histology and drug response of human tumors grown in native-state three-dimensional histoculture and in nude mice. </w:t>
      </w:r>
      <w:r>
        <w:rPr>
          <w:rFonts w:ascii="Calibri" w:hAnsi="Calibri" w:cs="Calibri" w:eastAsia="Calibri"/>
          <w:i/>
          <w:color w:val="auto"/>
          <w:spacing w:val="0"/>
          <w:position w:val="0"/>
          <w:sz w:val="24"/>
          <w:shd w:fill="auto" w:val="clear"/>
        </w:rPr>
        <w:t xml:space="preserve">Proceedings of the National Academy of Sciences of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(12), 5163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5166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Furukawa, T., Kubota, T., Hoffman, R. M. Clinical applications of the histoculture drug response assay.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Centenera, M. M., Raj, G. V., Knudsen, K. E., Tilley, W. D., Butler, L. M. Ex vivo culture of human prostate tissue and drug development. </w:t>
      </w:r>
      <w:r>
        <w:rPr>
          <w:rFonts w:ascii="Calibri" w:hAnsi="Calibri" w:cs="Calibri" w:eastAsia="Calibri"/>
          <w:i/>
          <w:color w:val="auto"/>
          <w:spacing w:val="0"/>
          <w:position w:val="0"/>
          <w:sz w:val="24"/>
          <w:shd w:fill="auto" w:val="clear"/>
        </w:rPr>
        <w:t xml:space="preserve">Nature Reviews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Centenera,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Evidence for efficacy of new Hsp90 inhibitors revealed by ex vivo culture of human prostate tumors.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(13), 3562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Dean,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Therapeutic response to CDK4/6 inhibition in breast cancer defined by ex vivo analyses of human tumors.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(14), 2756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Majumder,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Predicting clinical response to anticancer drugs using an ex vivo platform that captures tumour heterogeneity.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6169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Goldman, A. et al. Temporally sequenced anticancer drugs overcome adaptive resistance by targeting a vulnerable chemotherapy-induced phenotypic transition.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6139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Karekla,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 vivo explant cultures of non-small cell lung carcinoma enable evaluation of primary tumor responses to anticancer therapy.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(8), 2029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Ricciardelli,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Novel ex vivo ovarian cancer tissue explant assay for prediction of chemosensitivity and response to novel therapeutics.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421</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Yoshimasu,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[Histoculture drug response assay (HDRA) guided induction concurrent chemoradiotherapy for mediastinal node-positive non-small cell lung cancer]. </w:t>
      </w:r>
      <w:r>
        <w:rPr>
          <w:rFonts w:ascii="Calibri" w:hAnsi="Calibri" w:cs="Calibri" w:eastAsia="Calibri"/>
          <w:i/>
          <w:color w:val="auto"/>
          <w:spacing w:val="0"/>
          <w:position w:val="0"/>
          <w:sz w:val="24"/>
          <w:shd w:fill="auto" w:val="clear"/>
        </w:rPr>
        <w:t xml:space="preserve">Gan To Kagaku Ryoho.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 and chemotherapy.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Pirnia,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 vivo assessment of chemotherapy-induced apoptosis and associated molecular changes in patient tumor samples. </w:t>
      </w:r>
      <w:r>
        <w:rPr>
          <w:rFonts w:ascii="Calibri" w:hAnsi="Calibri" w:cs="Calibri" w:eastAsia="Calibri"/>
          <w:i/>
          <w:color w:val="auto"/>
          <w:spacing w:val="0"/>
          <w:position w:val="0"/>
          <w:sz w:val="24"/>
          <w:shd w:fill="auto" w:val="clear"/>
        </w:rPr>
        <w:t xml:space="preserve">Anticancer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(3a), 1765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Maund, S. L., Nolley, R., Peehl, D. M. Optimization and comprehensive characterization of a faithful tissue culture model of the benign and malignant human prostate.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(2),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Vasaturo, A., Galon, J. Multiplexed immunohistochemistry for immune cell phenotyping, quantification and spatial distribution in situ.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635</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Fuhrman,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Molecularly guided digital spatial profiling for multiplexed analysis of gene expression with spatial and single cell resolution. </w:t>
      </w:r>
      <w:r>
        <w:rPr>
          <w:rFonts w:ascii="Calibri" w:hAnsi="Calibri" w:cs="Calibri" w:eastAsia="Calibri"/>
          <w:i/>
          <w:color w:val="auto"/>
          <w:spacing w:val="0"/>
          <w:position w:val="0"/>
          <w:sz w:val="24"/>
          <w:shd w:fill="auto" w:val="clear"/>
        </w:rPr>
        <w:t xml:space="preserve">Journal of Biomolecular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(Suppl), S14-15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Twiddy,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TRAIL-R1-specific ligand in combination with doxorubicin selectively targets primary breast tumour cells for apoptosis. </w:t>
      </w:r>
      <w:r>
        <w:rPr>
          <w:rFonts w:ascii="Calibri" w:hAnsi="Calibri" w:cs="Calibri" w:eastAsia="Calibri"/>
          <w:i/>
          <w:color w:val="auto"/>
          <w:spacing w:val="0"/>
          <w:position w:val="0"/>
          <w:sz w:val="24"/>
          <w:shd w:fill="auto" w:val="clear"/>
        </w:rPr>
        <w:t xml:space="preserve">Breast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P58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Cancer chemoprevention: Evidence of a nonlinear dose response for the protective effects of resveratrol in humans and mice.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(298), 298ra117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Busacca,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Resistance to HSP90 inhibition involving loss of MCL1 addiction.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(12), 1483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Kolluri, K.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Loss of functional BAP1 augments sensitivity to TRAIL in cancer cells.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e30224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Toki, M. I. et al. High-plex predictive marker discovery for melanoma immunotherapy-treated patients using digital spatial profiling.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(18), 5503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Parra, E. R. et al. Validation of multiplex immunofluorescence panels using multispectral microscopy for immune-profiling of formalin-fixed and paraffin-embedded human tumor tissues.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13380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Park, 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Prediction of radio-responsiveness with immune-profiling in patients with rectal cancer.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(45), 79793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79802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Mezheyeuski, A. et al. Multispectral imaging for quantitative and compartment-specific immune infiltrates reveals distinct immune profiles that classify lung cancer patients. The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(4),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Kather, J.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Topography of cancer-associated immune cells in human solid tumors.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e36967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Zollinger, D. R., Lingle, S. E., Sorg, K., Beechem, J. M., Merritt, C. R. GeoMx™ RNA assay: high multiplex, digital, spatial analysis of RNA in FFPE tissue.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2148</w:t>
      </w:r>
      <w:r>
        <w:rPr>
          <w:rFonts w:ascii="Calibri" w:hAnsi="Calibri" w:cs="Calibri" w:eastAsia="Calibri"/>
          <w:color w:val="auto"/>
          <w:spacing w:val="0"/>
          <w:position w:val="0"/>
          <w:sz w:val="24"/>
          <w:shd w:fill="auto" w:val="clear"/>
        </w:rPr>
        <w:t xml:space="preserve">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Zugazagoitia,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Biomarkers associated with beneficial PD-1 checkpoint blockade in non-small cell lung cancer (NSCLC) identified using high-plex digital spatial profiling.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(16), 4360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Allo, B., Lou, X., Bouzekri, A., Ornatsky, O. Clickable and high-sensitivity metal-containing tags for mass cytometry.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2028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Gerdtsson,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Multiplex protein detection on circulating tumor cells from liquid biopsies using imaging mass cytometry. </w:t>
      </w:r>
      <w:r>
        <w:rPr>
          <w:rFonts w:ascii="Calibri" w:hAnsi="Calibri" w:cs="Calibri" w:eastAsia="Calibri"/>
          <w:i/>
          <w:color w:val="auto"/>
          <w:spacing w:val="0"/>
          <w:position w:val="0"/>
          <w:sz w:val="24"/>
          <w:shd w:fill="auto" w:val="clear"/>
        </w:rPr>
        <w:t xml:space="preserve">Convergent Science Physical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015002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Reck,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Pembrolizumab versus chemotherapy for PD-L1-positive non-small-cell lung cancer.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(19), 1823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Le, D. T. et al. KEYNOTE-164: Phase 2 study of pembrolizumab for patients with previously treated, microsatellite instability-high advanced colorectal carcinoma.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(15_suppl), TPS3631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Diaz, 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KEYNOTE-177: Randomized phase III study of pembrolizumab versus investigator-choice chemotherapy for mismatch repair-deficient or microsatellite instability-high metastatic colorectal carcinoma.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(4_suppl), TPS815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Long, G.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Impact of baseline serum lactate dehydrogenase concentration on the efficacy of pembrolizumab and ipilimumab in patients with advanced melanoma: data from KEYNOTE-006. </w:t>
      </w:r>
      <w:r>
        <w:rPr>
          <w:rFonts w:ascii="Calibri" w:hAnsi="Calibri" w:cs="Calibri" w:eastAsia="Calibri"/>
          <w:i/>
          <w:color w:val="auto"/>
          <w:spacing w:val="0"/>
          <w:position w:val="0"/>
          <w:sz w:val="24"/>
          <w:shd w:fill="auto" w:val="clear"/>
        </w:rPr>
        <w:t xml:space="preserve">European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S122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Voong, K. R., Feliciano, J., Becker, D., Levy, B. Beyond PD-L1 testing-emerging biomarkers for immunotherapy in non-small cell lung cancer. </w:t>
      </w:r>
      <w:r>
        <w:rPr>
          <w:rFonts w:ascii="Calibri" w:hAnsi="Calibri" w:cs="Calibri" w:eastAsia="Calibri"/>
          <w:i/>
          <w:color w:val="auto"/>
          <w:spacing w:val="0"/>
          <w:position w:val="0"/>
          <w:sz w:val="24"/>
          <w:shd w:fill="auto" w:val="clear"/>
        </w:rPr>
        <w:t xml:space="preserve">Annals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(18), 376 (2017).</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