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Patient-derived Tumor Explants as a “Live” Preclinical Platform for Predicting Drug Resistance in Patients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Giuditta Viticchi&amp;#233;</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Ian Powley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Constantinos Demetriou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James Cooper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Michael Butterworth</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Meeta Patel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Naila Abid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Gareth Miles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Lynne Howells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Howard Pringle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Marion MacFarlane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Catrin Pritchard</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Leicester Cancer Research Center, University of Leicester,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MRC Toxicology Unit, Hodgkin Building, Lancaster Road, Leicester, 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Ian Powley</w:t>
        <w:tab/>
        <w:tab/>
        <w:tab/>
        <w:tab/>
        <w:t xml:space="preserve">(</w:t>
      </w:r>
      <w:r>
        <w:rPr>
          <w:rFonts w:ascii="Calibri" w:hAnsi="Calibri" w:cs="Calibri" w:eastAsia="Calibri"/>
          <w:color w:val="auto"/>
          <w:spacing w:val="0"/>
          <w:position w:val="0"/>
          <w:sz w:val="24"/>
          <w:shd w:fill="auto" w:val="clear"/>
        </w:rPr>
        <w:t xml:space="preserve">irp2@le.ac.uk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Constantinos Demetriou</w:t>
        <w:tab/>
        <w:tab/>
        <w:t xml:space="preserve">(</w:t>
      </w:r>
      <w:r>
        <w:rPr>
          <w:rFonts w:ascii="Calibri" w:hAnsi="Calibri" w:cs="Calibri" w:eastAsia="Calibri"/>
          <w:color w:val="auto"/>
          <w:spacing w:val="0"/>
          <w:position w:val="0"/>
          <w:sz w:val="24"/>
          <w:shd w:fill="auto" w:val="clear"/>
        </w:rPr>
        <w:t xml:space="preserve">cd317@le.ac.uk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James Cooper</w:t>
        <w:tab/>
        <w:tab/>
        <w:tab/>
        <w:tab/>
        <w:t xml:space="preserve">(</w:t>
      </w:r>
      <w:r>
        <w:rPr>
          <w:rFonts w:ascii="Calibri" w:hAnsi="Calibri" w:cs="Calibri" w:eastAsia="Calibri"/>
          <w:color w:val="auto"/>
          <w:spacing w:val="0"/>
          <w:position w:val="0"/>
          <w:sz w:val="24"/>
          <w:shd w:fill="auto" w:val="clear"/>
        </w:rPr>
        <w:t xml:space="preserve">jc768@le.ac.uk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Michael Butterworth</w:t>
        <w:tab/>
        <w:tab/>
        <w:tab/>
        <w:t xml:space="preserve">(</w:t>
      </w:r>
      <w:r>
        <w:rPr>
          <w:rFonts w:ascii="Calibri" w:hAnsi="Calibri" w:cs="Calibri" w:eastAsia="Calibri"/>
          <w:color w:val="auto"/>
          <w:spacing w:val="0"/>
          <w:position w:val="0"/>
          <w:sz w:val="24"/>
          <w:shd w:fill="auto" w:val="clear"/>
        </w:rPr>
        <w:t xml:space="preserve">mb777@le.ac.uk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Meeta Patel</w:t>
        <w:tab/>
        <w:tab/>
        <w:tab/>
        <w:tab/>
        <w:t xml:space="preserve">(</w:t>
      </w:r>
      <w:r>
        <w:rPr>
          <w:rFonts w:ascii="Calibri" w:hAnsi="Calibri" w:cs="Calibri" w:eastAsia="Calibri"/>
          <w:color w:val="auto"/>
          <w:spacing w:val="0"/>
          <w:position w:val="0"/>
          <w:sz w:val="24"/>
          <w:shd w:fill="auto" w:val="clear"/>
        </w:rPr>
        <w:t xml:space="preserve">mp598@le.ac.uk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Naila Abid</w:t>
        <w:tab/>
        <w:tab/>
        <w:tab/>
        <w:tab/>
        <w:t xml:space="preserve">(</w:t>
      </w:r>
      <w:r>
        <w:rPr>
          <w:rFonts w:ascii="Calibri" w:hAnsi="Calibri" w:cs="Calibri" w:eastAsia="Calibri"/>
          <w:color w:val="auto"/>
          <w:spacing w:val="0"/>
          <w:position w:val="0"/>
          <w:sz w:val="24"/>
          <w:shd w:fill="auto" w:val="clear"/>
        </w:rPr>
        <w:t xml:space="preserve">na328@le.ac.uk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Gareth Miles</w:t>
        <w:tab/>
        <w:tab/>
        <w:tab/>
        <w:tab/>
        <w:t xml:space="preserve">(</w:t>
      </w:r>
      <w:r>
        <w:rPr>
          <w:rFonts w:ascii="Calibri" w:hAnsi="Calibri" w:cs="Calibri" w:eastAsia="Calibri"/>
          <w:color w:val="auto"/>
          <w:spacing w:val="0"/>
          <w:position w:val="0"/>
          <w:sz w:val="24"/>
          <w:shd w:fill="auto" w:val="clear"/>
        </w:rPr>
        <w:t xml:space="preserve">gjm14@le.ac.uk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Lynne Howells</w:t>
        <w:tab/>
        <w:tab/>
        <w:tab/>
        <w:tab/>
        <w:t xml:space="preserve">(</w:t>
      </w:r>
      <w:r>
        <w:rPr>
          <w:rFonts w:ascii="Calibri" w:hAnsi="Calibri" w:cs="Calibri" w:eastAsia="Calibri"/>
          <w:color w:val="auto"/>
          <w:spacing w:val="0"/>
          <w:position w:val="0"/>
          <w:sz w:val="24"/>
          <w:shd w:fill="auto" w:val="clear"/>
        </w:rPr>
        <w:t xml:space="preserve">lh28@le.ac.uk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Howard Pringle</w:t>
        <w:tab/>
        <w:tab/>
        <w:tab/>
        <w:t xml:space="preserve">(</w:t>
      </w:r>
      <w:r>
        <w:rPr>
          <w:rFonts w:ascii="Calibri" w:hAnsi="Calibri" w:cs="Calibri" w:eastAsia="Calibri"/>
          <w:color w:val="auto"/>
          <w:spacing w:val="0"/>
          <w:position w:val="0"/>
          <w:sz w:val="24"/>
          <w:shd w:fill="auto" w:val="clear"/>
        </w:rPr>
        <w:t xml:space="preserve">jhp@le.ac.uk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Marion MacFarlane</w:t>
        <w:tab/>
        <w:tab/>
        <w:tab/>
        <w:t xml:space="preserve">(</w:t>
      </w:r>
      <w:r>
        <w:rPr>
          <w:rFonts w:ascii="Calibri" w:hAnsi="Calibri" w:cs="Calibri" w:eastAsia="Calibri"/>
          <w:color w:val="auto"/>
          <w:spacing w:val="0"/>
          <w:position w:val="0"/>
          <w:sz w:val="24"/>
          <w:shd w:fill="auto" w:val="clear"/>
        </w:rPr>
        <w:t xml:space="preserve">mm21@le.ac.uk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Catrin Pritchard</w:t>
        <w:tab/>
        <w:tab/>
        <w:tab/>
        <w:t xml:space="preserve">(</w:t>
      </w:r>
      <w:r>
        <w:rPr>
          <w:rFonts w:ascii="Calibri" w:hAnsi="Calibri" w:cs="Calibri" w:eastAsia="Calibri"/>
          <w:color w:val="auto"/>
          <w:spacing w:val="0"/>
          <w:position w:val="0"/>
          <w:sz w:val="24"/>
          <w:shd w:fill="auto" w:val="clear"/>
        </w:rPr>
        <w:t xml:space="preserve">cap8@le.ac.uk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Giuditta Viticchi&amp;#233;</w:t>
      </w:r>
      <w:r>
        <w:rPr>
          <w:rFonts w:ascii="Calibri" w:hAnsi="Calibri" w:cs="Calibri" w:eastAsia="Calibri"/>
          <w:color w:val="000000"/>
          <w:spacing w:val="0"/>
          <w:position w:val="0"/>
          <w:sz w:val="24"/>
          <w:shd w:fill="auto" w:val="clear"/>
          <w:vertAlign w:val="superscript"/>
        </w:rPr>
        <w:tab/>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gv51@le.ac.uk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explants, tumor, preclinical models, histology, digital pathology, multi-immunofluorescence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methods for the generation, drug treatment, and analysis of patient-derived explants for assessing tumor drug responses in a live, patient-relevant, preclinical model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understanding of drug resistance and the development of novel strategies to sensitize highly resistant cancers rely on the availability of suitable preclinical models that can accurately predict patient responses. One of the disadvantages of existing preclinical models is the inability to contextually preserve the human tumor microenvironment (TME) and accurately represent intratumoral heterogeneity, thus limiting the clinical translation of data. By contrast, by representing the culture of live fragments of human tumors, the patient-derived explant (PDE) platform allows drug responses to be examined in a three-dimensional (3D) context that mirrors the pathological and architectural features of the original tumors as closely as possible. Previous reports with PDEs have documented the ability of the platform to distinguish chemosensitive from chemoresistant tumors, and it has been shown that this segregation is predictive of patient responses to the same chemotherapies. Simultaneously, PDEs allow the opportunity to interrogate molecular, genetic, and histological features of tumors that predict drug responses, thereby identifying biomarkers for patient stratification as well as novel interventional approaches to sensitize resistant tumors. This paper reports PDE methodology in detail, from collection of patient samples through to endpoint analysis. It provides a detailed description of explant derivation and culture methods, highlighting bespoke conditions for particular tumors, where appropriate. For endpoint analysis, there is a focus on multiplexed immunofluorescence and multispectral imaging for the spatial profiling of key biomarkers within both tumoral and stromal regions. By combining these methods, it is possible to generate quantitative and qualitative drug response data that can be related to various clinicopathological parameters and thus potentially be used for biomarker identification.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effective and safe anticancer agents requires appropriate preclinical models that can also provide insight into mechanisms of action that can facilitate the identification of predictive and pharmacodynamic biomarkers. Inter- and intratumor heterogeneity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the TME</w:t>
      </w:r>
      <w:r>
        <w:rPr>
          <w:rFonts w:ascii="Calibri" w:hAnsi="Calibri" w:cs="Calibri" w:eastAsia="Calibri"/>
          <w:color w:val="auto"/>
          <w:spacing w:val="0"/>
          <w:position w:val="0"/>
          <w:sz w:val="24"/>
          <w:shd w:fill="auto" w:val="clear"/>
          <w:vertAlign w:val="superscript"/>
        </w:rPr>
        <w:t xml:space="preserve">6-12</w:t>
      </w:r>
      <w:r>
        <w:rPr>
          <w:rFonts w:ascii="Calibri" w:hAnsi="Calibri" w:cs="Calibri" w:eastAsia="Calibri"/>
          <w:color w:val="auto"/>
          <w:spacing w:val="0"/>
          <w:position w:val="0"/>
          <w:sz w:val="24"/>
          <w:shd w:fill="auto" w:val="clear"/>
        </w:rPr>
        <w:t xml:space="preserve"> are known to influence anticancer drug responses, and many existing preclinical cancer models such as cell lines, organoids, and mouse models are not able to fully accommodate these crucial features. An “ideal” model is one that can recapitulate the complex spatial interactions of malignant with non-malignant cells within tumors as well as reflect the regional differences within tumors. This article focuses on PDEs as an emerging platform that can fulfil many of these requirements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example of the use of human PDEs, also known as histocultures, dates back to the late 1980s when Hoffman et al. generated slices of freshly resected human tumors and cultured them in a collagen matrix</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This involved establishing a 3D culture system that preserved tissue architecture, ensuring the maintenance of stromal components and cell interactions within the TME. Without deconstructing the original tumor, Hoffman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heralded a new approach of translational research, and since this time, many groups have optimized different explant methods with the aim of preserving the tissue integrity and generating accurate drug response data</w:t>
      </w:r>
      <w:r>
        <w:rPr>
          <w:rFonts w:ascii="Calibri" w:hAnsi="Calibri" w:cs="Calibri" w:eastAsia="Calibri"/>
          <w:color w:val="auto"/>
          <w:spacing w:val="0"/>
          <w:position w:val="0"/>
          <w:sz w:val="24"/>
          <w:shd w:fill="auto" w:val="clear"/>
          <w:vertAlign w:val="superscript"/>
        </w:rPr>
        <w:t xml:space="preserve">17-24</w:t>
      </w:r>
      <w:r>
        <w:rPr>
          <w:rFonts w:ascii="Calibri" w:hAnsi="Calibri" w:cs="Calibri" w:eastAsia="Calibri"/>
          <w:color w:val="auto"/>
          <w:spacing w:val="0"/>
          <w:position w:val="0"/>
          <w:sz w:val="24"/>
          <w:shd w:fill="auto" w:val="clear"/>
        </w:rPr>
        <w:t xml:space="preserve">, although some differences between protocols are evident. Butler et al. cultured explants in gelatin sponges to help the diffusion of nutrients and drugs through the specimen</w:t>
      </w:r>
      <w:r>
        <w:rPr>
          <w:rFonts w:ascii="Calibri" w:hAnsi="Calibri" w:cs="Calibri" w:eastAsia="Calibri"/>
          <w:color w:val="auto"/>
          <w:spacing w:val="0"/>
          <w:position w:val="0"/>
          <w:sz w:val="24"/>
          <w:shd w:fill="auto" w:val="clear"/>
          <w:vertAlign w:val="superscript"/>
        </w:rPr>
        <w:t xml:space="preserve">20,21,25</w:t>
      </w:r>
      <w:r>
        <w:rPr>
          <w:rFonts w:ascii="Calibri" w:hAnsi="Calibri" w:cs="Calibri" w:eastAsia="Calibri"/>
          <w:color w:val="auto"/>
          <w:spacing w:val="0"/>
          <w:position w:val="0"/>
          <w:sz w:val="24"/>
          <w:shd w:fill="auto" w:val="clear"/>
        </w:rPr>
        <w:t xml:space="preserve">, whereas Majumder et al. created a tumor ecosystem by culturing explants on top of a matrix composed of tumor and stromal proteins in the presence of autologous serum derived from the same patient</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recently, this group set up a protocol whereby explants are generated by fragmentation of tumors into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-sized pieces that are then placed without additional components on permeable membranes at the air-liquid interface of a culture system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Taken together,</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these numerous studies have demonstrated that PDEs allow the culture of intact, live fragments of human tumors that retain the spatial architecture and regional heterogeneity of the original tumors. In original experiments, explants or histocultures were usually subjected to homogenization following drug treatment, after which various viability assays were applied to the homogenized samples such as the histoculture drug response assay</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the MTT (3-(6)-2,5-diphenyltetrazolium bromide) assay, the lactate dehydrogenase assay, or the resazurin-based assay</w:t>
      </w:r>
      <w:r>
        <w:rPr>
          <w:rFonts w:ascii="Calibri" w:hAnsi="Calibri" w:cs="Calibri" w:eastAsia="Calibri"/>
          <w:color w:val="auto"/>
          <w:spacing w:val="0"/>
          <w:position w:val="0"/>
          <w:sz w:val="24"/>
          <w:shd w:fill="auto" w:val="clear"/>
          <w:vertAlign w:val="superscript"/>
        </w:rPr>
        <w:t xml:space="preserve">26-28</w:t>
      </w:r>
      <w:r>
        <w:rPr>
          <w:rFonts w:ascii="Calibri" w:hAnsi="Calibri" w:cs="Calibri" w:eastAsia="Calibri"/>
          <w:color w:val="auto"/>
          <w:spacing w:val="0"/>
          <w:position w:val="0"/>
          <w:sz w:val="24"/>
          <w:shd w:fill="auto" w:val="clear"/>
        </w:rPr>
        <w:t xml:space="preserve">. Recent progress in endpoint analysis techniques, particularly digital pathology, have now expanded the repertoire of endpoint tests and assays that can be performed on explants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To apply these new technologies, instead of homogenization, explants are fixed in formalin, embedded in paraffin (FFPE) and then analyzed using immunostaining techniques, allowing spatial profiling. Examples of this approach have been documented for non-small cell lung cancer (NSCLC), breast cancer, colorectal cancer, and mesothelioma explants whereby immunohistochemical staining for the proliferation marker, Ki67, and the apoptotic marker, cleaved poly-ADP ribose polymerase (cPARP), was used to monitor changes in cell proliferation and cell death</w:t>
      </w:r>
      <w:r>
        <w:rPr>
          <w:rFonts w:ascii="Calibri" w:hAnsi="Calibri" w:cs="Calibri" w:eastAsia="Calibri"/>
          <w:color w:val="auto"/>
          <w:spacing w:val="0"/>
          <w:position w:val="0"/>
          <w:sz w:val="24"/>
          <w:shd w:fill="auto" w:val="clear"/>
          <w:vertAlign w:val="superscript"/>
        </w:rPr>
        <w:t xml:space="preserve">24,31-34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Multiplexed immunofluorescence is particularly amenable for spatial profiling of drug responses in explants at endpoint</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For example, it is possible to measure the relocalization and spatial distribution of specific classes of immune cells, such as macrophages or T cells, within the TME upon drug treatment</w:t>
      </w:r>
      <w:r>
        <w:rPr>
          <w:rFonts w:ascii="Calibri" w:hAnsi="Calibri" w:cs="Calibri" w:eastAsia="Calibri"/>
          <w:color w:val="auto"/>
          <w:spacing w:val="0"/>
          <w:position w:val="0"/>
          <w:sz w:val="24"/>
          <w:shd w:fill="auto" w:val="clear"/>
          <w:vertAlign w:val="superscript"/>
        </w:rPr>
        <w:t xml:space="preserve">13,36-38</w:t>
      </w:r>
      <w:r>
        <w:rPr>
          <w:rFonts w:ascii="Calibri" w:hAnsi="Calibri" w:cs="Calibri" w:eastAsia="Calibri"/>
          <w:color w:val="auto"/>
          <w:spacing w:val="0"/>
          <w:position w:val="0"/>
          <w:sz w:val="24"/>
          <w:shd w:fill="auto" w:val="clear"/>
        </w:rPr>
        <w:t xml:space="preserve">, and investigate whether a therapeutic agent can favor the transition from “cold tumor” to “hot tumor”</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In recent years, this group has focused on the derivation of PDEs from different tumor types (NSCLC, renal cancer, breast cancer, colorectal cancer, melanoma) and the testing of a range of anticancer agents including chemotherapies, small-molecule inhibitors, and immune checkpoint inhibitors (ICIs). Endpoint analysis methods have been optimized to include multiplexed immunofluorescence to allow spatial profiling of biomarkers for viability as well as biomarkers for different constituents of the TME.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b/>
          <w:color w:val="80808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