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582"/>
        <w:gridCol w:w="1586"/>
        <w:gridCol w:w="1409"/>
        <w:gridCol w:w="1638"/>
        <w:gridCol w:w="2575"/>
      </w:tblGrid>
      <w:tr w:rsidR="009444AA" w:rsidRPr="00F77F17" w14:paraId="5E2633E7" w14:textId="77777777" w:rsidTr="003F7A6B">
        <w:trPr>
          <w:trHeight w:val="20"/>
        </w:trPr>
        <w:tc>
          <w:tcPr>
            <w:tcW w:w="0" w:type="auto"/>
            <w:shd w:val="clear" w:color="auto" w:fill="auto"/>
          </w:tcPr>
          <w:p w14:paraId="7E564BCC" w14:textId="77777777" w:rsidR="003F7A6B" w:rsidRPr="00F77F17" w:rsidRDefault="003F7A6B" w:rsidP="008640B8">
            <w:pPr>
              <w:contextualSpacing/>
              <w:rPr>
                <w:b/>
                <w:sz w:val="24"/>
                <w:szCs w:val="24"/>
              </w:rPr>
            </w:pPr>
            <w:r w:rsidRPr="00F77F17">
              <w:rPr>
                <w:b/>
                <w:sz w:val="24"/>
                <w:szCs w:val="24"/>
              </w:rPr>
              <w:t>Primary Antibody</w:t>
            </w:r>
          </w:p>
        </w:tc>
        <w:tc>
          <w:tcPr>
            <w:tcW w:w="0" w:type="auto"/>
            <w:gridSpan w:val="2"/>
          </w:tcPr>
          <w:p w14:paraId="4FA6C27A" w14:textId="77777777" w:rsidR="003F7A6B" w:rsidRPr="00F77F17" w:rsidRDefault="003F7A6B" w:rsidP="008640B8">
            <w:pPr>
              <w:contextualSpacing/>
              <w:rPr>
                <w:b/>
                <w:sz w:val="24"/>
                <w:szCs w:val="24"/>
              </w:rPr>
            </w:pPr>
            <w:r w:rsidRPr="00F77F17">
              <w:rPr>
                <w:b/>
                <w:sz w:val="24"/>
                <w:szCs w:val="24"/>
              </w:rPr>
              <w:t>Source</w:t>
            </w:r>
          </w:p>
        </w:tc>
        <w:tc>
          <w:tcPr>
            <w:tcW w:w="0" w:type="auto"/>
          </w:tcPr>
          <w:p w14:paraId="4B7F956A" w14:textId="434D6A0B" w:rsidR="003F7A6B" w:rsidRPr="00F77F17" w:rsidRDefault="003F7A6B" w:rsidP="008640B8">
            <w:pPr>
              <w:contextualSpacing/>
              <w:rPr>
                <w:b/>
                <w:sz w:val="24"/>
                <w:szCs w:val="24"/>
              </w:rPr>
            </w:pPr>
            <w:r w:rsidRPr="00F77F17">
              <w:rPr>
                <w:b/>
                <w:sz w:val="24"/>
                <w:szCs w:val="24"/>
              </w:rPr>
              <w:t xml:space="preserve">Concentration </w:t>
            </w:r>
          </w:p>
        </w:tc>
        <w:tc>
          <w:tcPr>
            <w:tcW w:w="0" w:type="auto"/>
          </w:tcPr>
          <w:p w14:paraId="7893EE34" w14:textId="77777777" w:rsidR="003F7A6B" w:rsidRPr="00F77F17" w:rsidRDefault="003F7A6B" w:rsidP="008640B8">
            <w:pPr>
              <w:contextualSpacing/>
              <w:rPr>
                <w:b/>
                <w:sz w:val="24"/>
                <w:szCs w:val="24"/>
              </w:rPr>
            </w:pPr>
            <w:r w:rsidRPr="00F77F17">
              <w:rPr>
                <w:b/>
                <w:sz w:val="24"/>
                <w:szCs w:val="24"/>
              </w:rPr>
              <w:t>Use</w:t>
            </w:r>
          </w:p>
        </w:tc>
      </w:tr>
      <w:tr w:rsidR="009444AA" w:rsidRPr="00F77F17" w14:paraId="34E15FF9" w14:textId="77777777" w:rsidTr="003F7A6B">
        <w:trPr>
          <w:trHeight w:val="20"/>
        </w:trPr>
        <w:tc>
          <w:tcPr>
            <w:tcW w:w="0" w:type="auto"/>
          </w:tcPr>
          <w:p w14:paraId="7AA21E39" w14:textId="77777777" w:rsidR="003F7A6B" w:rsidRPr="00F77F17" w:rsidRDefault="003F7A6B" w:rsidP="008640B8">
            <w:pPr>
              <w:contextualSpacing/>
              <w:rPr>
                <w:bCs/>
                <w:i/>
                <w:iCs/>
                <w:sz w:val="24"/>
                <w:szCs w:val="24"/>
              </w:rPr>
            </w:pPr>
            <w:r w:rsidRPr="00F77F17">
              <w:rPr>
                <w:bCs/>
                <w:i/>
                <w:iCs/>
                <w:sz w:val="24"/>
                <w:szCs w:val="24"/>
              </w:rPr>
              <w:t>Filaggrin (AKH1) mouse monoclonal IgG</w:t>
            </w:r>
          </w:p>
        </w:tc>
        <w:tc>
          <w:tcPr>
            <w:tcW w:w="0" w:type="auto"/>
            <w:gridSpan w:val="2"/>
          </w:tcPr>
          <w:p w14:paraId="386E73D5" w14:textId="77777777" w:rsidR="003F7A6B" w:rsidRPr="00F77F17" w:rsidRDefault="003F7A6B" w:rsidP="008640B8">
            <w:pPr>
              <w:contextualSpacing/>
              <w:rPr>
                <w:sz w:val="24"/>
                <w:szCs w:val="24"/>
              </w:rPr>
            </w:pPr>
            <w:r w:rsidRPr="00F77F17">
              <w:rPr>
                <w:sz w:val="24"/>
                <w:szCs w:val="24"/>
              </w:rPr>
              <w:t xml:space="preserve">Santa Cruz; </w:t>
            </w:r>
          </w:p>
          <w:p w14:paraId="005E876D" w14:textId="65DBF2D1" w:rsidR="003F7A6B" w:rsidRPr="00F77F17" w:rsidRDefault="003F7A6B" w:rsidP="008640B8">
            <w:pPr>
              <w:rPr>
                <w:rFonts w:ascii="Calibri" w:hAnsi="Calibri" w:cs="Calibri"/>
                <w:color w:val="000000"/>
                <w:sz w:val="24"/>
                <w:szCs w:val="24"/>
              </w:rPr>
            </w:pPr>
            <w:r w:rsidRPr="00F77F17">
              <w:rPr>
                <w:rFonts w:ascii="Calibri" w:hAnsi="Calibri" w:cs="Calibri"/>
                <w:color w:val="000000"/>
                <w:sz w:val="24"/>
                <w:szCs w:val="24"/>
              </w:rPr>
              <w:t xml:space="preserve">sc-66192 (200 </w:t>
            </w:r>
            <w:r w:rsidRPr="00942A33">
              <w:rPr>
                <w:bCs/>
                <w:sz w:val="24"/>
                <w:szCs w:val="24"/>
              </w:rPr>
              <w:t>µ</w:t>
            </w:r>
            <w:r w:rsidRPr="00F77F17">
              <w:rPr>
                <w:rFonts w:ascii="Calibri" w:hAnsi="Calibri" w:cs="Calibri"/>
                <w:color w:val="000000"/>
                <w:sz w:val="24"/>
                <w:szCs w:val="24"/>
              </w:rPr>
              <w:t>g/mL)</w:t>
            </w:r>
          </w:p>
          <w:p w14:paraId="457E1A4B" w14:textId="77777777" w:rsidR="003F7A6B" w:rsidRPr="00F77F17" w:rsidRDefault="003F7A6B" w:rsidP="008640B8">
            <w:pPr>
              <w:contextualSpacing/>
              <w:rPr>
                <w:sz w:val="24"/>
                <w:szCs w:val="24"/>
              </w:rPr>
            </w:pPr>
          </w:p>
        </w:tc>
        <w:tc>
          <w:tcPr>
            <w:tcW w:w="0" w:type="auto"/>
          </w:tcPr>
          <w:p w14:paraId="11C383D8" w14:textId="77777777" w:rsidR="003F7A6B" w:rsidRPr="00F77F17" w:rsidRDefault="003F7A6B" w:rsidP="008640B8">
            <w:pPr>
              <w:contextualSpacing/>
              <w:rPr>
                <w:sz w:val="24"/>
                <w:szCs w:val="24"/>
              </w:rPr>
            </w:pPr>
            <w:r w:rsidRPr="00F77F17">
              <w:rPr>
                <w:sz w:val="24"/>
                <w:szCs w:val="24"/>
              </w:rPr>
              <w:t>[1:250]</w:t>
            </w:r>
          </w:p>
        </w:tc>
        <w:tc>
          <w:tcPr>
            <w:tcW w:w="0" w:type="auto"/>
          </w:tcPr>
          <w:p w14:paraId="14A5BA1B" w14:textId="6CA4D0D1" w:rsidR="003F7A6B" w:rsidRPr="00F77F17" w:rsidRDefault="003F7A6B" w:rsidP="008640B8">
            <w:pPr>
              <w:contextualSpacing/>
              <w:rPr>
                <w:sz w:val="24"/>
                <w:szCs w:val="24"/>
              </w:rPr>
            </w:pPr>
            <w:r>
              <w:rPr>
                <w:sz w:val="24"/>
                <w:szCs w:val="24"/>
              </w:rPr>
              <w:t>L</w:t>
            </w:r>
            <w:r w:rsidRPr="00F77F17">
              <w:rPr>
                <w:sz w:val="24"/>
                <w:szCs w:val="24"/>
              </w:rPr>
              <w:t>ate differentiation marker</w:t>
            </w:r>
            <w:r w:rsidRPr="00F77F17">
              <w:rPr>
                <w:sz w:val="24"/>
                <w:szCs w:val="24"/>
              </w:rPr>
              <w:fldChar w:fldCharType="begin"/>
            </w:r>
            <w:r w:rsidRPr="00F77F17">
              <w:rPr>
                <w:sz w:val="24"/>
                <w:szCs w:val="24"/>
              </w:rPr>
              <w:instrText xml:space="preserve"> ADDIN ZOTERO_ITEM CSL_CITATION {"citationID":"vt7tJmN7","properties":{"formattedCitation":"\\super 15\\nosupersub{}","plainCitation":"15","noteIndex":0},"citationItems":[{"id":260,"uris":["http://zotero.org/users/5025368/items/SUWBEU52"],"uri":["http://zotero.org/users/5025368/items/SUWBEU52"],"itemData":{"id":260,"type":"article-journal","abstract":"Recreating the structure of human tissues in the laboratory is valuable for fundamental research, testing interventions, and reducing the use of animals. Critical to the use of such technology is the ability to produce tissue models that accurately reproduce the microanatomy of the native tissue. Current artificial cell-based skin systems lack thorough characterisation, are not representative of human skin, and can show variation. In this study, we have developed a novel full thickness model of human skin comprised of epidermal and dermal compartments. Using an inert porous scaffold, we created a dermal construct using human fibroblasts that secrete their own extracellular matrix proteins, which avoids the use of animal-derived materials. The dermal construct acts as a foundation upon which epidermal keratinocytes were seeded and differentiated into a stratified keratinised epithelium. In-depth morphological analyses of the model demonstrated very close similarities with native human skin. Extensive immunostaining and electron microscopy analysis revealed ultrastructural details such as keratohyalin granules and lamellar bodies within the stratum granulosum, specialised junctional complexes, and the presence of a basal lamina. These features reflect the functional characteristics and barrier properties of the skin equivalent. Robustness and reproducibility of in vitro models are important attributes in experimental practice, and we demonstrate the consistency of the skin construct between different users. In summary, a new model of full thickness human skin has been developed that possesses microanatomical features reminiscent of native tissue. This skin model platform will be of significant interest to scientists researching the structure and function of human skin.","container-title":"Journal of Anatomy","DOI":"10.1111/joa.12942","ISSN":"1469-7580","issue":"0","language":"en","source":"Wiley Online Library","title":"Bioengineering the microanatomy of human skin","URL":"https://onlinelibrary.wiley.com/doi/abs/10.1111/joa.12942","volume":"0","author":[{"family":"Roger","given":"Mathilde"},{"family":"Fullard","given":"Nicola"},{"family":"Costello","given":"Lydia"},{"family":"Bradbury","given":"Steven"},{"family":"Markiewicz","given":"Ewa"},{"family":"O'Reilly","given":"Steven"},{"family":"Darling","given":"Nicole"},{"family":"Ritchie","given":"Pamela"},{"family":"Määttä","given":"Arto"},{"family":"Karakesisoglou","given":"Iakowos"},{"family":"Nelson","given":"Glyn"},{"family":"Zglinicki","given":"Thomas","dropping-particle":"von"},{"family":"Dicolandrea","given":"Teresa"},{"family":"Isfort","given":"Robert"},{"family":"Bascom","given":"Charles"},{"family":"Przyborski","given":"Stefan"}],"accessed":{"date-parts":[["2019",2,21]]}}}],"schema":"https://github.com/citation-style-language/schema/raw/master/csl-citation.json"} </w:instrText>
            </w:r>
            <w:r w:rsidRPr="00F77F17">
              <w:rPr>
                <w:sz w:val="24"/>
                <w:szCs w:val="24"/>
              </w:rPr>
              <w:fldChar w:fldCharType="separate"/>
            </w:r>
            <w:r w:rsidRPr="00F77F17">
              <w:rPr>
                <w:rFonts w:ascii="Calibri" w:hAnsi="Calibri" w:cs="Calibri"/>
                <w:sz w:val="24"/>
                <w:szCs w:val="24"/>
                <w:vertAlign w:val="superscript"/>
              </w:rPr>
              <w:t>15</w:t>
            </w:r>
            <w:r w:rsidRPr="00F77F17">
              <w:rPr>
                <w:sz w:val="24"/>
                <w:szCs w:val="24"/>
              </w:rPr>
              <w:fldChar w:fldCharType="end"/>
            </w:r>
          </w:p>
        </w:tc>
      </w:tr>
      <w:tr w:rsidR="009444AA" w:rsidRPr="00F77F17" w14:paraId="0AAF66A7" w14:textId="77777777" w:rsidTr="003F7A6B">
        <w:trPr>
          <w:trHeight w:val="20"/>
        </w:trPr>
        <w:tc>
          <w:tcPr>
            <w:tcW w:w="0" w:type="auto"/>
          </w:tcPr>
          <w:p w14:paraId="452B95D8" w14:textId="7F2BD389" w:rsidR="003F7A6B" w:rsidRPr="00F77F17" w:rsidRDefault="003F7A6B" w:rsidP="008640B8">
            <w:pPr>
              <w:contextualSpacing/>
              <w:rPr>
                <w:bCs/>
                <w:i/>
                <w:iCs/>
                <w:sz w:val="24"/>
                <w:szCs w:val="24"/>
              </w:rPr>
            </w:pPr>
            <w:r w:rsidRPr="00F77F17">
              <w:rPr>
                <w:bCs/>
                <w:i/>
                <w:iCs/>
                <w:sz w:val="24"/>
                <w:szCs w:val="24"/>
              </w:rPr>
              <w:t>Involucrin rabbit poly</w:t>
            </w:r>
            <w:r w:rsidR="009444AA">
              <w:rPr>
                <w:bCs/>
                <w:i/>
                <w:iCs/>
                <w:sz w:val="24"/>
                <w:szCs w:val="24"/>
              </w:rPr>
              <w:t>clonal IgG</w:t>
            </w:r>
          </w:p>
        </w:tc>
        <w:tc>
          <w:tcPr>
            <w:tcW w:w="0" w:type="auto"/>
            <w:gridSpan w:val="2"/>
          </w:tcPr>
          <w:p w14:paraId="342056C3" w14:textId="77777777" w:rsidR="003F7A6B" w:rsidRPr="00F77F17" w:rsidRDefault="003F7A6B" w:rsidP="008640B8">
            <w:pPr>
              <w:contextualSpacing/>
              <w:rPr>
                <w:sz w:val="24"/>
                <w:szCs w:val="24"/>
              </w:rPr>
            </w:pPr>
            <w:r w:rsidRPr="00F77F17">
              <w:rPr>
                <w:sz w:val="24"/>
                <w:szCs w:val="24"/>
              </w:rPr>
              <w:t xml:space="preserve">Proteintech; </w:t>
            </w:r>
          </w:p>
          <w:p w14:paraId="57AD41C4" w14:textId="1096021E" w:rsidR="003F7A6B" w:rsidRPr="00F77F17" w:rsidRDefault="003F7A6B" w:rsidP="008640B8">
            <w:pPr>
              <w:rPr>
                <w:rFonts w:ascii="Calibri" w:hAnsi="Calibri" w:cs="Calibri"/>
                <w:color w:val="000000"/>
                <w:sz w:val="24"/>
                <w:szCs w:val="24"/>
              </w:rPr>
            </w:pPr>
            <w:r w:rsidRPr="00F77F17">
              <w:rPr>
                <w:rFonts w:ascii="Calibri" w:hAnsi="Calibri" w:cs="Calibri"/>
                <w:color w:val="000000"/>
                <w:sz w:val="24"/>
                <w:szCs w:val="24"/>
              </w:rPr>
              <w:t>55328-1-AP</w:t>
            </w:r>
            <w:r w:rsidR="009444AA">
              <w:rPr>
                <w:rFonts w:ascii="Calibri" w:hAnsi="Calibri" w:cs="Calibri"/>
                <w:color w:val="000000"/>
                <w:sz w:val="24"/>
                <w:szCs w:val="24"/>
              </w:rPr>
              <w:t xml:space="preserve"> </w:t>
            </w:r>
            <w:r w:rsidRPr="00F77F17">
              <w:rPr>
                <w:rFonts w:ascii="Calibri" w:hAnsi="Calibri" w:cs="Calibri"/>
                <w:color w:val="000000"/>
                <w:sz w:val="24"/>
                <w:szCs w:val="24"/>
              </w:rPr>
              <w:t xml:space="preserve">(30 </w:t>
            </w:r>
            <w:r w:rsidRPr="00942A33">
              <w:rPr>
                <w:bCs/>
                <w:sz w:val="24"/>
                <w:szCs w:val="24"/>
              </w:rPr>
              <w:t>µ</w:t>
            </w:r>
            <w:r w:rsidRPr="00F77F17">
              <w:rPr>
                <w:rFonts w:ascii="Calibri" w:hAnsi="Calibri" w:cs="Calibri"/>
                <w:color w:val="000000"/>
                <w:sz w:val="24"/>
                <w:szCs w:val="24"/>
              </w:rPr>
              <w:t xml:space="preserve">g/150 </w:t>
            </w:r>
            <w:r w:rsidRPr="00942A33">
              <w:rPr>
                <w:bCs/>
                <w:sz w:val="24"/>
                <w:szCs w:val="24"/>
              </w:rPr>
              <w:t>µ</w:t>
            </w:r>
            <w:r w:rsidRPr="00F77F17">
              <w:rPr>
                <w:rFonts w:ascii="Calibri" w:hAnsi="Calibri" w:cs="Calibri"/>
                <w:color w:val="000000"/>
                <w:sz w:val="24"/>
                <w:szCs w:val="24"/>
              </w:rPr>
              <w:t>L)</w:t>
            </w:r>
          </w:p>
        </w:tc>
        <w:tc>
          <w:tcPr>
            <w:tcW w:w="0" w:type="auto"/>
          </w:tcPr>
          <w:p w14:paraId="2CC0EE9F" w14:textId="77777777" w:rsidR="003F7A6B" w:rsidRPr="00F77F17" w:rsidRDefault="003F7A6B" w:rsidP="008640B8">
            <w:pPr>
              <w:contextualSpacing/>
              <w:rPr>
                <w:sz w:val="24"/>
                <w:szCs w:val="24"/>
              </w:rPr>
            </w:pPr>
            <w:r w:rsidRPr="00F77F17">
              <w:rPr>
                <w:sz w:val="24"/>
                <w:szCs w:val="24"/>
              </w:rPr>
              <w:t>[1:250]</w:t>
            </w:r>
          </w:p>
        </w:tc>
        <w:tc>
          <w:tcPr>
            <w:tcW w:w="0" w:type="auto"/>
          </w:tcPr>
          <w:p w14:paraId="008F0B41" w14:textId="01A78781" w:rsidR="003F7A6B" w:rsidRPr="00F77F17" w:rsidRDefault="003F7A6B" w:rsidP="008640B8">
            <w:pPr>
              <w:contextualSpacing/>
              <w:rPr>
                <w:sz w:val="24"/>
                <w:szCs w:val="24"/>
              </w:rPr>
            </w:pPr>
            <w:r>
              <w:rPr>
                <w:sz w:val="24"/>
                <w:szCs w:val="24"/>
              </w:rPr>
              <w:t>L</w:t>
            </w:r>
            <w:r w:rsidRPr="00F77F17">
              <w:rPr>
                <w:sz w:val="24"/>
                <w:szCs w:val="24"/>
              </w:rPr>
              <w:t>ate terminal differentiation marker</w:t>
            </w:r>
            <w:r w:rsidRPr="00F77F17">
              <w:rPr>
                <w:sz w:val="24"/>
                <w:szCs w:val="24"/>
              </w:rPr>
              <w:fldChar w:fldCharType="begin"/>
            </w:r>
            <w:r w:rsidRPr="00F77F17">
              <w:rPr>
                <w:sz w:val="24"/>
                <w:szCs w:val="24"/>
              </w:rPr>
              <w:instrText xml:space="preserve"> ADDIN ZOTERO_ITEM CSL_CITATION {"citationID":"BO8M2TXd","properties":{"formattedCitation":"\\super 15\\nosupersub{}","plainCitation":"15","noteIndex":0},"citationItems":[{"id":260,"uris":["http://zotero.org/users/5025368/items/SUWBEU52"],"uri":["http://zotero.org/users/5025368/items/SUWBEU52"],"itemData":{"id":260,"type":"article-journal","abstract":"Recreating the structure of human tissues in the laboratory is valuable for fundamental research, testing interventions, and reducing the use of animals. Critical to the use of such technology is the ability to produce tissue models that accurately reproduce the microanatomy of the native tissue. Current artificial cell-based skin systems lack thorough characterisation, are not representative of human skin, and can show variation. In this study, we have developed a novel full thickness model of human skin comprised of epidermal and dermal compartments. Using an inert porous scaffold, we created a dermal construct using human fibroblasts that secrete their own extracellular matrix proteins, which avoids the use of animal-derived materials. The dermal construct acts as a foundation upon which epidermal keratinocytes were seeded and differentiated into a stratified keratinised epithelium. In-depth morphological analyses of the model demonstrated very close similarities with native human skin. Extensive immunostaining and electron microscopy analysis revealed ultrastructural details such as keratohyalin granules and lamellar bodies within the stratum granulosum, specialised junctional complexes, and the presence of a basal lamina. These features reflect the functional characteristics and barrier properties of the skin equivalent. Robustness and reproducibility of in vitro models are important attributes in experimental practice, and we demonstrate the consistency of the skin construct between different users. In summary, a new model of full thickness human skin has been developed that possesses microanatomical features reminiscent of native tissue. This skin model platform will be of significant interest to scientists researching the structure and function of human skin.","container-title":"Journal of Anatomy","DOI":"10.1111/joa.12942","ISSN":"1469-7580","issue":"0","language":"en","source":"Wiley Online Library","title":"Bioengineering the microanatomy of human skin","URL":"https://onlinelibrary.wiley.com/doi/abs/10.1111/joa.12942","volume":"0","author":[{"family":"Roger","given":"Mathilde"},{"family":"Fullard","given":"Nicola"},{"family":"Costello","given":"Lydia"},{"family":"Bradbury","given":"Steven"},{"family":"Markiewicz","given":"Ewa"},{"family":"O'Reilly","given":"Steven"},{"family":"Darling","given":"Nicole"},{"family":"Ritchie","given":"Pamela"},{"family":"Määttä","given":"Arto"},{"family":"Karakesisoglou","given":"Iakowos"},{"family":"Nelson","given":"Glyn"},{"family":"Zglinicki","given":"Thomas","dropping-particle":"von"},{"family":"Dicolandrea","given":"Teresa"},{"family":"Isfort","given":"Robert"},{"family":"Bascom","given":"Charles"},{"family":"Przyborski","given":"Stefan"}],"accessed":{"date-parts":[["2019",2,21]]}}}],"schema":"https://github.com/citation-style-language/schema/raw/master/csl-citation.json"} </w:instrText>
            </w:r>
            <w:r w:rsidRPr="00F77F17">
              <w:rPr>
                <w:sz w:val="24"/>
                <w:szCs w:val="24"/>
              </w:rPr>
              <w:fldChar w:fldCharType="separate"/>
            </w:r>
            <w:r w:rsidRPr="00F77F17">
              <w:rPr>
                <w:rFonts w:ascii="Calibri" w:hAnsi="Calibri" w:cs="Calibri"/>
                <w:sz w:val="24"/>
                <w:szCs w:val="24"/>
                <w:vertAlign w:val="superscript"/>
              </w:rPr>
              <w:t>15</w:t>
            </w:r>
            <w:r w:rsidRPr="00F77F17">
              <w:rPr>
                <w:sz w:val="24"/>
                <w:szCs w:val="24"/>
              </w:rPr>
              <w:fldChar w:fldCharType="end"/>
            </w:r>
          </w:p>
        </w:tc>
      </w:tr>
      <w:tr w:rsidR="009444AA" w:rsidRPr="00F77F17" w14:paraId="356F2FF6" w14:textId="77777777" w:rsidTr="003F7A6B">
        <w:trPr>
          <w:trHeight w:val="20"/>
        </w:trPr>
        <w:tc>
          <w:tcPr>
            <w:tcW w:w="0" w:type="auto"/>
          </w:tcPr>
          <w:p w14:paraId="0601C454" w14:textId="77777777" w:rsidR="003F7A6B" w:rsidRPr="00F77F17" w:rsidRDefault="003F7A6B" w:rsidP="008640B8">
            <w:pPr>
              <w:contextualSpacing/>
              <w:rPr>
                <w:bCs/>
                <w:i/>
                <w:iCs/>
                <w:sz w:val="24"/>
                <w:szCs w:val="24"/>
              </w:rPr>
            </w:pPr>
            <w:r w:rsidRPr="00F77F17">
              <w:rPr>
                <w:bCs/>
                <w:i/>
                <w:iCs/>
                <w:sz w:val="24"/>
                <w:szCs w:val="24"/>
              </w:rPr>
              <w:t>Cytokeratin 10 (DE-K10) mouse IgG, supernatant</w:t>
            </w:r>
          </w:p>
        </w:tc>
        <w:tc>
          <w:tcPr>
            <w:tcW w:w="0" w:type="auto"/>
            <w:gridSpan w:val="2"/>
          </w:tcPr>
          <w:p w14:paraId="0CD57737" w14:textId="77777777" w:rsidR="003F7A6B" w:rsidRPr="00F77F17" w:rsidRDefault="003F7A6B" w:rsidP="008640B8">
            <w:pPr>
              <w:contextualSpacing/>
              <w:rPr>
                <w:sz w:val="24"/>
                <w:szCs w:val="24"/>
              </w:rPr>
            </w:pPr>
            <w:r w:rsidRPr="00F77F17">
              <w:rPr>
                <w:sz w:val="24"/>
                <w:szCs w:val="24"/>
              </w:rPr>
              <w:t xml:space="preserve">Santa Cruz; </w:t>
            </w:r>
          </w:p>
          <w:p w14:paraId="744B26A5" w14:textId="42829388" w:rsidR="003F7A6B" w:rsidRPr="00F77F17" w:rsidRDefault="003F7A6B" w:rsidP="008640B8">
            <w:pPr>
              <w:rPr>
                <w:rFonts w:ascii="Calibri" w:hAnsi="Calibri" w:cs="Calibri"/>
                <w:color w:val="000000"/>
                <w:sz w:val="24"/>
                <w:szCs w:val="24"/>
              </w:rPr>
            </w:pPr>
            <w:r w:rsidRPr="00F77F17">
              <w:rPr>
                <w:rFonts w:ascii="Calibri" w:hAnsi="Calibri" w:cs="Calibri"/>
                <w:color w:val="000000"/>
                <w:sz w:val="24"/>
                <w:szCs w:val="24"/>
              </w:rPr>
              <w:t>sc-52318</w:t>
            </w:r>
          </w:p>
          <w:p w14:paraId="02169034" w14:textId="77777777" w:rsidR="003F7A6B" w:rsidRPr="00F77F17" w:rsidRDefault="003F7A6B" w:rsidP="008640B8">
            <w:pPr>
              <w:contextualSpacing/>
              <w:rPr>
                <w:sz w:val="24"/>
                <w:szCs w:val="24"/>
              </w:rPr>
            </w:pPr>
          </w:p>
        </w:tc>
        <w:tc>
          <w:tcPr>
            <w:tcW w:w="0" w:type="auto"/>
          </w:tcPr>
          <w:p w14:paraId="36A6C753" w14:textId="77777777" w:rsidR="003F7A6B" w:rsidRPr="00F77F17" w:rsidRDefault="003F7A6B" w:rsidP="008640B8">
            <w:pPr>
              <w:contextualSpacing/>
              <w:rPr>
                <w:sz w:val="24"/>
                <w:szCs w:val="24"/>
              </w:rPr>
            </w:pPr>
            <w:r w:rsidRPr="00F77F17">
              <w:rPr>
                <w:sz w:val="24"/>
                <w:szCs w:val="24"/>
              </w:rPr>
              <w:t>[1:350]</w:t>
            </w:r>
          </w:p>
        </w:tc>
        <w:tc>
          <w:tcPr>
            <w:tcW w:w="0" w:type="auto"/>
          </w:tcPr>
          <w:p w14:paraId="373989FB" w14:textId="77777777" w:rsidR="003F7A6B" w:rsidRPr="00F77F17" w:rsidRDefault="003F7A6B" w:rsidP="008640B8">
            <w:pPr>
              <w:contextualSpacing/>
              <w:rPr>
                <w:sz w:val="24"/>
                <w:szCs w:val="24"/>
              </w:rPr>
            </w:pPr>
            <w:r w:rsidRPr="00F77F17">
              <w:rPr>
                <w:sz w:val="24"/>
                <w:szCs w:val="24"/>
              </w:rPr>
              <w:t>Suprabasal epidermal marker</w:t>
            </w:r>
            <w:r>
              <w:rPr>
                <w:sz w:val="24"/>
                <w:szCs w:val="24"/>
              </w:rPr>
              <w:fldChar w:fldCharType="begin"/>
            </w:r>
            <w:r>
              <w:rPr>
                <w:sz w:val="24"/>
                <w:szCs w:val="24"/>
              </w:rPr>
              <w:instrText xml:space="preserve"> ADDIN ZOTERO_ITEM CSL_CITATION {"citationID":"1sbmNlnn","properties":{"formattedCitation":"\\super 14,36,59\\nosupersub{}","plainCitation":"14,36,59","noteIndex":0},"citationItems":[{"id":105,"uris":["http://zotero.org/users/5025368/items/NM43ZTL8"],"uri":["http://zotero.org/users/5025368/items/NM43ZTL8"],"itemData":{"id":105,"type":"article-journal","abstract":"Full thickness human skin models (FTMs) contain an epidermal and a dermal equivalent. The latter is composed of a collagen dermal matrix which harbours fibroblasts. Current epidermal barrier properties of FTMs do not fully resemble that of native human skin (NHS), which makes these human skin models less suitable for barrier related studies. To further enhance the resemblance of NHS for epidermal morphogenesis and barrier formation, we modulated the collagen dermal matrix with the biocompatible polymer chitosan. Herein, we report that these collagen-chitosan FTMs (CC-FTMs) possess a well-organized epidermis and maintain both the early and late differentiation programs as in FTMs. Distinctively, the epidermal cell activation is reduced in CC-FTMs to levels observed in NHS. Dermal-epidermal interactions are functional in both FTM types, based on the formation of the basement membrane. Evaluation of the barrier structure by the organization of the extracellular lipid matrix of the stratum corneum revealed an elongated repeat distance of the long periodicity phase. The ceramide composition exhibited a higher resemblance of the NHS, based on the carbon chain-length distribution and subclass profile. The inside-out barrier functionality indicated by the transepidermal water loss is significantly improved in the CC-FTMs. The expression of epidermal barrier lipid processing enzymes is marginally affected, although more restricted to a single granular layer. The novel CC-FTM resembles the NHS more closely, which makes them a promising tool for epidermal barrier related studies.","container-title":"PLOS ONE","DOI":"10.1371/journal.pone.0174478","issue":"3","journalAbbreviation":"PLOS ONE","page":"e0174478","title":"Improved epidermal barrier formation in human skin models by chitosan modulated dermal matrices","volume":"12","author":[{"family":"Mieremet","given":"Arnout"},{"family":"Rietveld","given":"Marion"},{"family":"Absalah","given":"Samira"},{"family":"Smeden","given":"Jeroen","non-dropping-particle":"van"},{"family":"Bouwstra","given":"Joke A."},{"family":"El Ghalbzouri","given":"Abdoelwaheb"}],"issued":{"date-parts":[["2017",3,23]]}}},{"id":6,"uris":["http://zotero.org/users/5025368/items/QN77C45Y"],"uri":["http://zotero.org/users/5025368/items/QN77C45Y"],"itemData":{"id":6,"type":"article-journal","abstract":"Skin is an organ that plays an important role as a physical barrier and has many other complex functions. Skin mimetics may be useful for studying the pathophysiology of diseases in vitro and for repairing lesions in vivo. Cord blood mononuclear cells (CBMCs) have emerged as a potential cell source for regenerative medicine. Human induced pluripotent stem cells (iPSCs) derived from CBMCs have great potential for allogenic regenerative medicine. Further study is needed on skin differentiation using CBMC-iPSCs.","container-title":"Stem Cell Research &amp; Therapy","DOI":"10.1186/s13287-018-0958-2","ISSN":"1757-6512","issue":"1","journalAbbreviation":"Stem Cell Research &amp; Therapy","page":"217","title":"Establishment of a complex skin structure via layered co-culture of keratinocytes and fibroblasts derived from induced pluripotent stem cells","volume":"9","author":[{"family":"Kim","given":"Yena"},{"family":"Park","given":"Narae"},{"family":"Rim","given":"Yeri Alice"},{"family":"Nam","given":"Yoojun"},{"family":"Jung","given":"Hyerin"},{"family":"Lee","given":"Kijun"},{"family":"Ju","given":"Ji Hyeon"}],"issued":{"date-parts":[["2018",8,13]]}}},{"id":109,"uris":["http://zotero.org/users/5025368/items/S669U96W"],"uri":["http://zotero.org/users/5025368/items/S669U96W"],"itemData":{"id":109,"type":"article-journal","abstract":"Epidermis reconstructed on de-epidermized dermis (DED) was used to investigate whether fibroblasts can substitute growth factors needed for generation of a fully differentiated epidermis. For this purpose, a centrifugal seeding method was developed to reproducibly incorporate different fibroblast numbers into DED. Using (immuno)histochemical techniques, we could demonstrate that in the absence of fibroblasts the formed epidermis consisted only of two to three viable cell layers with a very thin stratum corneum layer. However, in the presence of fibroblasts keratinocyte proliferation and migration was stimulated and epidermal morphology markedly improved. The stimulatory effect of fibroblasts showed a biphasic character: keratinocyte proliferation increased in the initial phase but decreased in later stages of cell culture. After 3 weeks culture at the air–liquid interface, the proliferation index decreased irrespective of the number of fibroblasts present within the dermal matrix to levels observed also in native epidermis. Keratin 10 was localized in all viable suprabasal cell layers irrespective of the absence or presence of fibroblasts. Keratin 6 was downregulated with increasing numbers of fibroblasts, and keratins 16 and 17 were absent in fibroblast-populated matrices. The expression of involucrin or transglutaminase 1 showed a similar pattern as for the keratins. Irrespective of the number of fibroblasts incorporated into DED, the expression of α3, α6, β1, and β4 integrin subunits was upregulated. In fibroblast-free DED matrices normalization of epidermal differentiation was only achieved when the culture medium was supplemented by keratinocyte growth factor. The results of this study indicate that normalization of epidermal differentiation can be achieved using a non-contractile dermal matrix populated with fibroblasts.","container-title":"Cell and Tissue Research","DOI":"10.1007/s00441-002-0621-0","ISSN":"1432-0878","issue":"2","journalAbbreviation":"Cell and Tissue Research","page":"189-199","title":"Crucial role of fibroblasts in regulating epidermal morphogenesis","volume":"310","author":[{"family":"El Ghalbzouri","given":"Abdoelwaheb"},{"family":"Lamme","given":"Evert"},{"family":"Ponec","given":"Maria"}],"issued":{"date-parts":[["2002",11,1]]}}}],"schema":"https://github.com/citation-style-language/schema/raw/master/csl-citation.json"} </w:instrText>
            </w:r>
            <w:r>
              <w:rPr>
                <w:sz w:val="24"/>
                <w:szCs w:val="24"/>
              </w:rPr>
              <w:fldChar w:fldCharType="separate"/>
            </w:r>
            <w:r w:rsidRPr="00F77F17">
              <w:rPr>
                <w:rFonts w:ascii="Calibri" w:hAnsi="Calibri" w:cs="Calibri"/>
                <w:sz w:val="24"/>
                <w:szCs w:val="24"/>
                <w:vertAlign w:val="superscript"/>
              </w:rPr>
              <w:t>14,36,59</w:t>
            </w:r>
            <w:r>
              <w:rPr>
                <w:sz w:val="24"/>
                <w:szCs w:val="24"/>
              </w:rPr>
              <w:fldChar w:fldCharType="end"/>
            </w:r>
            <w:r w:rsidRPr="00F77F17">
              <w:rPr>
                <w:sz w:val="24"/>
                <w:szCs w:val="24"/>
              </w:rPr>
              <w:t xml:space="preserve"> </w:t>
            </w:r>
          </w:p>
        </w:tc>
      </w:tr>
      <w:tr w:rsidR="009444AA" w:rsidRPr="00F77F17" w14:paraId="454CED5F" w14:textId="77777777" w:rsidTr="003F7A6B">
        <w:trPr>
          <w:trHeight w:val="20"/>
        </w:trPr>
        <w:tc>
          <w:tcPr>
            <w:tcW w:w="0" w:type="auto"/>
          </w:tcPr>
          <w:p w14:paraId="058FB8AD" w14:textId="77777777" w:rsidR="003F7A6B" w:rsidRPr="00F77F17" w:rsidRDefault="003F7A6B" w:rsidP="008640B8">
            <w:pPr>
              <w:contextualSpacing/>
              <w:rPr>
                <w:bCs/>
                <w:i/>
                <w:iCs/>
                <w:sz w:val="24"/>
                <w:szCs w:val="24"/>
              </w:rPr>
            </w:pPr>
            <w:r w:rsidRPr="00F77F17">
              <w:rPr>
                <w:bCs/>
                <w:i/>
                <w:iCs/>
                <w:sz w:val="24"/>
                <w:szCs w:val="24"/>
              </w:rPr>
              <w:t>Collagen IV rabbit polyclonal</w:t>
            </w:r>
          </w:p>
        </w:tc>
        <w:tc>
          <w:tcPr>
            <w:tcW w:w="0" w:type="auto"/>
            <w:gridSpan w:val="2"/>
          </w:tcPr>
          <w:p w14:paraId="75AC832F" w14:textId="77777777" w:rsidR="003F7A6B" w:rsidRPr="00F77F17" w:rsidRDefault="003F7A6B" w:rsidP="008640B8">
            <w:pPr>
              <w:contextualSpacing/>
              <w:rPr>
                <w:sz w:val="24"/>
                <w:szCs w:val="24"/>
              </w:rPr>
            </w:pPr>
            <w:r w:rsidRPr="00F77F17">
              <w:rPr>
                <w:sz w:val="24"/>
                <w:szCs w:val="24"/>
              </w:rPr>
              <w:t xml:space="preserve">Proteintech; </w:t>
            </w:r>
          </w:p>
          <w:p w14:paraId="7631A712" w14:textId="55CA8E0F" w:rsidR="003F7A6B" w:rsidRPr="00F77F17" w:rsidRDefault="003F7A6B" w:rsidP="008640B8">
            <w:pPr>
              <w:rPr>
                <w:rFonts w:ascii="Calibri" w:hAnsi="Calibri" w:cs="Calibri"/>
                <w:color w:val="000000"/>
                <w:sz w:val="24"/>
                <w:szCs w:val="24"/>
              </w:rPr>
            </w:pPr>
            <w:r w:rsidRPr="00F77F17">
              <w:rPr>
                <w:rFonts w:ascii="Calibri" w:hAnsi="Calibri" w:cs="Calibri"/>
                <w:color w:val="000000"/>
                <w:sz w:val="24"/>
                <w:szCs w:val="24"/>
              </w:rPr>
              <w:t>55131-1-AP</w:t>
            </w:r>
          </w:p>
          <w:p w14:paraId="69E34743" w14:textId="77777777" w:rsidR="003F7A6B" w:rsidRPr="00F77F17" w:rsidRDefault="003F7A6B" w:rsidP="008640B8">
            <w:pPr>
              <w:contextualSpacing/>
              <w:rPr>
                <w:sz w:val="24"/>
                <w:szCs w:val="24"/>
              </w:rPr>
            </w:pPr>
          </w:p>
        </w:tc>
        <w:tc>
          <w:tcPr>
            <w:tcW w:w="0" w:type="auto"/>
          </w:tcPr>
          <w:p w14:paraId="4F31BA91" w14:textId="77777777" w:rsidR="003F7A6B" w:rsidRPr="00F77F17" w:rsidRDefault="003F7A6B" w:rsidP="008640B8">
            <w:pPr>
              <w:contextualSpacing/>
              <w:rPr>
                <w:sz w:val="24"/>
                <w:szCs w:val="24"/>
              </w:rPr>
            </w:pPr>
            <w:r w:rsidRPr="00F77F17">
              <w:rPr>
                <w:sz w:val="24"/>
                <w:szCs w:val="24"/>
              </w:rPr>
              <w:t>[1:500]</w:t>
            </w:r>
          </w:p>
        </w:tc>
        <w:tc>
          <w:tcPr>
            <w:tcW w:w="0" w:type="auto"/>
          </w:tcPr>
          <w:p w14:paraId="41CF35BA" w14:textId="77777777" w:rsidR="003F7A6B" w:rsidRPr="00F77F17" w:rsidRDefault="003F7A6B" w:rsidP="008640B8">
            <w:pPr>
              <w:contextualSpacing/>
              <w:rPr>
                <w:sz w:val="24"/>
                <w:szCs w:val="24"/>
              </w:rPr>
            </w:pPr>
            <w:r w:rsidRPr="00F77F17">
              <w:rPr>
                <w:sz w:val="24"/>
                <w:szCs w:val="24"/>
              </w:rPr>
              <w:t>Endothelial vascular wall</w:t>
            </w:r>
            <w:r>
              <w:rPr>
                <w:sz w:val="24"/>
                <w:szCs w:val="24"/>
              </w:rPr>
              <w:fldChar w:fldCharType="begin"/>
            </w:r>
            <w:r>
              <w:rPr>
                <w:sz w:val="24"/>
                <w:szCs w:val="24"/>
              </w:rPr>
              <w:instrText xml:space="preserve"> ADDIN ZOTERO_ITEM CSL_CITATION {"citationID":"e3QYZiNc","properties":{"formattedCitation":"\\super 67\\nosupersub{}","plainCitation":"67","noteIndex":0},"citationItems":[{"id":1142,"uris":["http://zotero.org/users/5025368/items/9GGQKGPU"],"uri":["http://zotero.org/users/5025368/items/9GGQKGPU"],"itemData":{"id":1142,"type":"article-journal","abstract":"Extracellular matrix proteins form the basic structure of blood vessels. Along with providing basic structural support to blood vessels, matrix proteins interact with different sets of vascular cells via cell surface integrin or non-integrin receptors. Such interactions induce vascular cell de novo synthesis of new matrix proteins during blood vessel development or remodeling. Under pathological conditions, vascular matrix proteins undergo proteolytic processing, yielding bioactive fragments to influence vascular wall matrix remodeling. Vascular cells also produce alternatively spliced variants that induce vascular cell production of different matrix proteins to interrupt matrix homeostasis, leading to increased blood vessel stiffness; vascular cell migration, proliferation, or death; or vascular wall leakage and rupture. Destruction of vascular matrix proteins leads to vascular cell or blood-borne leukocyte accumulation, proliferation, and neointima formation within the vascular wall; blood vessels prone to uncontrolled enlargement during blood flow diastole; tortuous vein development; and neovascularization from existing pathological tissue microvessels. Here we summarize discoveries related to blood vessel matrix proteins within the past decade from basic and clinical studies in humans and animals - from expression to cross-linking, assembly, and degradation under physiological and vascular pathological conditions, including atherosclerosis, aortic aneurysms, varicose veins, and hypertension.","archive":"PubMed","archive_location":"25045854","container-title":"Biochimica et biophysica acta","DOI":"10.1016/j.bbadis.2014.07.008","ISSN":"0006-3002","issue":"11","journalAbbreviation":"Biochim Biophys Acta","language":"eng","note":"edition: 2014/07/18","page":"2106-2119","title":"Vascular wall extracellular matrix proteins and vascular diseases","volume":"1842","author":[{"family":"Xu","given":"Junyan"},{"family":"Shi","given":"Guo-Ping"}],"issued":{"date-parts":[["2014",11]]}}}],"schema":"https://github.com/citation-style-language/schema/raw/master/csl-citation.json"} </w:instrText>
            </w:r>
            <w:r>
              <w:rPr>
                <w:sz w:val="24"/>
                <w:szCs w:val="24"/>
              </w:rPr>
              <w:fldChar w:fldCharType="separate"/>
            </w:r>
            <w:r w:rsidRPr="00F77F17">
              <w:rPr>
                <w:rFonts w:ascii="Calibri" w:hAnsi="Calibri" w:cs="Calibri"/>
                <w:sz w:val="24"/>
                <w:szCs w:val="24"/>
                <w:vertAlign w:val="superscript"/>
              </w:rPr>
              <w:t>67</w:t>
            </w:r>
            <w:r>
              <w:rPr>
                <w:sz w:val="24"/>
                <w:szCs w:val="24"/>
              </w:rPr>
              <w:fldChar w:fldCharType="end"/>
            </w:r>
            <w:r w:rsidRPr="00F77F17">
              <w:rPr>
                <w:sz w:val="24"/>
                <w:szCs w:val="24"/>
              </w:rPr>
              <w:t xml:space="preserve"> </w:t>
            </w:r>
          </w:p>
        </w:tc>
      </w:tr>
      <w:tr w:rsidR="009444AA" w:rsidRPr="00F77F17" w14:paraId="346175F5" w14:textId="77777777" w:rsidTr="003F7A6B">
        <w:trPr>
          <w:trHeight w:val="20"/>
        </w:trPr>
        <w:tc>
          <w:tcPr>
            <w:tcW w:w="0" w:type="auto"/>
          </w:tcPr>
          <w:p w14:paraId="333B3652" w14:textId="77777777" w:rsidR="003F7A6B" w:rsidRPr="00F77F17" w:rsidRDefault="003F7A6B" w:rsidP="008640B8">
            <w:pPr>
              <w:contextualSpacing/>
              <w:rPr>
                <w:bCs/>
                <w:i/>
                <w:iCs/>
                <w:sz w:val="24"/>
                <w:szCs w:val="24"/>
              </w:rPr>
            </w:pPr>
            <w:r w:rsidRPr="00F77F17">
              <w:rPr>
                <w:bCs/>
                <w:i/>
                <w:iCs/>
                <w:sz w:val="24"/>
                <w:szCs w:val="24"/>
              </w:rPr>
              <w:t>DRAQ 7</w:t>
            </w:r>
          </w:p>
        </w:tc>
        <w:tc>
          <w:tcPr>
            <w:tcW w:w="0" w:type="auto"/>
            <w:gridSpan w:val="2"/>
          </w:tcPr>
          <w:p w14:paraId="019FB558" w14:textId="7D5906FC" w:rsidR="003F7A6B" w:rsidRPr="00F77F17" w:rsidRDefault="003F7A6B" w:rsidP="008640B8">
            <w:pPr>
              <w:contextualSpacing/>
              <w:rPr>
                <w:sz w:val="24"/>
                <w:szCs w:val="24"/>
              </w:rPr>
            </w:pPr>
            <w:r w:rsidRPr="00F77F17">
              <w:rPr>
                <w:sz w:val="24"/>
                <w:szCs w:val="24"/>
              </w:rPr>
              <w:t>Cell Signaling; 7406 (0.3 mM)</w:t>
            </w:r>
          </w:p>
        </w:tc>
        <w:tc>
          <w:tcPr>
            <w:tcW w:w="0" w:type="auto"/>
          </w:tcPr>
          <w:p w14:paraId="66FCA45E" w14:textId="77777777" w:rsidR="003F7A6B" w:rsidRPr="00F77F17" w:rsidRDefault="003F7A6B" w:rsidP="008640B8">
            <w:pPr>
              <w:contextualSpacing/>
              <w:rPr>
                <w:sz w:val="24"/>
                <w:szCs w:val="24"/>
              </w:rPr>
            </w:pPr>
            <w:r w:rsidRPr="00F77F17">
              <w:rPr>
                <w:sz w:val="24"/>
                <w:szCs w:val="24"/>
              </w:rPr>
              <w:t>[1:250]</w:t>
            </w:r>
          </w:p>
        </w:tc>
        <w:tc>
          <w:tcPr>
            <w:tcW w:w="0" w:type="auto"/>
          </w:tcPr>
          <w:p w14:paraId="053A9B38" w14:textId="77777777" w:rsidR="003F7A6B" w:rsidRPr="00F77F17" w:rsidRDefault="003F7A6B" w:rsidP="008640B8">
            <w:pPr>
              <w:keepNext/>
              <w:contextualSpacing/>
              <w:rPr>
                <w:sz w:val="24"/>
                <w:szCs w:val="24"/>
              </w:rPr>
            </w:pPr>
            <w:r w:rsidRPr="00F77F17">
              <w:rPr>
                <w:sz w:val="24"/>
                <w:szCs w:val="24"/>
              </w:rPr>
              <w:t>Nuclear marker</w:t>
            </w:r>
          </w:p>
        </w:tc>
      </w:tr>
      <w:tr w:rsidR="001830E2" w:rsidRPr="00F77F17" w14:paraId="382C767B" w14:textId="77777777" w:rsidTr="00BF22E3">
        <w:trPr>
          <w:trHeight w:val="20"/>
        </w:trPr>
        <w:tc>
          <w:tcPr>
            <w:tcW w:w="0" w:type="auto"/>
            <w:gridSpan w:val="5"/>
          </w:tcPr>
          <w:p w14:paraId="417171ED" w14:textId="77777777" w:rsidR="001830E2" w:rsidRPr="00F77F17" w:rsidRDefault="001830E2" w:rsidP="008640B8">
            <w:pPr>
              <w:keepNext/>
              <w:contextualSpacing/>
              <w:rPr>
                <w:b/>
                <w:sz w:val="24"/>
                <w:szCs w:val="24"/>
              </w:rPr>
            </w:pPr>
          </w:p>
        </w:tc>
      </w:tr>
      <w:tr w:rsidR="009444AA" w:rsidRPr="00F77F17" w14:paraId="38772885" w14:textId="77777777" w:rsidTr="003F7A6B">
        <w:trPr>
          <w:trHeight w:val="20"/>
        </w:trPr>
        <w:tc>
          <w:tcPr>
            <w:tcW w:w="0" w:type="auto"/>
          </w:tcPr>
          <w:p w14:paraId="19F6FDD7" w14:textId="77777777" w:rsidR="003F7A6B" w:rsidRPr="00F77F17" w:rsidRDefault="003F7A6B" w:rsidP="008640B8">
            <w:pPr>
              <w:contextualSpacing/>
              <w:rPr>
                <w:b/>
                <w:sz w:val="24"/>
                <w:szCs w:val="24"/>
              </w:rPr>
            </w:pPr>
            <w:r w:rsidRPr="00F77F17">
              <w:rPr>
                <w:b/>
                <w:sz w:val="24"/>
                <w:szCs w:val="24"/>
              </w:rPr>
              <w:t>Secondary Antibody</w:t>
            </w:r>
          </w:p>
        </w:tc>
        <w:tc>
          <w:tcPr>
            <w:tcW w:w="0" w:type="auto"/>
            <w:gridSpan w:val="2"/>
          </w:tcPr>
          <w:p w14:paraId="3374DFAC" w14:textId="77777777" w:rsidR="003F7A6B" w:rsidRPr="00F77F17" w:rsidRDefault="003F7A6B" w:rsidP="008640B8">
            <w:pPr>
              <w:contextualSpacing/>
              <w:rPr>
                <w:sz w:val="24"/>
                <w:szCs w:val="24"/>
              </w:rPr>
            </w:pPr>
            <w:r w:rsidRPr="00F77F17">
              <w:rPr>
                <w:b/>
                <w:sz w:val="24"/>
                <w:szCs w:val="24"/>
              </w:rPr>
              <w:t>Source</w:t>
            </w:r>
          </w:p>
        </w:tc>
        <w:tc>
          <w:tcPr>
            <w:tcW w:w="0" w:type="auto"/>
          </w:tcPr>
          <w:p w14:paraId="25B596AA" w14:textId="77777777" w:rsidR="003F7A6B" w:rsidRPr="00F77F17" w:rsidRDefault="003F7A6B" w:rsidP="008640B8">
            <w:pPr>
              <w:contextualSpacing/>
              <w:rPr>
                <w:sz w:val="24"/>
                <w:szCs w:val="24"/>
              </w:rPr>
            </w:pPr>
            <w:r w:rsidRPr="00F77F17">
              <w:rPr>
                <w:b/>
                <w:sz w:val="24"/>
                <w:szCs w:val="24"/>
              </w:rPr>
              <w:t xml:space="preserve">Concentration </w:t>
            </w:r>
          </w:p>
        </w:tc>
        <w:tc>
          <w:tcPr>
            <w:tcW w:w="0" w:type="auto"/>
          </w:tcPr>
          <w:p w14:paraId="4261AEAE" w14:textId="77777777" w:rsidR="003F7A6B" w:rsidRPr="00F77F17" w:rsidRDefault="003F7A6B" w:rsidP="008640B8">
            <w:pPr>
              <w:keepNext/>
              <w:contextualSpacing/>
              <w:rPr>
                <w:sz w:val="24"/>
                <w:szCs w:val="24"/>
              </w:rPr>
            </w:pPr>
            <w:r w:rsidRPr="00F77F17">
              <w:rPr>
                <w:b/>
                <w:sz w:val="24"/>
                <w:szCs w:val="24"/>
              </w:rPr>
              <w:t>Use</w:t>
            </w:r>
          </w:p>
        </w:tc>
      </w:tr>
      <w:tr w:rsidR="009444AA" w:rsidRPr="00F77F17" w14:paraId="6666E827" w14:textId="77777777" w:rsidTr="003F7A6B">
        <w:trPr>
          <w:trHeight w:val="20"/>
        </w:trPr>
        <w:tc>
          <w:tcPr>
            <w:tcW w:w="0" w:type="auto"/>
          </w:tcPr>
          <w:p w14:paraId="4E5A51F4" w14:textId="77777777" w:rsidR="003F7A6B" w:rsidRPr="00F77F17" w:rsidRDefault="003F7A6B" w:rsidP="008640B8">
            <w:pPr>
              <w:contextualSpacing/>
              <w:rPr>
                <w:bCs/>
                <w:i/>
                <w:iCs/>
                <w:sz w:val="24"/>
                <w:szCs w:val="24"/>
              </w:rPr>
            </w:pPr>
            <w:r w:rsidRPr="00F77F17">
              <w:rPr>
                <w:bCs/>
                <w:i/>
                <w:iCs/>
                <w:sz w:val="24"/>
                <w:szCs w:val="24"/>
              </w:rPr>
              <w:t>Goat Anti-Rabbit IgG DyLight™ 488 Conjugated</w:t>
            </w:r>
          </w:p>
        </w:tc>
        <w:tc>
          <w:tcPr>
            <w:tcW w:w="0" w:type="auto"/>
            <w:gridSpan w:val="2"/>
          </w:tcPr>
          <w:p w14:paraId="7A06DD19" w14:textId="1944CFCB" w:rsidR="003F7A6B" w:rsidRPr="00F77F17" w:rsidRDefault="003F7A6B" w:rsidP="008640B8">
            <w:pPr>
              <w:contextualSpacing/>
              <w:rPr>
                <w:bCs/>
                <w:sz w:val="24"/>
                <w:szCs w:val="24"/>
              </w:rPr>
            </w:pPr>
            <w:r w:rsidRPr="00F77F17">
              <w:rPr>
                <w:bCs/>
                <w:sz w:val="24"/>
                <w:szCs w:val="24"/>
              </w:rPr>
              <w:t>Invitrogen; 35552 (1 mg/mL)</w:t>
            </w:r>
          </w:p>
        </w:tc>
        <w:tc>
          <w:tcPr>
            <w:tcW w:w="0" w:type="auto"/>
          </w:tcPr>
          <w:p w14:paraId="745CF1A7" w14:textId="77777777" w:rsidR="003F7A6B" w:rsidRPr="00F77F17" w:rsidRDefault="003F7A6B" w:rsidP="008640B8">
            <w:pPr>
              <w:contextualSpacing/>
              <w:rPr>
                <w:bCs/>
                <w:sz w:val="24"/>
                <w:szCs w:val="24"/>
              </w:rPr>
            </w:pPr>
            <w:r w:rsidRPr="00F77F17">
              <w:rPr>
                <w:bCs/>
                <w:sz w:val="24"/>
                <w:szCs w:val="24"/>
              </w:rPr>
              <w:t>[1:500]</w:t>
            </w:r>
          </w:p>
        </w:tc>
        <w:tc>
          <w:tcPr>
            <w:tcW w:w="0" w:type="auto"/>
          </w:tcPr>
          <w:p w14:paraId="2CAF9153" w14:textId="6DE4751A" w:rsidR="003F7A6B" w:rsidRPr="003F7A6B" w:rsidRDefault="003F7A6B" w:rsidP="008640B8">
            <w:pPr>
              <w:keepNext/>
              <w:contextualSpacing/>
              <w:rPr>
                <w:bCs/>
                <w:sz w:val="24"/>
                <w:szCs w:val="24"/>
              </w:rPr>
            </w:pPr>
            <w:r>
              <w:rPr>
                <w:bCs/>
                <w:sz w:val="24"/>
                <w:szCs w:val="24"/>
              </w:rPr>
              <w:t>Collagen IV secondary</w:t>
            </w:r>
          </w:p>
        </w:tc>
      </w:tr>
      <w:tr w:rsidR="009444AA" w:rsidRPr="00F77F17" w14:paraId="279D66AE" w14:textId="77777777" w:rsidTr="003F7A6B">
        <w:trPr>
          <w:trHeight w:val="20"/>
        </w:trPr>
        <w:tc>
          <w:tcPr>
            <w:tcW w:w="0" w:type="auto"/>
          </w:tcPr>
          <w:p w14:paraId="14E5198E" w14:textId="77777777" w:rsidR="003F7A6B" w:rsidRPr="00F77F17" w:rsidRDefault="003F7A6B" w:rsidP="008640B8">
            <w:pPr>
              <w:contextualSpacing/>
              <w:rPr>
                <w:bCs/>
                <w:i/>
                <w:iCs/>
                <w:sz w:val="24"/>
                <w:szCs w:val="24"/>
              </w:rPr>
            </w:pPr>
            <w:r w:rsidRPr="00F77F17">
              <w:rPr>
                <w:bCs/>
                <w:i/>
                <w:iCs/>
                <w:sz w:val="24"/>
                <w:szCs w:val="24"/>
              </w:rPr>
              <w:t>Anti-Rabbit IgG (H&amp;L) (GOAT) Antibody, DyLight™ 549 Conjugated</w:t>
            </w:r>
          </w:p>
        </w:tc>
        <w:tc>
          <w:tcPr>
            <w:tcW w:w="0" w:type="auto"/>
            <w:gridSpan w:val="2"/>
          </w:tcPr>
          <w:p w14:paraId="341219F4" w14:textId="323B9E63" w:rsidR="003F7A6B" w:rsidRPr="00F77F17" w:rsidRDefault="003F7A6B" w:rsidP="008640B8">
            <w:pPr>
              <w:contextualSpacing/>
              <w:rPr>
                <w:bCs/>
                <w:sz w:val="24"/>
                <w:szCs w:val="24"/>
              </w:rPr>
            </w:pPr>
            <w:r w:rsidRPr="00F77F17">
              <w:rPr>
                <w:bCs/>
                <w:sz w:val="24"/>
                <w:szCs w:val="24"/>
              </w:rPr>
              <w:t>Rockland</w:t>
            </w:r>
            <w:r w:rsidR="009444AA">
              <w:rPr>
                <w:bCs/>
                <w:sz w:val="24"/>
                <w:szCs w:val="24"/>
              </w:rPr>
              <w:t xml:space="preserve"> Immunochemicals</w:t>
            </w:r>
            <w:r w:rsidR="00614769">
              <w:rPr>
                <w:bCs/>
                <w:sz w:val="24"/>
                <w:szCs w:val="24"/>
              </w:rPr>
              <w:t>;</w:t>
            </w:r>
            <w:r w:rsidRPr="00F77F17">
              <w:rPr>
                <w:bCs/>
                <w:sz w:val="24"/>
                <w:szCs w:val="24"/>
              </w:rPr>
              <w:t xml:space="preserve"> 611-142-002</w:t>
            </w:r>
          </w:p>
        </w:tc>
        <w:tc>
          <w:tcPr>
            <w:tcW w:w="0" w:type="auto"/>
          </w:tcPr>
          <w:p w14:paraId="357A766A" w14:textId="77777777" w:rsidR="003F7A6B" w:rsidRPr="00F77F17" w:rsidRDefault="003F7A6B" w:rsidP="008640B8">
            <w:pPr>
              <w:contextualSpacing/>
              <w:rPr>
                <w:bCs/>
                <w:sz w:val="24"/>
                <w:szCs w:val="24"/>
              </w:rPr>
            </w:pPr>
            <w:r w:rsidRPr="00F77F17">
              <w:rPr>
                <w:bCs/>
                <w:sz w:val="24"/>
                <w:szCs w:val="24"/>
              </w:rPr>
              <w:t>[1:500]</w:t>
            </w:r>
          </w:p>
        </w:tc>
        <w:tc>
          <w:tcPr>
            <w:tcW w:w="0" w:type="auto"/>
          </w:tcPr>
          <w:p w14:paraId="361D9301" w14:textId="3E8E1A00" w:rsidR="003F7A6B" w:rsidRPr="003F7A6B" w:rsidRDefault="003F7A6B" w:rsidP="008640B8">
            <w:pPr>
              <w:keepNext/>
              <w:contextualSpacing/>
              <w:rPr>
                <w:bCs/>
                <w:sz w:val="24"/>
                <w:szCs w:val="24"/>
              </w:rPr>
            </w:pPr>
            <w:r>
              <w:rPr>
                <w:bCs/>
                <w:sz w:val="24"/>
                <w:szCs w:val="24"/>
              </w:rPr>
              <w:t>Involucrin secondary</w:t>
            </w:r>
          </w:p>
        </w:tc>
      </w:tr>
      <w:tr w:rsidR="009444AA" w:rsidRPr="00F77F17" w14:paraId="006ADBCE" w14:textId="77777777" w:rsidTr="003F7A6B">
        <w:trPr>
          <w:trHeight w:val="20"/>
        </w:trPr>
        <w:tc>
          <w:tcPr>
            <w:tcW w:w="0" w:type="auto"/>
          </w:tcPr>
          <w:p w14:paraId="5C78E877" w14:textId="12DDDF9E" w:rsidR="003F7A6B" w:rsidRPr="00F77F17" w:rsidRDefault="003F7A6B" w:rsidP="008640B8">
            <w:pPr>
              <w:contextualSpacing/>
              <w:rPr>
                <w:bCs/>
                <w:i/>
                <w:iCs/>
                <w:sz w:val="24"/>
                <w:szCs w:val="24"/>
              </w:rPr>
            </w:pPr>
            <w:r w:rsidRPr="00F77F17">
              <w:rPr>
                <w:bCs/>
                <w:i/>
                <w:iCs/>
                <w:sz w:val="24"/>
                <w:szCs w:val="24"/>
              </w:rPr>
              <w:t>Goat Anti-Mouse IgG</w:t>
            </w:r>
            <w:r>
              <w:rPr>
                <w:bCs/>
                <w:i/>
                <w:iCs/>
                <w:sz w:val="24"/>
                <w:szCs w:val="24"/>
              </w:rPr>
              <w:t xml:space="preserve"> (H&amp;L)</w:t>
            </w:r>
            <w:r w:rsidRPr="00F77F17">
              <w:rPr>
                <w:bCs/>
                <w:i/>
                <w:iCs/>
                <w:sz w:val="24"/>
                <w:szCs w:val="24"/>
              </w:rPr>
              <w:t xml:space="preserve">, DyLight™ </w:t>
            </w:r>
            <w:r>
              <w:rPr>
                <w:bCs/>
                <w:i/>
                <w:iCs/>
                <w:sz w:val="24"/>
                <w:szCs w:val="24"/>
              </w:rPr>
              <w:t>488</w:t>
            </w:r>
            <w:r w:rsidRPr="00F77F17">
              <w:rPr>
                <w:bCs/>
                <w:i/>
                <w:iCs/>
                <w:sz w:val="24"/>
                <w:szCs w:val="24"/>
              </w:rPr>
              <w:t xml:space="preserve"> </w:t>
            </w:r>
          </w:p>
        </w:tc>
        <w:tc>
          <w:tcPr>
            <w:tcW w:w="0" w:type="auto"/>
            <w:gridSpan w:val="2"/>
          </w:tcPr>
          <w:p w14:paraId="257B1378" w14:textId="67390B0A" w:rsidR="003F7A6B" w:rsidRPr="00F77F17" w:rsidRDefault="003F7A6B" w:rsidP="008640B8">
            <w:pPr>
              <w:contextualSpacing/>
              <w:rPr>
                <w:bCs/>
                <w:sz w:val="24"/>
                <w:szCs w:val="24"/>
              </w:rPr>
            </w:pPr>
            <w:r w:rsidRPr="00F77F17">
              <w:rPr>
                <w:bCs/>
                <w:sz w:val="24"/>
                <w:szCs w:val="24"/>
              </w:rPr>
              <w:t>Thermo Scientific</w:t>
            </w:r>
            <w:r w:rsidR="00614769">
              <w:rPr>
                <w:bCs/>
                <w:sz w:val="24"/>
                <w:szCs w:val="24"/>
              </w:rPr>
              <w:t xml:space="preserve">; </w:t>
            </w:r>
            <w:r>
              <w:rPr>
                <w:bCs/>
                <w:sz w:val="24"/>
                <w:szCs w:val="24"/>
              </w:rPr>
              <w:t>35502 (1 mg/mL)</w:t>
            </w:r>
          </w:p>
        </w:tc>
        <w:tc>
          <w:tcPr>
            <w:tcW w:w="0" w:type="auto"/>
          </w:tcPr>
          <w:p w14:paraId="7DA6AE31" w14:textId="77777777" w:rsidR="003F7A6B" w:rsidRPr="00F77F17" w:rsidRDefault="003F7A6B" w:rsidP="008640B8">
            <w:pPr>
              <w:contextualSpacing/>
              <w:rPr>
                <w:bCs/>
                <w:sz w:val="24"/>
                <w:szCs w:val="24"/>
              </w:rPr>
            </w:pPr>
            <w:r w:rsidRPr="00F77F17">
              <w:rPr>
                <w:bCs/>
                <w:sz w:val="24"/>
                <w:szCs w:val="24"/>
              </w:rPr>
              <w:t>[1:500]</w:t>
            </w:r>
          </w:p>
        </w:tc>
        <w:tc>
          <w:tcPr>
            <w:tcW w:w="0" w:type="auto"/>
          </w:tcPr>
          <w:p w14:paraId="7E759891" w14:textId="25BA6DDD" w:rsidR="003F7A6B" w:rsidRPr="003F7A6B" w:rsidRDefault="003F7A6B" w:rsidP="008640B8">
            <w:pPr>
              <w:keepNext/>
              <w:contextualSpacing/>
              <w:rPr>
                <w:bCs/>
                <w:sz w:val="24"/>
                <w:szCs w:val="24"/>
              </w:rPr>
            </w:pPr>
            <w:r>
              <w:rPr>
                <w:bCs/>
                <w:sz w:val="24"/>
                <w:szCs w:val="24"/>
              </w:rPr>
              <w:t>Filaggrin or Cytokeratin 10 secondary</w:t>
            </w:r>
          </w:p>
        </w:tc>
      </w:tr>
      <w:tr w:rsidR="001830E2" w:rsidRPr="00F77F17" w14:paraId="18A8F24D" w14:textId="77777777" w:rsidTr="001830E2">
        <w:trPr>
          <w:trHeight w:val="20"/>
        </w:trPr>
        <w:tc>
          <w:tcPr>
            <w:tcW w:w="0" w:type="auto"/>
            <w:gridSpan w:val="5"/>
          </w:tcPr>
          <w:p w14:paraId="160D5600" w14:textId="77777777" w:rsidR="001830E2" w:rsidRDefault="001830E2" w:rsidP="001830E2">
            <w:pPr>
              <w:keepNext/>
              <w:contextualSpacing/>
              <w:jc w:val="center"/>
              <w:rPr>
                <w:b/>
                <w:sz w:val="24"/>
                <w:szCs w:val="24"/>
              </w:rPr>
            </w:pPr>
          </w:p>
        </w:tc>
      </w:tr>
      <w:tr w:rsidR="001830E2" w:rsidRPr="00F77F17" w14:paraId="57A029AC" w14:textId="77777777" w:rsidTr="001830E2">
        <w:trPr>
          <w:trHeight w:val="20"/>
        </w:trPr>
        <w:tc>
          <w:tcPr>
            <w:tcW w:w="0" w:type="auto"/>
            <w:gridSpan w:val="5"/>
          </w:tcPr>
          <w:p w14:paraId="2DD4CBEE" w14:textId="4D03C5AA" w:rsidR="001830E2" w:rsidRPr="001830E2" w:rsidRDefault="00E42552" w:rsidP="001830E2">
            <w:pPr>
              <w:keepNext/>
              <w:contextualSpacing/>
              <w:jc w:val="center"/>
              <w:rPr>
                <w:b/>
                <w:sz w:val="24"/>
                <w:szCs w:val="24"/>
              </w:rPr>
            </w:pPr>
            <w:r>
              <w:rPr>
                <w:b/>
                <w:sz w:val="24"/>
                <w:szCs w:val="24"/>
              </w:rPr>
              <w:t>BLOCKING BUFFER</w:t>
            </w:r>
            <w:r w:rsidR="001830E2">
              <w:rPr>
                <w:b/>
                <w:sz w:val="24"/>
                <w:szCs w:val="24"/>
              </w:rPr>
              <w:t xml:space="preserve"> </w:t>
            </w:r>
            <w:r w:rsidR="001830E2" w:rsidRPr="001830E2">
              <w:rPr>
                <w:bCs/>
                <w:sz w:val="24"/>
                <w:szCs w:val="24"/>
              </w:rPr>
              <w:t>(500 mL)</w:t>
            </w:r>
          </w:p>
        </w:tc>
      </w:tr>
      <w:tr w:rsidR="001830E2" w:rsidRPr="00F77F17" w14:paraId="4161960D" w14:textId="77777777" w:rsidTr="001830E2">
        <w:trPr>
          <w:trHeight w:val="20"/>
        </w:trPr>
        <w:tc>
          <w:tcPr>
            <w:tcW w:w="5108" w:type="dxa"/>
            <w:gridSpan w:val="2"/>
          </w:tcPr>
          <w:p w14:paraId="76FEDD1A" w14:textId="77777777" w:rsidR="001830E2" w:rsidRPr="001830E2" w:rsidRDefault="001830E2" w:rsidP="001830E2">
            <w:pPr>
              <w:contextualSpacing/>
              <w:jc w:val="right"/>
              <w:rPr>
                <w:b/>
                <w:i/>
                <w:iCs/>
                <w:sz w:val="24"/>
                <w:szCs w:val="24"/>
              </w:rPr>
            </w:pPr>
            <w:r w:rsidRPr="001830E2">
              <w:rPr>
                <w:b/>
                <w:i/>
                <w:iCs/>
                <w:sz w:val="24"/>
                <w:szCs w:val="24"/>
              </w:rPr>
              <w:t>Reagent</w:t>
            </w:r>
          </w:p>
        </w:tc>
        <w:tc>
          <w:tcPr>
            <w:tcW w:w="5682" w:type="dxa"/>
            <w:gridSpan w:val="3"/>
          </w:tcPr>
          <w:p w14:paraId="72946131" w14:textId="61623A53" w:rsidR="001830E2" w:rsidRPr="001830E2" w:rsidRDefault="001830E2" w:rsidP="008640B8">
            <w:pPr>
              <w:keepNext/>
              <w:contextualSpacing/>
              <w:rPr>
                <w:b/>
                <w:i/>
                <w:iCs/>
                <w:sz w:val="24"/>
                <w:szCs w:val="24"/>
              </w:rPr>
            </w:pPr>
            <w:r w:rsidRPr="001830E2">
              <w:rPr>
                <w:b/>
                <w:i/>
                <w:iCs/>
                <w:sz w:val="24"/>
                <w:szCs w:val="24"/>
              </w:rPr>
              <w:t>Amount</w:t>
            </w:r>
          </w:p>
        </w:tc>
      </w:tr>
      <w:tr w:rsidR="001830E2" w:rsidRPr="00F77F17" w14:paraId="5B88AD87" w14:textId="77777777" w:rsidTr="001830E2">
        <w:trPr>
          <w:trHeight w:val="20"/>
        </w:trPr>
        <w:tc>
          <w:tcPr>
            <w:tcW w:w="5108" w:type="dxa"/>
            <w:gridSpan w:val="2"/>
          </w:tcPr>
          <w:p w14:paraId="581629F0" w14:textId="08210C89" w:rsidR="001830E2" w:rsidRPr="001830E2" w:rsidRDefault="001830E2" w:rsidP="001830E2">
            <w:pPr>
              <w:contextualSpacing/>
              <w:jc w:val="right"/>
              <w:rPr>
                <w:bCs/>
                <w:sz w:val="24"/>
                <w:szCs w:val="24"/>
              </w:rPr>
            </w:pPr>
            <w:r>
              <w:rPr>
                <w:bCs/>
                <w:sz w:val="24"/>
                <w:szCs w:val="24"/>
              </w:rPr>
              <w:t>ddH</w:t>
            </w:r>
            <w:r>
              <w:rPr>
                <w:bCs/>
                <w:sz w:val="24"/>
                <w:szCs w:val="24"/>
                <w:vertAlign w:val="subscript"/>
              </w:rPr>
              <w:t>2</w:t>
            </w:r>
            <w:r>
              <w:rPr>
                <w:bCs/>
                <w:sz w:val="24"/>
                <w:szCs w:val="24"/>
              </w:rPr>
              <w:t>O</w:t>
            </w:r>
          </w:p>
        </w:tc>
        <w:tc>
          <w:tcPr>
            <w:tcW w:w="5682" w:type="dxa"/>
            <w:gridSpan w:val="3"/>
          </w:tcPr>
          <w:p w14:paraId="6553D113" w14:textId="5071852F" w:rsidR="001830E2" w:rsidRDefault="001830E2" w:rsidP="008640B8">
            <w:pPr>
              <w:keepNext/>
              <w:contextualSpacing/>
              <w:rPr>
                <w:bCs/>
                <w:sz w:val="24"/>
                <w:szCs w:val="24"/>
              </w:rPr>
            </w:pPr>
            <w:r>
              <w:rPr>
                <w:bCs/>
                <w:sz w:val="24"/>
                <w:szCs w:val="24"/>
              </w:rPr>
              <w:t>450 mL</w:t>
            </w:r>
          </w:p>
        </w:tc>
      </w:tr>
      <w:tr w:rsidR="001830E2" w:rsidRPr="00F77F17" w14:paraId="4ACB76B0" w14:textId="77777777" w:rsidTr="001830E2">
        <w:trPr>
          <w:trHeight w:val="20"/>
        </w:trPr>
        <w:tc>
          <w:tcPr>
            <w:tcW w:w="5108" w:type="dxa"/>
            <w:gridSpan w:val="2"/>
          </w:tcPr>
          <w:p w14:paraId="4D186F9F" w14:textId="764AE4C4" w:rsidR="001830E2" w:rsidRPr="001830E2" w:rsidRDefault="001830E2" w:rsidP="001830E2">
            <w:pPr>
              <w:contextualSpacing/>
              <w:jc w:val="right"/>
              <w:rPr>
                <w:bCs/>
                <w:sz w:val="24"/>
                <w:szCs w:val="24"/>
              </w:rPr>
            </w:pPr>
            <w:r>
              <w:rPr>
                <w:bCs/>
                <w:sz w:val="24"/>
                <w:szCs w:val="24"/>
              </w:rPr>
              <w:t>10 x PBS</w:t>
            </w:r>
          </w:p>
        </w:tc>
        <w:tc>
          <w:tcPr>
            <w:tcW w:w="5682" w:type="dxa"/>
            <w:gridSpan w:val="3"/>
          </w:tcPr>
          <w:p w14:paraId="3D7EF6B6" w14:textId="7E06D20C" w:rsidR="001830E2" w:rsidRDefault="001830E2" w:rsidP="008640B8">
            <w:pPr>
              <w:keepNext/>
              <w:contextualSpacing/>
              <w:rPr>
                <w:bCs/>
                <w:sz w:val="24"/>
                <w:szCs w:val="24"/>
              </w:rPr>
            </w:pPr>
            <w:r>
              <w:rPr>
                <w:bCs/>
                <w:sz w:val="24"/>
                <w:szCs w:val="24"/>
              </w:rPr>
              <w:t>50 mL</w:t>
            </w:r>
          </w:p>
        </w:tc>
      </w:tr>
      <w:tr w:rsidR="001830E2" w:rsidRPr="00F77F17" w14:paraId="59833863" w14:textId="77777777" w:rsidTr="001830E2">
        <w:trPr>
          <w:trHeight w:val="20"/>
        </w:trPr>
        <w:tc>
          <w:tcPr>
            <w:tcW w:w="5108" w:type="dxa"/>
            <w:gridSpan w:val="2"/>
          </w:tcPr>
          <w:p w14:paraId="2006ADC3" w14:textId="641A804C" w:rsidR="001830E2" w:rsidRPr="001830E2" w:rsidRDefault="001830E2" w:rsidP="001830E2">
            <w:pPr>
              <w:contextualSpacing/>
              <w:jc w:val="right"/>
              <w:rPr>
                <w:bCs/>
                <w:sz w:val="24"/>
                <w:szCs w:val="24"/>
              </w:rPr>
            </w:pPr>
            <w:r>
              <w:rPr>
                <w:bCs/>
                <w:sz w:val="24"/>
                <w:szCs w:val="24"/>
              </w:rPr>
              <w:t>Bovine Serum Albumin (BSA)</w:t>
            </w:r>
          </w:p>
        </w:tc>
        <w:tc>
          <w:tcPr>
            <w:tcW w:w="5682" w:type="dxa"/>
            <w:gridSpan w:val="3"/>
          </w:tcPr>
          <w:p w14:paraId="3B44CD42" w14:textId="2B862950" w:rsidR="001830E2" w:rsidRDefault="001830E2" w:rsidP="008640B8">
            <w:pPr>
              <w:keepNext/>
              <w:contextualSpacing/>
              <w:rPr>
                <w:bCs/>
                <w:sz w:val="24"/>
                <w:szCs w:val="24"/>
              </w:rPr>
            </w:pPr>
            <w:r>
              <w:rPr>
                <w:bCs/>
                <w:sz w:val="24"/>
                <w:szCs w:val="24"/>
              </w:rPr>
              <w:t>5 g</w:t>
            </w:r>
          </w:p>
        </w:tc>
      </w:tr>
      <w:tr w:rsidR="001830E2" w:rsidRPr="00F77F17" w14:paraId="3F63444D" w14:textId="77777777" w:rsidTr="001830E2">
        <w:trPr>
          <w:trHeight w:val="20"/>
        </w:trPr>
        <w:tc>
          <w:tcPr>
            <w:tcW w:w="5108" w:type="dxa"/>
            <w:gridSpan w:val="2"/>
          </w:tcPr>
          <w:p w14:paraId="099EC108" w14:textId="5AE1C32F" w:rsidR="001830E2" w:rsidRDefault="001830E2" w:rsidP="001830E2">
            <w:pPr>
              <w:contextualSpacing/>
              <w:jc w:val="right"/>
              <w:rPr>
                <w:bCs/>
                <w:sz w:val="24"/>
                <w:szCs w:val="24"/>
              </w:rPr>
            </w:pPr>
            <w:r>
              <w:rPr>
                <w:bCs/>
                <w:sz w:val="24"/>
                <w:szCs w:val="24"/>
              </w:rPr>
              <w:t>Tween 20</w:t>
            </w:r>
          </w:p>
        </w:tc>
        <w:tc>
          <w:tcPr>
            <w:tcW w:w="5682" w:type="dxa"/>
            <w:gridSpan w:val="3"/>
          </w:tcPr>
          <w:p w14:paraId="2A5FFC6A" w14:textId="7533CF64" w:rsidR="001830E2" w:rsidRDefault="001830E2" w:rsidP="008640B8">
            <w:pPr>
              <w:keepNext/>
              <w:contextualSpacing/>
              <w:rPr>
                <w:bCs/>
                <w:sz w:val="24"/>
                <w:szCs w:val="24"/>
              </w:rPr>
            </w:pPr>
            <w:r>
              <w:rPr>
                <w:bCs/>
                <w:sz w:val="24"/>
                <w:szCs w:val="24"/>
              </w:rPr>
              <w:t>0.5 mL</w:t>
            </w:r>
          </w:p>
        </w:tc>
      </w:tr>
      <w:tr w:rsidR="001830E2" w:rsidRPr="00F77F17" w14:paraId="037065DD" w14:textId="77777777" w:rsidTr="001830E2">
        <w:trPr>
          <w:trHeight w:val="20"/>
        </w:trPr>
        <w:tc>
          <w:tcPr>
            <w:tcW w:w="5108" w:type="dxa"/>
            <w:gridSpan w:val="2"/>
          </w:tcPr>
          <w:p w14:paraId="06738374" w14:textId="7DC34E80" w:rsidR="001830E2" w:rsidRDefault="001830E2" w:rsidP="001830E2">
            <w:pPr>
              <w:contextualSpacing/>
              <w:jc w:val="right"/>
              <w:rPr>
                <w:bCs/>
                <w:sz w:val="24"/>
                <w:szCs w:val="24"/>
              </w:rPr>
            </w:pPr>
            <w:r>
              <w:rPr>
                <w:bCs/>
                <w:sz w:val="24"/>
                <w:szCs w:val="24"/>
              </w:rPr>
              <w:t>Cold water Fish Gelatin</w:t>
            </w:r>
          </w:p>
        </w:tc>
        <w:tc>
          <w:tcPr>
            <w:tcW w:w="5682" w:type="dxa"/>
            <w:gridSpan w:val="3"/>
          </w:tcPr>
          <w:p w14:paraId="1886B8E8" w14:textId="3E41EEA7" w:rsidR="001830E2" w:rsidRDefault="001830E2" w:rsidP="008640B8">
            <w:pPr>
              <w:keepNext/>
              <w:contextualSpacing/>
              <w:rPr>
                <w:bCs/>
                <w:sz w:val="24"/>
                <w:szCs w:val="24"/>
              </w:rPr>
            </w:pPr>
            <w:r>
              <w:rPr>
                <w:bCs/>
                <w:sz w:val="24"/>
                <w:szCs w:val="24"/>
              </w:rPr>
              <w:t>1 g</w:t>
            </w:r>
          </w:p>
        </w:tc>
      </w:tr>
      <w:tr w:rsidR="001830E2" w:rsidRPr="00F77F17" w14:paraId="0650FB6B" w14:textId="77777777" w:rsidTr="001830E2">
        <w:trPr>
          <w:trHeight w:val="20"/>
        </w:trPr>
        <w:tc>
          <w:tcPr>
            <w:tcW w:w="5108" w:type="dxa"/>
            <w:gridSpan w:val="2"/>
          </w:tcPr>
          <w:p w14:paraId="2CAD55E9" w14:textId="2F370A77" w:rsidR="001830E2" w:rsidRPr="001830E2" w:rsidRDefault="001830E2" w:rsidP="001830E2">
            <w:pPr>
              <w:contextualSpacing/>
              <w:jc w:val="right"/>
              <w:rPr>
                <w:bCs/>
                <w:sz w:val="24"/>
                <w:szCs w:val="24"/>
              </w:rPr>
            </w:pPr>
            <w:r>
              <w:rPr>
                <w:bCs/>
                <w:sz w:val="24"/>
                <w:szCs w:val="24"/>
              </w:rPr>
              <w:t>Sodium Azide (10% Sodium Azide in diH</w:t>
            </w:r>
            <w:r>
              <w:rPr>
                <w:bCs/>
                <w:sz w:val="24"/>
                <w:szCs w:val="24"/>
                <w:vertAlign w:val="subscript"/>
              </w:rPr>
              <w:t>2</w:t>
            </w:r>
            <w:r>
              <w:rPr>
                <w:bCs/>
                <w:sz w:val="24"/>
                <w:szCs w:val="24"/>
              </w:rPr>
              <w:t>O)</w:t>
            </w:r>
          </w:p>
        </w:tc>
        <w:tc>
          <w:tcPr>
            <w:tcW w:w="5682" w:type="dxa"/>
            <w:gridSpan w:val="3"/>
          </w:tcPr>
          <w:p w14:paraId="10C590CE" w14:textId="0AF35E53" w:rsidR="001830E2" w:rsidRDefault="001830E2" w:rsidP="008640B8">
            <w:pPr>
              <w:keepNext/>
              <w:contextualSpacing/>
              <w:rPr>
                <w:bCs/>
                <w:sz w:val="24"/>
                <w:szCs w:val="24"/>
              </w:rPr>
            </w:pPr>
            <w:r>
              <w:rPr>
                <w:bCs/>
                <w:sz w:val="24"/>
                <w:szCs w:val="24"/>
              </w:rPr>
              <w:t>5 mL (0.1 % final concentration)</w:t>
            </w:r>
          </w:p>
        </w:tc>
      </w:tr>
    </w:tbl>
    <w:p w14:paraId="2B88FF79" w14:textId="77777777" w:rsidR="00F76246" w:rsidRDefault="00BF0A26"/>
    <w:sectPr w:rsidR="00F76246" w:rsidSect="003F7A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6B"/>
    <w:rsid w:val="001830E2"/>
    <w:rsid w:val="002330B9"/>
    <w:rsid w:val="00275007"/>
    <w:rsid w:val="003F7A6B"/>
    <w:rsid w:val="00614769"/>
    <w:rsid w:val="009444AA"/>
    <w:rsid w:val="00BF0A26"/>
    <w:rsid w:val="00C609DC"/>
    <w:rsid w:val="00CB3F88"/>
    <w:rsid w:val="00DD7706"/>
    <w:rsid w:val="00E4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9B1D"/>
  <w15:chartTrackingRefBased/>
  <w15:docId w15:val="{C812A649-6C35-419F-9251-4A14E5F7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7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2470</Words>
  <Characters>14079</Characters>
  <Application>Microsoft Office Word</Application>
  <DocSecurity>0</DocSecurity>
  <Lines>117</Lines>
  <Paragraphs>33</Paragraphs>
  <ScaleCrop>false</ScaleCrop>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Sanchez</dc:creator>
  <cp:keywords/>
  <dc:description/>
  <cp:lastModifiedBy>Joshua</cp:lastModifiedBy>
  <cp:revision>7</cp:revision>
  <dcterms:created xsi:type="dcterms:W3CDTF">2020-09-28T05:09:00Z</dcterms:created>
  <dcterms:modified xsi:type="dcterms:W3CDTF">2020-09-29T17:35:00Z</dcterms:modified>
</cp:coreProperties>
</file>