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Site Specific Lysine Acetylation of Histones for Nucleosome Reconstitution Using Genetic Code Expansion in </w:t>
      </w:r>
      <w:r>
        <w:rPr>
          <w:rFonts w:ascii="Calibri" w:hAnsi="Calibri" w:cs="Calibri" w:eastAsia="Calibri"/>
          <w:i/>
          <w:color w:val="000000"/>
          <w:spacing w:val="0"/>
          <w:position w:val="0"/>
          <w:sz w:val="24"/>
          <w:shd w:fill="auto" w:val="clear"/>
        </w:rPr>
        <w:t xml:space="preserve">Escherichia coli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Chesley Marie Rowlett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Wenshe Ray Liu</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Texas A&amp;amp;M University, College Station, Texas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Chesley Marie Rowlett (</w:t>
      </w:r>
      <w:r>
        <w:rPr>
          <w:rFonts w:ascii="Calibri" w:hAnsi="Calibri" w:cs="Calibri" w:eastAsia="Calibri"/>
          <w:color w:val="auto"/>
          <w:spacing w:val="0"/>
          <w:position w:val="0"/>
          <w:sz w:val="24"/>
          <w:shd w:fill="auto" w:val="clear"/>
        </w:rPr>
        <w:t xml:space="preserve">cmrowlett@tamu.edu)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Wenshe Ray Liu (</w:t>
      </w:r>
      <w:r>
        <w:rPr>
          <w:rFonts w:ascii="Calibri" w:hAnsi="Calibri" w:cs="Calibri" w:eastAsia="Calibri"/>
          <w:color w:val="auto"/>
          <w:spacing w:val="0"/>
          <w:position w:val="0"/>
          <w:sz w:val="24"/>
          <w:shd w:fill="FFFFFF" w:val="clear"/>
        </w:rPr>
        <w:t xml:space="preserve">wliu@chem.tamu.edu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nucleosome, acetylation, pyrrolysine, genetic code expansion, post translational modifications, protein modifications, histones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method to express acetylated histone proteins using genetic code expansion and assemble reconstituted nucleosomes in vitro.</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Acetylated histone proteins can be easily expressed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encoding a mutant, </w:t>
      </w:r>
      <w:r>
        <w:rPr>
          <w:rFonts w:ascii="Calibri" w:hAnsi="Calibri" w:cs="Calibri" w:eastAsia="Calibri"/>
          <w:i/>
          <w:color w:val="000000"/>
          <w:spacing w:val="0"/>
          <w:position w:val="0"/>
          <w:sz w:val="24"/>
          <w:shd w:fill="auto" w:val="clear"/>
        </w:rPr>
        <w:t xml:space="preserve">N</w:t>
      </w:r>
      <w:r>
        <w:rPr>
          <w:rFonts w:ascii="Symbol" w:hAnsi="Symbol" w:cs="Symbol" w:eastAsia="Symbol"/>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-acetyl-lysine (AcK)-specific </w:t>
      </w:r>
      <w:r>
        <w:rPr>
          <w:rFonts w:ascii="Calibri" w:hAnsi="Calibri" w:cs="Calibri" w:eastAsia="Calibri"/>
          <w:i/>
          <w:color w:val="000000"/>
          <w:spacing w:val="0"/>
          <w:position w:val="0"/>
          <w:sz w:val="24"/>
          <w:shd w:fill="auto" w:val="clear"/>
        </w:rPr>
        <w:t xml:space="preserve">Methanosarcina mazi </w:t>
      </w:r>
      <w:r>
        <w:rPr>
          <w:rFonts w:ascii="Calibri" w:hAnsi="Calibri" w:cs="Calibri" w:eastAsia="Calibri"/>
          <w:color w:val="000000"/>
          <w:spacing w:val="0"/>
          <w:position w:val="0"/>
          <w:sz w:val="24"/>
          <w:shd w:fill="auto" w:val="clear"/>
        </w:rPr>
        <w:t xml:space="preserve">pyrrolysine tRNA-synthetase (MmAcKRS1) and its cognate tRNA (tRNA</w:t>
      </w:r>
      <w:r>
        <w:rPr>
          <w:rFonts w:ascii="Calibri" w:hAnsi="Calibri" w:cs="Calibri" w:eastAsia="Calibri"/>
          <w:color w:val="000000"/>
          <w:spacing w:val="0"/>
          <w:position w:val="0"/>
          <w:sz w:val="24"/>
          <w:shd w:fill="auto" w:val="clear"/>
          <w:vertAlign w:val="superscript"/>
        </w:rPr>
        <w:t xml:space="preserve">Pyl</w:t>
      </w:r>
      <w:r>
        <w:rPr>
          <w:rFonts w:ascii="Calibri" w:hAnsi="Calibri" w:cs="Calibri" w:eastAsia="Calibri"/>
          <w:color w:val="000000"/>
          <w:spacing w:val="0"/>
          <w:position w:val="0"/>
          <w:sz w:val="24"/>
          <w:shd w:fill="auto" w:val="clear"/>
        </w:rPr>
        <w:t xml:space="preserve">) to assemble reconstituted mononucleosomes with site specific acetylated histones. MmAcKRS1 and tRNA</w:t>
      </w:r>
      <w:r>
        <w:rPr>
          <w:rFonts w:ascii="Calibri" w:hAnsi="Calibri" w:cs="Calibri" w:eastAsia="Calibri"/>
          <w:color w:val="000000"/>
          <w:spacing w:val="0"/>
          <w:position w:val="0"/>
          <w:sz w:val="24"/>
          <w:shd w:fill="auto" w:val="clear"/>
          <w:vertAlign w:val="superscript"/>
        </w:rPr>
        <w:t xml:space="preserve">Pyl</w:t>
      </w:r>
      <w:r>
        <w:rPr>
          <w:rFonts w:ascii="Calibri" w:hAnsi="Calibri" w:cs="Calibri" w:eastAsia="Calibri"/>
          <w:color w:val="000000"/>
          <w:spacing w:val="0"/>
          <w:position w:val="0"/>
          <w:sz w:val="24"/>
          <w:shd w:fill="auto" w:val="clear"/>
        </w:rPr>
        <w:t xml:space="preserve"> deliver AcK at an amber mutation site in the mRNA of choice during translation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This technique has been used extensively to incorporate AcK at H3 lysine sites. Pyrrolysyl-tRNA synthetase (PylRS) can also be easily evolved to incorporate other noncanonical amino acids (ncAAs) for site specific protein modification or functionalization. Here we detail a method to incorporate AcK using the MmAcKRS1 system into histone H3 and integrate acetylated H3 proteins into reconstituted mononucleosomes. Acetylated reconstituted mononucleosomes can be used in biochemical and binding assays, structure determination, and more. Obtaining modified mononucleosomes is crucial for designing experiments related to discovering new interactions and understanding epigenetics.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utilized PylRS and tRNA</w:t>
      </w:r>
      <w:r>
        <w:rPr>
          <w:rFonts w:ascii="Calibri" w:hAnsi="Calibri" w:cs="Calibri" w:eastAsia="Calibri"/>
          <w:color w:val="000000"/>
          <w:spacing w:val="0"/>
          <w:position w:val="0"/>
          <w:sz w:val="24"/>
          <w:shd w:fill="auto" w:val="clear"/>
          <w:vertAlign w:val="superscript"/>
        </w:rPr>
        <w:t xml:space="preserve">Pyl</w:t>
      </w:r>
      <w:r>
        <w:rPr>
          <w:rFonts w:ascii="Calibri" w:hAnsi="Calibri" w:cs="Calibri" w:eastAsia="Calibri"/>
          <w:color w:val="000000"/>
          <w:spacing w:val="0"/>
          <w:position w:val="0"/>
          <w:sz w:val="24"/>
          <w:shd w:fill="auto" w:val="clear"/>
        </w:rPr>
        <w:t xml:space="preserve"> to synthesize and assemble reconstituted mononucleosomes with site specific acetylated histones. PylRS has proven invaluable as a genetic code expansion tool to produce proteins with post translational modifications (PTMs) and has been genetically evolved to incorporate about 200 different ncAAs. PylRS incorporates at an amber stop codon, removing competition from other amino acids during translation. PylRS was first discovered in methanogenic archaea, and has since been utilized in chemical biology to incorporate novel reactive chemical groups into proteins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MmAcKRS1 was evolved from </w:t>
      </w:r>
      <w:r>
        <w:rPr>
          <w:rFonts w:ascii="Calibri" w:hAnsi="Calibri" w:cs="Calibri" w:eastAsia="Calibri"/>
          <w:i/>
          <w:color w:val="000000"/>
          <w:spacing w:val="0"/>
          <w:position w:val="0"/>
          <w:sz w:val="24"/>
          <w:shd w:fill="auto" w:val="clear"/>
        </w:rPr>
        <w:t xml:space="preserve">Methanosarcina mazei</w:t>
      </w:r>
      <w:r>
        <w:rPr>
          <w:rFonts w:ascii="Calibri" w:hAnsi="Calibri" w:cs="Calibri" w:eastAsia="Calibri"/>
          <w:color w:val="000000"/>
          <w:spacing w:val="0"/>
          <w:position w:val="0"/>
          <w:sz w:val="24"/>
          <w:shd w:fill="auto" w:val="clear"/>
        </w:rPr>
        <w:t xml:space="preserve"> PylRS and frequently used in our laboratory for the synthesis of acetylated proteins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MmAcKRS1 delivers AcK at an amber mutation site in the mRNA of choice during translation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This technique has been previously used to incorporate AcK at K4, K9, K14, K18, K23, K27, K36, K56, K64, and K79 histone H3 lysine sites to study the activity of Sirtuin 1, 2, 6, and 7 on acetylated mononucleosomes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Here we detail this method to express acetylated histones and reconstitute acetylated nucleosomes.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Plasmid 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Begin by deciding which histone protein will be acetylated and at which lysine site. Mutate the site to the amber stop codon (TAG) using site directed mutagenesis.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four previously designed plasmids utilized for expression of histone proteins. All four histone proteins were cloned into the pETDuet-1 vector with an N-terminal histidine tag. Histone H4 also includes a SUMO tag, the origin of replication </w:t>
      </w:r>
      <w:r>
        <w:rPr>
          <w:rFonts w:ascii="Calibri" w:hAnsi="Calibri" w:cs="Calibri" w:eastAsia="Calibri"/>
          <w:i/>
          <w:color w:val="000000"/>
          <w:spacing w:val="0"/>
          <w:position w:val="0"/>
          <w:sz w:val="24"/>
          <w:shd w:fill="auto" w:val="clear"/>
        </w:rPr>
        <w:t xml:space="preserve">colE1</w:t>
      </w:r>
      <w:r>
        <w:rPr>
          <w:rFonts w:ascii="Calibri" w:hAnsi="Calibri" w:cs="Calibri" w:eastAsia="Calibri"/>
          <w:color w:val="000000"/>
          <w:spacing w:val="0"/>
          <w:position w:val="0"/>
          <w:sz w:val="24"/>
          <w:shd w:fill="auto" w:val="clear"/>
        </w:rPr>
        <w:t xml:space="preserve"> with a copy number of approximately 40, ampicillin resistant, and a T7 promoter.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Design forward and reverse primers that contain a TAG mutation at the desired site (replacing an existing lysine codon with the amber stop codon) in one of the four histone protein plasmids.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Use the whole-plasmid PCR to amplify the TAG containing plasmid. Determine an appropriate annealing temperature for the primers. In general, the melting temperature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the primers minus 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will be sufficient. If difficulty is experienced obtaining a PCR product, a temperature gradient around T</w:t>
      </w:r>
      <w:r>
        <w:rPr>
          <w:rFonts w:ascii="Calibri" w:hAnsi="Calibri" w:cs="Calibri" w:eastAsia="Calibri"/>
          <w:color w:val="000000"/>
          <w:spacing w:val="0"/>
          <w:position w:val="0"/>
          <w:sz w:val="24"/>
          <w:shd w:fill="auto" w:val="clear"/>
          <w:vertAlign w:val="subscript"/>
        </w:rPr>
        <w:t xml:space="preserve">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can be used to optimize the annealing temperature for amplification.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experiment an in-house expressed PFU polymerase was used for 30 cycles with the following conditions: 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30 s (denaturation), annealing temperature for 30 s, and 72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6 min (or 1 min per kilobase-pairs). For more details on this type of PCR method see Liu and Naismith</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Clean up the PCR product with a PCR clean up kit following manufacturer’s recommendation. Analyze the PCR product by agarose gel electrophoresis and subsequent ethidium bromide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Ligate the plasmid by incubating with T4 ligase overnight at 16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First transform TAG containing plasmid (Amp</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into chemically competent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Pick a minimum of 4 colonies from the transformation and purify plasmid. Make cell stocks of each with glycerol using standard methods and store at -80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Send for sequencing to confirm the desired TAG mutation.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Once the sequence is confirmed, co-transform the TAG-containing plasmid (Amp</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with pEVOL-AckRS (Chl</w:t>
      </w:r>
      <w:r>
        <w:rPr>
          <w:rFonts w:ascii="Calibri" w:hAnsi="Calibri" w:cs="Calibri" w:eastAsia="Calibri"/>
          <w:color w:val="000000"/>
          <w:spacing w:val="0"/>
          <w:position w:val="0"/>
          <w:sz w:val="24"/>
          <w:shd w:fill="auto" w:val="clear"/>
          <w:vertAlign w:val="superscript"/>
        </w:rPr>
        <w:t xml:space="preserve">R</w:t>
      </w:r>
      <w:r>
        <w:rPr>
          <w:rFonts w:ascii="Calibri" w:hAnsi="Calibri" w:cs="Calibri" w:eastAsia="Calibri"/>
          <w:color w:val="000000"/>
          <w:spacing w:val="0"/>
          <w:position w:val="0"/>
          <w:sz w:val="24"/>
          <w:shd w:fill="auto" w:val="clear"/>
        </w:rPr>
        <w:t xml:space="preserve">) into chemically competent CobB (the only histone lysine deacetylase known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deletion BL21 cells using the heat shock method. pEVOL is a plasmid with a mid-copy-number to low-copy-number </w:t>
      </w:r>
      <w:r>
        <w:rPr>
          <w:rFonts w:ascii="Calibri" w:hAnsi="Calibri" w:cs="Calibri" w:eastAsia="Calibri"/>
          <w:i/>
          <w:color w:val="000000"/>
          <w:spacing w:val="0"/>
          <w:position w:val="0"/>
          <w:sz w:val="24"/>
          <w:shd w:fill="auto" w:val="clear"/>
        </w:rPr>
        <w:t xml:space="preserve">p15A</w:t>
      </w:r>
      <w:r>
        <w:rPr>
          <w:rFonts w:ascii="Calibri" w:hAnsi="Calibri" w:cs="Calibri" w:eastAsia="Calibri"/>
          <w:color w:val="000000"/>
          <w:spacing w:val="0"/>
          <w:position w:val="0"/>
          <w:sz w:val="24"/>
          <w:shd w:fill="auto" w:val="clear"/>
        </w:rPr>
        <w:t xml:space="preserve"> origin.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1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1A1718"/>
          <w:spacing w:val="0"/>
          <w:position w:val="0"/>
          <w:sz w:val="24"/>
          <w:shd w:fill="auto" w:val="clear"/>
        </w:rPr>
        <w:t xml:space="preserve"> The pEVOL series of plasmids were constructed based on previous studies that showed an increased expression of the orthogonal aaRS/tRNA</w:t>
      </w:r>
      <w:r>
        <w:rPr>
          <w:rFonts w:ascii="Calibri" w:hAnsi="Calibri" w:cs="Calibri" w:eastAsia="Calibri"/>
          <w:color w:val="auto"/>
          <w:spacing w:val="0"/>
          <w:position w:val="0"/>
          <w:sz w:val="24"/>
          <w:shd w:fill="auto" w:val="clear"/>
          <w:vertAlign w:val="superscript"/>
        </w:rPr>
        <w:t xml:space="preserve">Tyr</w:t>
      </w:r>
      <w:r>
        <w:rPr>
          <w:rFonts w:ascii="Calibri" w:hAnsi="Calibri" w:cs="Calibri" w:eastAsia="Calibri"/>
          <w:color w:val="1A1718"/>
          <w:spacing w:val="0"/>
          <w:position w:val="10"/>
          <w:sz w:val="24"/>
          <w:shd w:fill="auto" w:val="clear"/>
        </w:rPr>
        <w:t xml:space="preserve"> pair was effective in decreasing protein truncation and in increasing overall yields of mutant proteins</w:t>
      </w:r>
      <w:r>
        <w:rPr>
          <w:rFonts w:ascii="Calibri" w:hAnsi="Calibri" w:cs="Calibri" w:eastAsia="Calibri"/>
          <w:color w:val="000000"/>
          <w:spacing w:val="0"/>
          <w:position w:val="10"/>
          <w:sz w:val="24"/>
          <w:shd w:fill="auto" w:val="clear"/>
          <w:vertAlign w:val="superscript"/>
        </w:rPr>
        <w:t xml:space="preserve">8</w:t>
      </w:r>
      <w:r>
        <w:rPr>
          <w:rFonts w:ascii="Calibri" w:hAnsi="Calibri" w:cs="Calibri" w:eastAsia="Calibri"/>
          <w:color w:val="1A1718"/>
          <w:spacing w:val="0"/>
          <w:position w:val="10"/>
          <w:sz w:val="24"/>
          <w:shd w:fill="auto" w:val="clear"/>
        </w:rPr>
        <w:t xml:space="preserve">. </w:t>
      </w:r>
      <w:r>
        <w:rPr>
          <w:rFonts w:ascii="Calibri" w:hAnsi="Calibri" w:cs="Calibri" w:eastAsia="Calibri"/>
          <w:color w:val="000000"/>
          <w:spacing w:val="0"/>
          <w:position w:val="10"/>
          <w:sz w:val="24"/>
          <w:shd w:fill="auto" w:val="clear"/>
        </w:rPr>
        <w:t xml:space="preserve">If CobB deletion cells are not accessible, proceed with chemically competent BL21 cells. CobB is a Sirtuin-like histone lysine deacetylase and Nicotinamide can be added at a 5 mM final concentration during histone protein expression to inhibit CobB as an alternative approach</w:t>
      </w:r>
      <w:r>
        <w:rPr>
          <w:rFonts w:ascii="Calibri" w:hAnsi="Calibri" w:cs="Calibri" w:eastAsia="Calibri"/>
          <w:color w:val="000000"/>
          <w:spacing w:val="0"/>
          <w:position w:val="10"/>
          <w:sz w:val="24"/>
          <w:shd w:fill="auto" w:val="clear"/>
          <w:vertAlign w:val="superscript"/>
        </w:rPr>
        <w:t xml:space="preserve">9</w:t>
      </w:r>
      <w:r>
        <w:rPr>
          <w:rFonts w:ascii="Calibri" w:hAnsi="Calibri" w:cs="Calibri" w:eastAsia="Calibri"/>
          <w:color w:val="000000"/>
          <w:spacing w:val="0"/>
          <w:position w:val="10"/>
          <w:sz w:val="24"/>
          <w:shd w:fill="auto" w:val="clear"/>
        </w:rPr>
        <w:t xml:space="preserve">.</w:t>
      </w:r>
    </w:p>
    <w:p>
      <w:pPr>
        <w:spacing w:before="0" w:after="0" w:line="240"/>
        <w:ind w:right="0" w:left="0" w:firstLine="0"/>
        <w:jc w:val="both"/>
        <w:rPr>
          <w:rFonts w:ascii="Times" w:hAnsi="Times" w:cs="Times" w:eastAsia="Times"/>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Make a cell stock and store at -80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Acetylated histone protein expression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1 L of autoclaved 2YT media (or volume of choice) in a culture 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Inoculate 20 mL of 2YT media containing the appropriate antibiotics with the co-transformed cell stock that has the TAG-containing plasmid (Amp</w:t>
      </w:r>
      <w:r>
        <w:rPr>
          <w:rFonts w:ascii="Calibri" w:hAnsi="Calibri" w:cs="Calibri" w:eastAsia="Calibri"/>
          <w:color w:val="000000"/>
          <w:spacing w:val="0"/>
          <w:position w:val="0"/>
          <w:sz w:val="24"/>
          <w:shd w:fill="FFFF00" w:val="clear"/>
          <w:vertAlign w:val="superscript"/>
        </w:rPr>
        <w:t xml:space="preserve">R</w:t>
      </w:r>
      <w:r>
        <w:rPr>
          <w:rFonts w:ascii="Calibri" w:hAnsi="Calibri" w:cs="Calibri" w:eastAsia="Calibri"/>
          <w:color w:val="000000"/>
          <w:spacing w:val="0"/>
          <w:position w:val="0"/>
          <w:sz w:val="24"/>
          <w:shd w:fill="FFFF00" w:val="clear"/>
        </w:rPr>
        <w:t xml:space="preserve">) and pEVOL-AckRS (Chl</w:t>
      </w:r>
      <w:r>
        <w:rPr>
          <w:rFonts w:ascii="Calibri" w:hAnsi="Calibri" w:cs="Calibri" w:eastAsia="Calibri"/>
          <w:color w:val="000000"/>
          <w:spacing w:val="0"/>
          <w:position w:val="0"/>
          <w:sz w:val="24"/>
          <w:shd w:fill="FFFF00" w:val="clear"/>
          <w:vertAlign w:val="superscript"/>
        </w:rPr>
        <w:t xml:space="preserve">R</w:t>
      </w:r>
      <w:r>
        <w:rPr>
          <w:rFonts w:ascii="Calibri" w:hAnsi="Calibri" w:cs="Calibri" w:eastAsia="Calibri"/>
          <w:color w:val="000000"/>
          <w:spacing w:val="0"/>
          <w:position w:val="0"/>
          <w:sz w:val="24"/>
          <w:shd w:fill="FFFF00" w:val="clear"/>
        </w:rPr>
        <w:t xml:space="preserve">) and grow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to OD = 0.6 (4-6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Add the appropriate antibiotics to the 1 L of autoclaved 2YT media and inoculate with the 20 mL starter culture. Grow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to OD = 0.6-0.8 (2-3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Add inducing agents and acetyllysine (AcK) to the final concentrations of IPTG  1 mM, 0.2% arabinose, and AcK 5 mM.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Grow the culture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6-8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Pellet cells at 2,700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Store the cell pellet at -80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From this step onwards keep the sample on ice all times. Dissolve the cell pellet in 50 mL of histone lysis buffer per 1 L of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Sonicate according to the following cycle: 1 s on, 1 s off, total on time: 3 min at 60% amplitude.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Pellet inclusion bodies at 41,600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45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Discard the supernatant and resuspend inclusion bodies in 30 mL of histone lysis buffer. Pellet inclusion bodes at 41,600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Discard the supernatant and resuspend inclusion bodies in 30 mL of pellet wash buffer. Pellet inclusion bodies at 41,600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Discard the supernatant and dissolve inclusion bodies in 25 mL of 6 M Guanidine Hydrochloride (GuHCl) buffer. Incubate with agitation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 h.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needed, inclusion bodies can be incubated with agitation overnight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Pellet inclusion bodes at 41,600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45 min. Incubate the supernatant with 1 mL of Ni-NTA resin equilibrated with 6 M GuHCl buffer for 2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Proceed with Ni-NTA purification under denatured conditions. Wash the column with 3 column volumes of column wash buffer. Elute acetylated histone protein with 10 mL of elution buffer.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Attempting to concentrate the protein here is an option but acetylated histones are very unpredictable and can easily precipitate. It is not recommended to concentrate past 2 mL in total volume.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Extensively dialyze the acetylated histone protein against 5% acetic acid buffer to remove salts. Dialyze for 3 h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exchanging for fresh buffer a minimum of 6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Aliquot and lyophilize protein, and store indefinitely at -80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Wild type histone proteins generally yield 10-50 mg/L whereas acetylated histone proteins yield less than 10 mg/L depending on the specific lysine site. For example, H3K79Ac averages 5 mg/L.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Wild-type histone protein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To assemble full nucleosomes, express all 4 histone proteins. When expressing and purifying wild type histones the protocol is the same as the acetylated histones except the following: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Do not perform co-transformation. Do not use pEVOL-AcKRS for wild type histone expression. Adjust antibiotics accordingly.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Do not use a CobB deletion cell line or add Nicotinamide, AcK, or arabinose during induction of cellular expression.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Preparation of 601 DNA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previously designed optimized DNA sequence to direct nucleosome positioning is assembled with histone octamers to produce mononucleosome with high efficiency. This sequence is referred to as 601 DNA or the Widom sequence. This sequence has become the standard DNA sequence for in vitro studies of nucleosomes from chromatin remodeling assays to single molecule measurements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To prepare significant quantities of 601 DNA for nucleosome assembly, transform pGEM-3z/601 into Top 10 cells and grow 10 mL of culture for plasmid amplification and extraction. Use a plasmid extraction kit and follow manufacturer’s recommendation.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Use an in-house expressed PFU polymerase (more efficient) for this amplification protocol. Set up a PCR reaction:  For 250 &amp;#181;L reaction, use 207.5 &amp;#181;L autoclaved MQ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25 &amp;#181;L 10x PFU Buffer, 5 &amp;#181;L Forward Primer: ctggagaatcccggtgccg, 5 &amp;#181;L Reverse Primer: acaggatgtatatatctgacacg, 5 &amp;#181;L dNTP mix, 2.5 &amp;#181;L PFU enzyme.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Use an annealing temperature of 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30 s and an extension time of 30 s if using PFU polymerase. Otherwise follow the manufacturers recommended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Once PCR is done, use a PCR clean up kit of choice to purify the PCR product.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Assembly of histone octamer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Dissolve aliquots of histone protein pellets H2A, H2B, H3, and H4 so that there is a separate stock of each histone protein in GuHCl Buffer with a total volume of 100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Calculate the concentration of each histone protein by measuring the A</w:t>
      </w:r>
      <w:r>
        <w:rPr>
          <w:rFonts w:ascii="Calibri" w:hAnsi="Calibri" w:cs="Calibri" w:eastAsia="Calibri"/>
          <w:color w:val="000000"/>
          <w:spacing w:val="0"/>
          <w:position w:val="0"/>
          <w:sz w:val="24"/>
          <w:shd w:fill="FFFF00" w:val="clear"/>
          <w:vertAlign w:val="subscript"/>
        </w:rPr>
        <w:t xml:space="preserve">280</w:t>
      </w:r>
      <w:r>
        <w:rPr>
          <w:rFonts w:ascii="Calibri" w:hAnsi="Calibri" w:cs="Calibri" w:eastAsia="Calibri"/>
          <w:color w:val="000000"/>
          <w:spacing w:val="0"/>
          <w:position w:val="0"/>
          <w:sz w:val="24"/>
          <w:shd w:fill="FFFF00" w:val="clear"/>
        </w:rPr>
        <w:t xml:space="preserve"> absorbance.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If absorbance is greater than 1 for any protein, dilute with GuHCl buffer to get a more accurate concentration.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Combine H2A and H2B proteins in a 1:1 molar ratio and dilute to a total protein concentration of 4 &amp;#181;g/&amp;#181;L. Repeat for H3 and H4.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Dialyze sequentially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against 2 M TE buffer overnight, 1 M TE buffer for 2 h and 0.5 M TE buffer for 5 h.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second and third steps of dialysis causes unstable conformations of protein to precipitate out. It is expected to see heavy precipitation at these steps.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Remove precipitates by centrifugation at 16,800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Again, calculate the concentration of histone dimers (H2A/H2B mixture) and tetramers (H3/H4 mixture) measuring the A</w:t>
      </w:r>
      <w:r>
        <w:rPr>
          <w:rFonts w:ascii="Calibri" w:hAnsi="Calibri" w:cs="Calibri" w:eastAsia="Calibri"/>
          <w:color w:val="000000"/>
          <w:spacing w:val="0"/>
          <w:position w:val="0"/>
          <w:sz w:val="24"/>
          <w:shd w:fill="FFFF00" w:val="clear"/>
          <w:vertAlign w:val="subscript"/>
        </w:rPr>
        <w:t xml:space="preserve">280</w:t>
      </w:r>
      <w:r>
        <w:rPr>
          <w:rFonts w:ascii="Calibri" w:hAnsi="Calibri" w:cs="Calibri" w:eastAsia="Calibri"/>
          <w:color w:val="000000"/>
          <w:spacing w:val="0"/>
          <w:position w:val="0"/>
          <w:sz w:val="24"/>
          <w:shd w:fill="FFFF00" w:val="clear"/>
        </w:rPr>
        <w:t xml:space="preserve"> absorbance.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Mix dimers and tetramers in a 1:1 molar ratio and adjust NaCl to 2 M by the addition of solid NaCl.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Histone octamer can be stored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and is more stable than dimers and tetramers. Never freeze histone octamer as this can cause disassembly.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w:t>
        <w:tab/>
        <w:t xml:space="preserve">If assembling with acetylated histones, simply replace the wild type protein with the acetylated protein in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Nucleosome assembly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Use 100x TE buffer and solid NaCl to adjust 601 DNA to 2M TE buffer. Add the 601 DNA in 2M TE buffer to histone octamer in a molar ratio of 0.85:1 to 0.90:1. A lower ratio of DNA may be added if free DNA is present in the gel shift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Transfer the DNA-histone mixture a dialysis bag and place in about 200 mL of 2M TE buffer (or more if assembling multiple samples) and very gently stir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Set a peristaltic pump to purge to slowly drip in no salt TE buffer. When the volume has roughly doubled, pour out half the volume. Do this at least 4 times in total. With a pump this can take 4-8 h depending on the starting volume. Nucleosomes form when the salt concentration is reduced to 150 mM (measured by salinity 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After the salt concentration is reduced to 150 mM, dialyze against a 20 mM TE buffer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Remove precipitates by centrifugation and measure the concentration of the nucleosomes by A</w:t>
      </w:r>
      <w:r>
        <w:rPr>
          <w:rFonts w:ascii="Calibri" w:hAnsi="Calibri" w:cs="Calibri" w:eastAsia="Calibri"/>
          <w:color w:val="000000"/>
          <w:spacing w:val="0"/>
          <w:position w:val="0"/>
          <w:sz w:val="24"/>
          <w:shd w:fill="FFFF00" w:val="clear"/>
          <w:vertAlign w:val="subscript"/>
        </w:rPr>
        <w:t xml:space="preserve">260</w:t>
      </w:r>
      <w:r>
        <w:rPr>
          <w:rFonts w:ascii="Calibri" w:hAnsi="Calibri" w:cs="Calibri" w:eastAsia="Calibri"/>
          <w:color w:val="000000"/>
          <w:spacing w:val="0"/>
          <w:position w:val="0"/>
          <w:sz w:val="24"/>
          <w:shd w:fill="FFFF00" w:val="clear"/>
        </w:rPr>
        <w:t xml:space="preserve"> reading using a plate reader.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Add His-TEV protease (TEV: nucleosome 1:30, w:w ) and incubate for overnight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to remove all histidine tags. Remove the histidine tag impurities from the nucleosome solution by Ni-NTA resin pull down.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To position the nucleosome and homogenize the sample, incubate at 60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1 h.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acetylated sites that are particularly unstable, this step may not be advisable.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t xml:space="preserve">Store nucleosomes for short term (a few weeks)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For long-term storage, dialyze nucleosomes against storage buffer and store at -80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Dimers, tetramers, and octamers can be assessed by running a 12% SDS PAGE gel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 you can see that some of the acetylated tetramers have a lower yield than others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fact, the closer to the core region, the lower the yield observed. This is most likely due to the acetylation interfering with the assembling of the tetramer the closer you get to the core regions. A similar affect is observed after assembling octamers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After assembling octamers with 601 DNA sequence, the nucleosome can be assessed using a 5% 1x TBE Native PAGE gel followed with staining with ethidium bromide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Before TEV digestion the nucleosome band is observed near the 10k base pair mark. After TEV digestions the nucleosome band shifts down relative to the ladder. Before thermal positioning, the observed nucleosome bands will be very broad, and possibly streak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Histone dimers and tetramers.</w:t>
      </w:r>
      <w:r>
        <w:rPr>
          <w:rFonts w:ascii="Calibri" w:hAnsi="Calibri" w:cs="Calibri" w:eastAsia="Calibri"/>
          <w:color w:val="000000"/>
          <w:spacing w:val="0"/>
          <w:position w:val="0"/>
          <w:sz w:val="24"/>
          <w:shd w:fill="auto" w:val="clear"/>
        </w:rPr>
        <w:t xml:space="preserve"> Representative 12% SDS PAGE gel of wild type histone dimer (lane 2) and H3 acetylated tetramers (lanes 3-9).</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Histone octamers.</w:t>
      </w:r>
      <w:r>
        <w:rPr>
          <w:rFonts w:ascii="Calibri" w:hAnsi="Calibri" w:cs="Calibri" w:eastAsia="Calibri"/>
          <w:color w:val="000000"/>
          <w:spacing w:val="0"/>
          <w:position w:val="0"/>
          <w:sz w:val="24"/>
          <w:shd w:fill="auto" w:val="clear"/>
        </w:rPr>
        <w:t xml:space="preserve"> Representative 12% SDS PAGE gel of H3 acetylated histone octamers (lanes 2-11).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Assembled his tagged nucleosome complex.</w:t>
      </w:r>
      <w:r>
        <w:rPr>
          <w:rFonts w:ascii="Calibri" w:hAnsi="Calibri" w:cs="Calibri" w:eastAsia="Calibri"/>
          <w:color w:val="000000"/>
          <w:spacing w:val="0"/>
          <w:position w:val="0"/>
          <w:sz w:val="24"/>
          <w:shd w:fill="auto" w:val="clear"/>
        </w:rPr>
        <w:t xml:space="preserve"> Representative 1x TBE Native PAGE gel of wild type nucleosome complex (lane 2) compared to free 601 DNA (Lane 4) visualized by ethidium bromide.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Assembled TEV digested nucleosome complex.</w:t>
      </w:r>
      <w:r>
        <w:rPr>
          <w:rFonts w:ascii="Calibri" w:hAnsi="Calibri" w:cs="Calibri" w:eastAsia="Calibri"/>
          <w:color w:val="000000"/>
          <w:spacing w:val="0"/>
          <w:position w:val="0"/>
          <w:sz w:val="24"/>
          <w:shd w:fill="auto" w:val="clear"/>
        </w:rPr>
        <w:t xml:space="preserve"> Representative 1x TBE Native PAGE gel of wild type TEV digested nucleosome complex, and free 601 DNA. A comparison of before and after nucleosome thermal positioning.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essential to follow this protocol in every detail during an experiment. Nucleosomes are not very stable and much trial and error has gone into determining this protocol. It is key to remove precipitates at every step (or whenever observed) because particulates can easily interfere with the assembling processes. Always keep histone samples on ice. If nucleosomes are stored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too long, they can spontaneously disassemble. Be sure to check any samples by Native PAGE if stored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more than 2 weeks before use in any experiment. Avoid vortexing octamers and nucleosomes as this can also cause them to disassemble. If issues are encountered assembling dimers, tetramers, or octamers this is usually indicative of poor protein quality. Check the protein quality by 15% SDS-PAGE. One option if protein purity is low is to dialyze the protein against pure water. This will cause heavy precipitation and greatly reduce protein yield, but will produce a purer sample. The incorporation and nucleosomal stability of each histone acetylation site varies widely. In general, the closer the site is to the N-terminal domain, the lower the yield during histone protein expression. For nucleosome stability, the closer the acetylation site is to the nucleosome core or DNA binding sites, the less stable the assembled nucleosome. If stability issues are encountered, it is crucial to always keep the nucleosome sample on ice. It may be necessary to omit the nucleosome positioning step at 60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as this may cause disassembly or precipitation. A major limitation of acetylated nucleosomes is their instability. It may be impossible to preform assays at higher temperatures such as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without causing nucleosomal precipitation. If experimental procedures allow, perform them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to prevent precipitation of the acetylated nucleosome.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of producing nucleosomes is particularly useful for producing modified nucleosomes for binding experiments and structure determinations. This method produces nucleosomes with higher purity and a known nucleosomal DNA sequence, which eliminates confounding variables resulting in better controlled experiments and higher resolution images. It is crucial for structure determinations that the nucleosome sample is homogenous with a known DNA sequence, otherwise it will be all but impossible to obtain high resolution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an abundance of potential applications of this method. Specifically, in the field of epigenetics. It can be incredibly difficult to obtain modified proteins. Obtaining modified proteins is crucial for probing the structure and function of the writers, readers, and erasers in the many epigenetic pathways that are poorly understood. We have previously utilized this technique to probe the accessibility of nucleosomal DNA to Pst1 digestion at the H3 acetylation sites K18, K36, and K56 by assembling each mutant octamer with a modified 601 DNA sequence that contains a Pst1 digestion site. This technique can be further modified to incorporate NCAAs other than AcK. PylRS can be engineered to incorporate a host of other NCAAs. We have also incorporated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perscript"/>
        </w:rPr>
        <w:t xml:space="preserve">ε</w:t>
      </w:r>
      <w:r>
        <w:rPr>
          <w:rFonts w:ascii="Calibri" w:hAnsi="Calibri" w:cs="Calibri" w:eastAsia="Calibri"/>
          <w:color w:val="000000"/>
          <w:spacing w:val="0"/>
          <w:position w:val="0"/>
          <w:sz w:val="24"/>
          <w:shd w:fill="auto" w:val="clear"/>
        </w:rPr>
        <w:t xml:space="preserve">-(7-azidoheptanoyl)-L-lysine (AzHeK) by amber codon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for recombinant expression of several AzHeK-containing histone H3 proteins to investigate the histone deacylation activity of SIRT7 at several acetylation sites. This approach revealed that SIRT7 has high activity towards deacylation of H3K36 and is also catalytically active to deacylate H3K37. H3K36 deacylation was further showed to be nucleosome dependent and can be significantly enhanced by adding a short double-stranded DNA to the acyl-nucleosome substrate that mimics the bridging DNA between nucleosomes in native chromatin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can also be modified to produce wild type nucleosomes with no modifications which can be useful in a variety of scenarios. Our group recently published a structure in collaboration with Dr. Pingwei Li’s group showing the tight binding of cyclic GMP-AMP synthase (cGAS) to a negatively charged acidic patch formed by histone H2A and H2B via its second DNA binding site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cGAS is a dsDNA sensor that catalyzes the synthesis of a cyclic dinucleotide cGAMP, which mediates the induction of type I interferons through the STING-TBK1-IRF3 signaling axis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benefit of using modified nucleosomes is its similarity to the native state of DNA and histone proteins which can be used as a significantly better model to probe the activities or binding abilities of any number of epigenetic-related proteins. There are numerous examples of limited or entirely absent enzyme activity towards naked DNA or histone peptide substrates that when probed with nucleosome substrates drastically changes results. As with the example mentioned above, a novel deacylation site was discovered for SIRT7 by using a nucleosome substrate that would have otherwise been unknown. It is crucial to use native substrates when probing these types of systems. This technique can be used to probe the reading, writing, and erasing activity or binding capability of any modification that can be incorporated by the pyrrolysine genetic code expansion technique. The pyrrolysyl-tRNA synthetase is already natively promiscuous and has been engineered for a host of other substrates already opening the door for using this technique in any number of systems making the primary limiting factor the creativity of the researcher.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no competing financial interests to declare by any of the authors.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Dr. Wesley Wang for laying the groundwork for this protocol and his valuable mentorship.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Srinivasan, G., James, C. M., Krzycki, J. A. Pyrrolysine encoded by UAG in Archaea: Charging of a UAG-Decoding specialized tRNA.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 (5572), 1459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1462 (2002).</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Wan, W., Tharp, J. M., Liu, W. R. Pyrrolysyl-tRNA synthetase: an ordinary enzyme but an outstanding genetic code expansion tool.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1844</w:t>
      </w:r>
      <w:r>
        <w:rPr>
          <w:rFonts w:ascii="Calibri" w:hAnsi="Calibri" w:cs="Calibri" w:eastAsia="Calibri"/>
          <w:color w:val="000000"/>
          <w:spacing w:val="0"/>
          <w:position w:val="0"/>
          <w:sz w:val="24"/>
          <w:shd w:fill="auto" w:val="clear"/>
        </w:rPr>
        <w:t xml:space="preserve"> (6), 1059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1070 (2014).</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Umehara, T. et al. N-Acetyl lysyl-tRNA synthetases evolved by a CcdB-based selection possess N-acetyl lysine specificity in vitro and in vivo.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586</w:t>
      </w:r>
      <w:r>
        <w:rPr>
          <w:rFonts w:ascii="Calibri" w:hAnsi="Calibri" w:cs="Calibri" w:eastAsia="Calibri"/>
          <w:color w:val="000000"/>
          <w:spacing w:val="0"/>
          <w:position w:val="0"/>
          <w:sz w:val="24"/>
          <w:shd w:fill="auto" w:val="clear"/>
        </w:rPr>
        <w:t xml:space="preserve"> (6), 729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733 (2012).</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Hsu, W. W., Wu, B., Liu, W. R. Sirtuins 1 and 2 are universal histone deacetylases.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792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799 (2016).</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Wang, W. W., Zeng, Y., Wu, B., Deiters, A., Liu, W. R. A chemical biology approach to reveal Sirt6-targeted histone H3 sites in nucleosomes.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1973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1981 (2016).</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Wang, W. W. et al. A click chemistry approach reveals the chromatin-dependent histone H3K36 deacylase nature of SIRT7.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(6), 2462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2473 (2019).</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Liu, H., Naismith, J. H. An efficient one-step site-directed deletion, insertion, single and multiple-site plasmid mutagenesis protocol. </w:t>
      </w:r>
      <w:r>
        <w:rPr>
          <w:rFonts w:ascii="Calibri" w:hAnsi="Calibri" w:cs="Calibri" w:eastAsia="Calibri"/>
          <w:i/>
          <w:color w:val="000000"/>
          <w:spacing w:val="0"/>
          <w:position w:val="0"/>
          <w:sz w:val="24"/>
          <w:shd w:fill="auto" w:val="clear"/>
        </w:rPr>
        <w:t xml:space="preserve">BMC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91 (2008).</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Young, T. S., Ahmad, I., Yin, J. A., Schultz, P. G. An enhanced system for unnatural amino acid mutagenesis in E. coli.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395</w:t>
      </w:r>
      <w:r>
        <w:rPr>
          <w:rFonts w:ascii="Calibri" w:hAnsi="Calibri" w:cs="Calibri" w:eastAsia="Calibri"/>
          <w:color w:val="000000"/>
          <w:spacing w:val="0"/>
          <w:position w:val="0"/>
          <w:sz w:val="24"/>
          <w:shd w:fill="auto" w:val="clear"/>
        </w:rPr>
        <w:t xml:space="preserve"> (2), 361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374 (2010).</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Gallego-Jara, J., Écija Conesa, A., de Diego Puente, T., Lozano Terol, G., C&amp;#225;novas D&amp;#237;az, M. Characterization of CobB kinetics and inhibition by nicotinamide.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e0189689 (2017).</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Lowary, P. T., Widom, J. New DNA sequence rules for high affinity binding to histone octamer and sequence-directed nucleosome positioning11Edited by T. Richmond.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(1998).</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Zhao, B. et al. The molecular basis of tight nuclear tethering and inactivation of cGAS.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587</w:t>
      </w:r>
      <w:r>
        <w:rPr>
          <w:rFonts w:ascii="Segoe UI" w:hAnsi="Segoe UI" w:cs="Segoe UI" w:eastAsia="Segoe UI"/>
          <w:color w:val="5B616B"/>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(7835), 673-677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(2020).</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Burdette, D. L., Vance, R. E. STING and the innate immune response to nucleic acids in the cytosol.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(2013).</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Barber, G. N. Innate immune DNA sensing pathways: STING, AIMII and the regulation of interferon production and inflammatory responses. </w:t>
      </w:r>
      <w:r>
        <w:rPr>
          <w:rFonts w:ascii="Calibri" w:hAnsi="Calibri" w:cs="Calibri" w:eastAsia="Calibri"/>
          <w:i/>
          <w:color w:val="000000"/>
          <w:spacing w:val="0"/>
          <w:position w:val="0"/>
          <w:sz w:val="24"/>
          <w:shd w:fill="auto" w:val="clear"/>
        </w:rPr>
        <w:t xml:space="preserve">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(2011).</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Ablasser, A. et al. cGAS produces a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-linked cyclic dinucleotide second messenger that activates STING.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498</w:t>
      </w:r>
      <w:r>
        <w:rPr>
          <w:rFonts w:ascii="Calibri" w:hAnsi="Calibri" w:cs="Calibri" w:eastAsia="Calibri"/>
          <w:color w:val="000000"/>
          <w:spacing w:val="0"/>
          <w:position w:val="0"/>
          <w:sz w:val="24"/>
          <w:shd w:fill="auto" w:val="clear"/>
        </w:rPr>
        <w:t xml:space="preserve"> (7454), 380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384 (2013).</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Gao, P. et al. Cyclic [G(2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 is the metazoan second messenger produced by DNA-activated cyclic GMP-AMP synthase.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(5), 1094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1107 (2013).</w:t>
      </w:r>
    </w:p>
    <w:p>
      <w:pPr>
        <w:tabs>
          <w:tab w:val="left" w:pos="380" w:leader="none"/>
          <w:tab w:val="left" w:pos="5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Zhao, B. et al. A conserved PLPLRT/SD motif of STING mediates the recruitment and activation of TBK1.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569</w:t>
      </w:r>
      <w:r>
        <w:rPr>
          <w:rFonts w:ascii="Calibri" w:hAnsi="Calibri" w:cs="Calibri" w:eastAsia="Calibri"/>
          <w:color w:val="000000"/>
          <w:spacing w:val="0"/>
          <w:position w:val="0"/>
          <w:sz w:val="24"/>
          <w:shd w:fill="auto" w:val="clear"/>
        </w:rPr>
        <w:t xml:space="preserve"> (7758), 718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722 (2019).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