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Reliably Engineering and Controlling Stable Optogenetic Gene Circuits in Mammalian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Tyler Guinn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Damiano Coraci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Lesia Guinn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G&amp;#225;bor Bal&amp;#225;zsi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Biomedical Engineering Department, Stony Brook University, Stony Brook, NY 11974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Laufer Center for Physical and Quantitative Biology, Stony Brook University, Stony Brook, NY 11794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Stony Brook Medical Scientist Training Program, 101 Nicolls Road, Stony Brook, NY 11794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Tyler Guinn</w:t>
        <w:tab/>
        <w:tab/>
        <w:t xml:space="preserve">(michael.guinn@stonybrookmedicine.edu)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Damiano Coraci</w:t>
        <w:tab/>
        <w:tab/>
        <w:t xml:space="preserve">(damiano.coraci@stonybrook.edu)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Lesia Guinn</w:t>
        <w:tab/>
        <w:tab/>
        <w:tab/>
        <w:t xml:space="preserve">(oleksandra.romanyshyn@stonybrook.edu)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G&amp;#225;bor Bal&amp;#225;zsi</w:t>
        <w:tab/>
        <w:tab/>
        <w:tab/>
        <w:t xml:space="preserve">(gabor.balazsi@stonybrook.edu)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G&amp;#225;bor Bal&amp;#225;zsi</w:t>
        <w:tab/>
        <w:tab/>
        <w:tab/>
        <w:t xml:space="preserve">(gabor.balazsi@stonybrook.edu)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Tyler Guinn</w:t>
        <w:tab/>
        <w:tab/>
        <w:t xml:space="preserve">(michael.guinn@stonybrookmedicine.edu)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optogenetics, gene expression control, synthetic biology, negative feedback, gene circuits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Reliably controlling light-responsive mammalian cells requires the standardization of optogenetic methods. Toward this goal, this study outlines a pipeline of gene circuit construction, cell engineering, optogenetic equipment operation, and verification assays to standardize the study of light-induced gene expression using a negative-feedback optogenetic gene circuit as a case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gene expression control in mammalian cells requires tools with high fold change, low noise, and determined input-to-output transfer functions, regardless of the method used. Toward this goal, optogenetic gene expression systems have gained much attention over the past decade for spatiotemporal control of protein levels in mammalian cells. However, most existing circuits controlling light-induced gene expression vary in architecture, are expressed from plasmids, and utilize variable optogenetic equipment, creating a need to explore characterization and standardization of optogenetic components in stable cell lines. Here, the study provides an experimental pipeline of reliable gene circuit construction, integration, and characterization for controlling light-inducible gene expression in mammalian cells, using a negative feedback optogenetic circuit as a case example. The protocols also illustrate how standardizing optogenetic equipment and light regimes can reliably reveal gene circuit features such as gene expression noise and protein expression magnitude. Lastly, this paper may be of use for laboratories unfamiliar with optogenetics who wish to adopt such technology. The pipeline described here should apply for other optogenetic circuits in mammalian cells, allowing for more reliable, detailed characterization and control of gene expression at the transcriptional, proteomic, and ultimately phenotypic level in mammalian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Similar to other engineering disciplines, synthetic biology aims to standardize protocols, allowing tools with highly reproducible functions to be utilized for exploring questions relevant to biological systems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One domain in synthetic biology where many control systems have been built is the area of gene expression regulation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Gene expression control can target both protein levels and variability (noise or coefficient of variation, CV = &amp;#963;/&amp;#181;, measured as the standard deviation over the mean), which are crucial cellular characteristics due to their roles in physiological and pathological cellular states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Many synthetic systems that can control protein levels and noise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have been engineered, creating opportunities to standardize protocols across tools.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novel set of tools that can control gene networks that has recently emerged is optogenetics, enabling the use of light to control gene expression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Similar to their chemical predecessors, optogenetic gene circuits can be introduced into any cell type, ranging from bacteria to mammals, allowing expression of any downstream gene of interest</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However, due to the rapid generation of novel optogenetic tools, many systems have emerged that vary in genetic circuit architecture, mechanism of expression (e.g., plasmid-based vs. viral integration), and light supplying control equipment</w:t>
      </w:r>
      <w:r>
        <w:rPr>
          <w:rFonts w:ascii="Calibri" w:hAnsi="Calibri" w:cs="Calibri" w:eastAsia="Calibri"/>
          <w:color w:val="auto"/>
          <w:spacing w:val="0"/>
          <w:position w:val="0"/>
          <w:sz w:val="24"/>
          <w:shd w:fill="auto" w:val="clear"/>
          <w:vertAlign w:val="superscript"/>
        </w:rPr>
        <w:t xml:space="preserve">11,16,20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Therefore, this leaves room for standardization of optogenetic features such as gene circuit construction and optimization, method of system utilization (e.g., integration vs. transient expression), experimental tools used for induction, and analysis of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make progress on standardizing optogenetic protocols in mammalian cells, this protocol describes an experimental pipeline to engineer optogenetic systems in mammalian cells using a negative feedback (NF) gene circuit integrated into HEK293 cells (human embryonic kidney cell line) as an example. NF is an ideal system to demonstrate standardization since it is highly abundant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nature, allowing protein levels to be tuned and noise minimization to occur. In brief, NF allows for precise gene expression control by a repressor reducing its own expression, thereby limiting any change away from a steady state. The steady state can be altered by an inducer that inactivates or eliminates the repressor to allow for more protein production until a new steady state is reached for each inducer concentration. Recently, an engineered NF optogenetic system was created that can produce a wide-dynamic response of gene expression, maintain low noise, and respond to light stimuli allowing the potential for spatial gene expression control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tools, known as light-inducible tuners (LITers), were inspired by earlier systems that allowed gene expression control in living cells</w:t>
      </w:r>
      <w:r>
        <w:rPr>
          <w:rFonts w:ascii="Calibri" w:hAnsi="Calibri" w:cs="Calibri" w:eastAsia="Calibri"/>
          <w:color w:val="auto"/>
          <w:spacing w:val="0"/>
          <w:position w:val="0"/>
          <w:sz w:val="24"/>
          <w:shd w:fill="auto" w:val="clear"/>
          <w:vertAlign w:val="superscript"/>
        </w:rPr>
        <w:t xml:space="preserve">4,10,29,30</w:t>
      </w:r>
      <w:r>
        <w:rPr>
          <w:rFonts w:ascii="Calibri" w:hAnsi="Calibri" w:cs="Calibri" w:eastAsia="Calibri"/>
          <w:color w:val="auto"/>
          <w:spacing w:val="0"/>
          <w:position w:val="0"/>
          <w:sz w:val="24"/>
          <w:shd w:fill="auto" w:val="clear"/>
        </w:rPr>
        <w:t xml:space="preserve"> and were stably integrated into human cell lines to ensure long-term gene expression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using the LITer as an example, a protocol is outlined for creating light-responsive gene circuits, inducing gene expression with a Light Plate Apparatus (LPA, an optogenetic induction hardware)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analyze responses of the engineered, optogenetically-controllable cell lines to custom light stimuli. This protocol allows users to utilize the LITer tools for any functional gene they wish to explore. It can also be adapted for other optogenetic systems with diverse circuit architectures (e.g., positive feedback, negative regulation, etc.) via integrating the methods and optogenetic equipment outlined below. Similar to other synthetic biology protocols, the video recordings and optogenetic protocols outlined here can be applied in single-cell studies in diverse areas, including but not limited to cancer biology, embryonic development, and tissue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 circuit design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Select genetic components to combine into a single gene circuit/plasmid (e.g., mammalian DNA integration sites</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light-responsive elements</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 or functional genes</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Using any genetic engineering and/or molecular cloning software, store the DNA sequences for later use and reference, annotate each sequence, and examine all the necessary features (e.g., START codons, regulatory, or translated sequences)</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Develop or adopt parts according to the overall gene circuit design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As an example, for optogenetic repressors as in the LITers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fuse a gene sequence coding for a domain capable of light-inducible degradation</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or inactivation of a repressor’s DNA binding ability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adjacent to and in the frame of the repressor gene (e.g., TetR)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For optogenetic activators, ensure the presence of an activator domain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that promotes gene expression upon light-induced DNA binding</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For negative or positive autoregulation, ensure the presence of a regulatory binding site in the regulator gene’s promoter (e.g., tetO sites in the TetR expressing promoter)</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Design the primers for DNA sequence amplification or sequencing of the plasmid using the molecular cloning software for each gene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Validate the primers computationally for plasmid construction through the built-in molecular cloning software features (e.g., sequence alignment).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Order oligonucleotide primers from the manufacturer. Plasmids constructed and used in this work can be found in the original supporting material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along with the primers designed and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Dilute the primers to 100 mM stock concentration in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Dilute the stock of 100 mM stock primers to 10 mM concentration for 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the PCR mix with 1 &amp;#181;L of forward primer, 1 &amp;#181;L of reverse primer, 1 &amp;#181;L of template DNA to a total mass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ng for genomic or 0.5 pg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ng for plasmid or viral DNA, 12.5 &amp;#181;L of DNA polymerase 2x master mix (or the volume that satisfies the manufacturer’s dilution factor), and 9.5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a total reaction of 25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Incubate in a thermocycler at appropriate settings depending on the enzyme chosen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Suggested reaction cycles include: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 1: One cycle of 30 s initial denaturation step at 95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 2: 40 cycles of 5 s of denaturation step at 98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 3: One cycle of 30 s of annealing step at 65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(determined by primers designed earlier).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 4: One cycle of 1 min of extension at 72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(~1 kilobase (kb) template fragment length).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 5: One cycle of a 2 min extension at 72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Hold the reaction at 4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until it can be tested via gel electrophoresis. This protocol will vary depending on the reagents used (e.g., polymerase and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Repeat step 1.9 to amplify all the fragments to be used in a DNA assembly reaction required for linking linear PCR products into a single circular DNA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Run the PCR products on a 1% agarose gel followed by purifying the bands of the desired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the master mix for a DNA assembly reaction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the mother-vector is split into two fragments to increase the efficiency of the PCR steps without causing significant changes to the overall assembly outcome.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Incubate the DNA assembly reaction master mix in a thermocycler at 50 &amp;#176;C for 1 h (unless otherwise specified in DNA assembly reagent protocol) and store the reaction at 4 &amp;#176;C to use the reaction product for bacterial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Set up bacterial transformation (chemical or electroporation) using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cells and the corresponding bacterial transformation protocol. After transformation, use the bacterial Luria-Bertani (LB) agar plates containing the chosen bacterial selection marker (e.g., Ampicillin) to plate the transformation mix. Incubate the plates at 37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overnight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Check the plates the following day. To inoculate the colonies, pick individual colonies from the plates and resuspend them in a liquid LB broth with the corresponding bacterial selection marker in culture tubes. Incubate in a shaker incubator at 37 &amp;#176;C, 300 rpm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Perform plasmid preparation protocol to extract the plasmid DNA from the bacterial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Validate the circuit in two steps. First, perform a test digestion using restriction enzymes as a crude verification to see whether the approximate plasmid product was obtained. Second, if the test digestion is passed/confirmed, submit the plasmid to a Sanger sequencing facility (or process using the available equipment) to obtain the precise DNA sequence to compare it to the expected sequence in the design software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1.18.1.</w:t>
        <w:tab/>
        <w:t xml:space="preserve">To perform test digestion, select at least two restriction enzymes that produce at least two fragments, based on the molecular cloning software used. Once enzymes are selected, prepare the test samples by adding 1 </w:t>
      </w:r>
      <w:r>
        <w:rPr>
          <w:rFonts w:ascii="Calibri" w:hAnsi="Calibri" w:cs="Calibri" w:eastAsia="Calibri"/>
          <w:color w:val="222222"/>
          <w:spacing w:val="0"/>
          <w:position w:val="0"/>
          <w:sz w:val="24"/>
          <w:shd w:fill="FFFFFF" w:val="clear"/>
        </w:rPr>
        <w:t xml:space="preserve">&amp;#181;L of each enzyme, 5 &amp;#181;L of the generated DNA, and 13 &amp;#181;L of water with appropriate salts and buffers depending on the enzymes used. Incubate the reaction at 37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for 1 h, or as the enzyme manufacturer suggests. Run the test digestion products on a 1% agarose gel and determine whether the bands are correct.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bands are correct, proceed to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1.18.2.</w:t>
        <w:tab/>
      </w:r>
      <w:r>
        <w:rPr>
          <w:rFonts w:ascii="Calibri" w:hAnsi="Calibri" w:cs="Calibri" w:eastAsia="Calibri"/>
          <w:color w:val="auto"/>
          <w:spacing w:val="0"/>
          <w:position w:val="0"/>
          <w:sz w:val="24"/>
          <w:shd w:fill="auto" w:val="clear"/>
        </w:rPr>
        <w:t xml:space="preserve">To perform sequencing, generate primers based on the DNA stored in the software so that the annealing regions of the primers are about 500 bp (base pairs) apart and cover the fragment of interest (gene circuit component) or the full plasmid. Dilute the primers with pure nuclease-free water (NF-H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10 mM concentration. Prepare the sequencing samples by adding 1 </w:t>
      </w:r>
      <w:r>
        <w:rPr>
          <w:rFonts w:ascii="Calibri" w:hAnsi="Calibri" w:cs="Calibri" w:eastAsia="Calibri"/>
          <w:color w:val="222222"/>
          <w:spacing w:val="0"/>
          <w:position w:val="0"/>
          <w:sz w:val="24"/>
          <w:shd w:fill="FFFFFF" w:val="clear"/>
        </w:rPr>
        <w:t xml:space="preserve">&amp;#181;L of </w:t>
      </w:r>
      <w:r>
        <w:rPr>
          <w:rFonts w:ascii="Calibri" w:hAnsi="Calibri" w:cs="Calibri" w:eastAsia="Calibri"/>
          <w:color w:val="auto"/>
          <w:spacing w:val="0"/>
          <w:position w:val="0"/>
          <w:sz w:val="24"/>
          <w:shd w:fill="auto" w:val="clear"/>
        </w:rPr>
        <w:t xml:space="preserve">10 ng/</w:t>
      </w:r>
      <w:r>
        <w:rPr>
          <w:rFonts w:ascii="Calibri" w:hAnsi="Calibri" w:cs="Calibri" w:eastAsia="Calibri"/>
          <w:color w:val="222222"/>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DNA, 1 </w:t>
      </w:r>
      <w:r>
        <w:rPr>
          <w:rFonts w:ascii="Calibri" w:hAnsi="Calibri" w:cs="Calibri" w:eastAsia="Calibri"/>
          <w:color w:val="222222"/>
          <w:spacing w:val="0"/>
          <w:position w:val="0"/>
          <w:sz w:val="24"/>
          <w:shd w:fill="FFFFFF" w:val="clear"/>
        </w:rPr>
        <w:t xml:space="preserve">&amp;#181;L of primer, and 8 &amp;#181;L of NF-H</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O to a 0.2 mL tube. Repeat this for each primer.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222222"/>
          <w:spacing w:val="0"/>
          <w:position w:val="0"/>
          <w:sz w:val="24"/>
          <w:shd w:fill="FFFFFF" w:val="clear"/>
        </w:rPr>
        <w:t xml:space="preserve">When samples are prepared, drop them off at the sequencing facility and analyze the results with plasmid sequence using molecular cloning software.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At this step, generate approximately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ng/</w:t>
      </w:r>
      <w:r>
        <w:rPr>
          <w:rFonts w:ascii="Calibri" w:hAnsi="Calibri" w:cs="Calibri" w:eastAsia="Calibri"/>
          <w:color w:val="222222"/>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DNA sample for integrating the plasmids containing gene circuits into the appropriate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Stable cell line engineering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Order a mammalian cell line designed for rapid generation of stable sub-lines that ensure high-level expression of the protein of interest from a mammalian expression vector. The cell type can be variable, and the ease of cell line engineering can also be variable depending on what the users prefer.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example, if users prefer cell line engineering with minimal intermediate steps, order the cells that contain a single stable integration site (e.g., FRT) at a transcriptionally active genomic locus. If more nuanced cell engineering is preferred, create integration sites at preferred locations using genetic engineering tools such as Cas9.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Grow cells in 5% C</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auto" w:val="clear"/>
        </w:rPr>
        <w:t xml:space="preserve"> in humidified air at 37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Adjust growth conditions as needed for the cell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Transfect the gene circuits designed above in the desired cells obtained from the previous steps to begin a stable cell-line generation process. To achieve this, use a liposome mixture</w:t>
      </w:r>
      <w:r>
        <w:rPr>
          <w:rFonts w:ascii="Calibri" w:hAnsi="Calibri" w:cs="Calibri" w:eastAsia="Calibri"/>
          <w:color w:val="auto"/>
          <w:spacing w:val="0"/>
          <w:position w:val="0"/>
          <w:sz w:val="24"/>
          <w:shd w:fill="FFFF00" w:val="clear"/>
          <w:vertAlign w:val="superscript"/>
        </w:rPr>
        <w:t xml:space="preserve">45</w:t>
      </w:r>
      <w:r>
        <w:rPr>
          <w:rFonts w:ascii="Calibri" w:hAnsi="Calibri" w:cs="Calibri" w:eastAsia="Calibri"/>
          <w:color w:val="auto"/>
          <w:spacing w:val="0"/>
          <w:position w:val="0"/>
          <w:sz w:val="24"/>
          <w:shd w:fill="FFFF00" w:val="clear"/>
        </w:rPr>
        <w:t xml:space="preserve"> of the gene circuit DNA with appropriate recombinase (for example, Flp-recombinase for Flp-FRT recombination) or through other methods such as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Two days after transfection, split the cells to 25% confluency.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Six hours after splitting the cells, begin antibiotic selection by exchanging the media to a fresh media containing 50 </w:t>
      </w:r>
      <w:r>
        <w:rPr>
          <w:rFonts w:ascii="Calibri" w:hAnsi="Calibri" w:cs="Calibri" w:eastAsia="Calibri"/>
          <w:color w:val="222222"/>
          <w:spacing w:val="0"/>
          <w:position w:val="0"/>
          <w:sz w:val="24"/>
          <w:shd w:fill="auto" w:val="clear"/>
        </w:rPr>
        <w:t xml:space="preserve">&amp;#181;g/mL of </w:t>
      </w:r>
      <w:r>
        <w:rPr>
          <w:rFonts w:ascii="Calibri" w:hAnsi="Calibri" w:cs="Calibri" w:eastAsia="Calibri"/>
          <w:color w:val="auto"/>
          <w:spacing w:val="0"/>
          <w:position w:val="0"/>
          <w:sz w:val="24"/>
          <w:shd w:fill="auto" w:val="clear"/>
        </w:rPr>
        <w:t xml:space="preserve">hygromycin antibiotic (</w:t>
      </w:r>
      <w:r>
        <w:rPr>
          <w:rFonts w:ascii="Calibri" w:hAnsi="Calibri" w:cs="Calibri" w:eastAsia="Calibri"/>
          <w:color w:val="222222"/>
          <w:spacing w:val="0"/>
          <w:position w:val="0"/>
          <w:sz w:val="24"/>
          <w:shd w:fill="auto" w:val="clear"/>
        </w:rPr>
        <w:t xml:space="preserve">or another antibiotic agent corresponding to the mammalian antibiotic resistance gene chosen during plasmid construction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a variety of mammalian antibiotic resistance genes utilized in gene circuit construction, each of which has a different kill curve. Therefore, whichever mammalian antibiotic resistance gene is chosen for circuit construction, a proper kill curve should be studied in the cells of interest. This step ensures that cells containing the gene circuit payload are enriched while those without the system are killed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Allow the cells to grow in the antibiotic selection media, change to fresh media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until the plate or flask has a few dozen foci. Passage adherent cultures when they are in the log phase before they reach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Once there are many foci, trypsinize the cells with 1 mL of 0.25% trypsin, 0.1% EDTA in Hank’s balanced salt solution (HBSS) without Calcium, Magnesium, and Sodium Bicarbonate for several minutes. Neutralize the trypsin with fresh media and pass all the cells into a fresh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Once the cells in the fresh container are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confluent, freeze them down in a mix of 45% old media, 45% fresh media, and 10% DMSO. Transfer the remaining cells to a sterile tube and perform single-cell sorting to isolate monoclonal cells into a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weeks post monoclonal sorting, wells within the 96-well plate should have foci. When approximately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confluent, split the cells into a 12-well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Once the 12-well plate is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confluent, split into a tissue culture treated T-25 flask. Once the cells in the T-25 flask are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confluent, freeze the cells and maintain a passage for characterization and testing of monoclonal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w:t>
        <w:tab/>
        <w:t xml:space="preserve">Characterize the monoclonal cell lines by microscopy and flow cytometry assays to report gene expression profiles based on the induced fluorescent reporter production. Verify functional protein production via fluorescent antibody labeling and immunofluorescence assay. Test the transcriptional-level gene expression induction via quantitative real-time PCR (qRT-PCR). Validate the genetic sequence and integration accuracy via local and whole-genome sequencing of the 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Light plate apparatus induction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Construct an LPA device</w:t>
      </w:r>
      <w:r>
        <w:rPr>
          <w:rFonts w:ascii="Calibri" w:hAnsi="Calibri" w:cs="Calibri" w:eastAsia="Calibri"/>
          <w:color w:val="auto"/>
          <w:spacing w:val="0"/>
          <w:position w:val="0"/>
          <w:sz w:val="24"/>
          <w:shd w:fill="auto" w:val="clear"/>
          <w:vertAlign w:val="superscript"/>
        </w:rPr>
        <w:t xml:space="preserve">31,46</w:t>
      </w:r>
      <w:r>
        <w:rPr>
          <w:rFonts w:ascii="Calibri" w:hAnsi="Calibri" w:cs="Calibri" w:eastAsia="Calibri"/>
          <w:color w:val="auto"/>
          <w:spacing w:val="0"/>
          <w:position w:val="0"/>
          <w:sz w:val="24"/>
          <w:shd w:fill="auto" w:val="clear"/>
        </w:rPr>
        <w:t xml:space="preserve"> to be used for light induction of engineered cells. Briefly, there are several broad steps crucial for creating LPA to use for controlling gene expression. These include 3D printing LPA frame components, circuit board construction, programming the circuit via microcontroller programmer, assembling the components into a final LPA, programming the memory card via IRIS software, and calibrating the finished device. For a more thorough explanation, refer to the above references.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Print the 3D parts as outlined in Gerhardt et al. (2016 and 2019)</w:t>
      </w:r>
      <w:r>
        <w:rPr>
          <w:rFonts w:ascii="Calibri" w:hAnsi="Calibri" w:cs="Calibri" w:eastAsia="Calibri"/>
          <w:color w:val="auto"/>
          <w:spacing w:val="0"/>
          <w:position w:val="0"/>
          <w:sz w:val="24"/>
          <w:shd w:fill="auto" w:val="clear"/>
          <w:vertAlign w:val="superscript"/>
        </w:rPr>
        <w:t xml:space="preserve">31,46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Assemble the circuit board as outlined in Gerhardt et al. (2016 and 2019)</w:t>
      </w:r>
      <w:r>
        <w:rPr>
          <w:rFonts w:ascii="Calibri" w:hAnsi="Calibri" w:cs="Calibri" w:eastAsia="Calibri"/>
          <w:color w:val="auto"/>
          <w:spacing w:val="0"/>
          <w:position w:val="0"/>
          <w:sz w:val="24"/>
          <w:shd w:fill="auto" w:val="clear"/>
          <w:vertAlign w:val="superscript"/>
        </w:rPr>
        <w:t xml:space="preserve">31,46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Add the firmware to the assembled LPA circuit using microcontroller programmer as outlined in Gerhardt et al. (2016 and 2019)</w:t>
      </w:r>
      <w:r>
        <w:rPr>
          <w:rFonts w:ascii="Calibri" w:hAnsi="Calibri" w:cs="Calibri" w:eastAsia="Calibri"/>
          <w:color w:val="auto"/>
          <w:spacing w:val="0"/>
          <w:position w:val="0"/>
          <w:sz w:val="24"/>
          <w:shd w:fill="FFFF00" w:val="clear"/>
          <w:vertAlign w:val="superscript"/>
        </w:rPr>
        <w:t xml:space="preserve">31,46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Combine 3D printed parts and the assembled circuit board as outlined in Gerhardt et al. (2016 and 2019)</w:t>
      </w:r>
      <w:r>
        <w:rPr>
          <w:rFonts w:ascii="Calibri" w:hAnsi="Calibri" w:cs="Calibri" w:eastAsia="Calibri"/>
          <w:color w:val="auto"/>
          <w:spacing w:val="0"/>
          <w:position w:val="0"/>
          <w:sz w:val="24"/>
          <w:shd w:fill="FFFF00" w:val="clear"/>
          <w:vertAlign w:val="superscript"/>
        </w:rPr>
        <w:t xml:space="preserve">31,46</w:t>
      </w:r>
      <w:r>
        <w:rPr>
          <w:rFonts w:ascii="Calibri" w:hAnsi="Calibri" w:cs="Calibri" w:eastAsia="Calibri"/>
          <w:color w:val="auto"/>
          <w:spacing w:val="0"/>
          <w:position w:val="0"/>
          <w:sz w:val="24"/>
          <w:shd w:fill="FFFF00" w:val="clear"/>
        </w:rPr>
        <w:t xml:space="preserve">. This includes taking the mounting plate, the circuit board, the LED (light-emitting diodes) spacer, the plate adaptor, a 24-well plate, a plate lid, mounting bolts, and wing nuts and stacking components as shown in the filmed video and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For memory card programming and calibration of the device, follow the steps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Use the IRIS software available on the Tabor Lab website</w:t>
      </w:r>
      <w:r>
        <w:rPr>
          <w:rFonts w:ascii="Calibri" w:hAnsi="Calibri" w:cs="Calibri" w:eastAsia="Calibri"/>
          <w:color w:val="auto"/>
          <w:spacing w:val="0"/>
          <w:position w:val="0"/>
          <w:sz w:val="24"/>
          <w:shd w:fill="FFFF00" w:val="clear"/>
          <w:vertAlign w:val="superscript"/>
        </w:rPr>
        <w:t xml:space="preserve">47</w:t>
      </w:r>
      <w:r>
        <w:rPr>
          <w:rFonts w:ascii="Calibri" w:hAnsi="Calibri" w:cs="Calibri" w:eastAsia="Calibri"/>
          <w:color w:val="auto"/>
          <w:spacing w:val="0"/>
          <w:position w:val="0"/>
          <w:sz w:val="24"/>
          <w:shd w:fill="FFFF00" w:val="clear"/>
        </w:rPr>
        <w:t xml:space="preserve"> to program an SD card for the Light Plate Apparatus (LPA)</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and explore appropriate light conditions needed to begin an optogenetic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IRIS software is a web-based application for programming the optogenetic electronic hardware, known as the LPA, developed by the Tabor Lab. The software allows programming of relative IRIS values that control the individual light-emitting diodes (LEDs) in each well of the LPA hardware.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Choose the LPA (4 x 6) drop-down option, followed by clicking the appropriate illumination approach (Steady-state, Dynamic, Advanced).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manuscript, all the assays will focus on the steady-state examples. However, the advanced setting examples can be used for pulse durations and duty cycle regimes.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Choose whether the top or the bottom LEDs will be illuminated by entering values in the cells corresponding to the wells of the plate. For the LPAs used in this work, blue LEDs placed in the top position were used in all experiments. Each LED, once programmed, can provide continuous light exposure with a constant light intensity. The IRIS software allows for 4096 intensity levels which can be programmed.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Once the LED locations are chosen, enter intensity values for the desired experimental outline. For example, enter 8 different light intensities (or pulse durations or duty cycles) with three technical replicates per plate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G.s. refers to grayscale units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light intensity level measurement values used for LPA programming in the IRIS software.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r>
      <w:r>
        <w:rPr>
          <w:rFonts w:ascii="Calibri" w:hAnsi="Calibri" w:cs="Calibri" w:eastAsia="Calibri"/>
          <w:color w:val="auto"/>
          <w:spacing w:val="0"/>
          <w:position w:val="0"/>
          <w:sz w:val="24"/>
          <w:shd w:fill="auto" w:val="clear"/>
        </w:rPr>
        <w:t xml:space="preserve">When designing IRIS experimental files, keep in mind edge</w:t>
      </w:r>
      <w:r>
        <w:rPr>
          <w:rFonts w:ascii="Calibri" w:hAnsi="Calibri" w:cs="Calibri" w:eastAsia="Calibri"/>
          <w:color w:val="000000"/>
          <w:spacing w:val="0"/>
          <w:position w:val="0"/>
          <w:sz w:val="24"/>
          <w:shd w:fill="auto" w:val="clear"/>
        </w:rPr>
        <w:t xml:space="preserve"> effects from adjacent wells on the LPA device, light toxicity from increasing intensities of blue light exposure, and determining the type of dose-response desired (e.g., monotonic vs. non-monotonic).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3.5.2.</w:t>
        <w:tab/>
        <w:t xml:space="preserve">If users program cells in the LPA in ascending/descending order of a particular light parameter (e.g., intensity), wells may produce edge effects of light crosstalk or even heat which can influence adjacent wells. This can inadvertently influence the outcome of measured outputs when experiments are complete. To alleviate this, users can implement a randomization matrix on the IRIS software to scramble well locations, minimizing edge effects. An example is described in the represented results below (</w:t>
      </w:r>
      <w:r>
        <w:rPr>
          <w:rFonts w:ascii="Calibri" w:hAnsi="Calibri" w:cs="Calibri" w:eastAsia="Calibri"/>
          <w:b/>
          <w:color w:val="000000"/>
          <w:spacing w:val="0"/>
          <w:position w:val="0"/>
          <w:sz w:val="24"/>
          <w:shd w:fill="FFFFFF" w:val="clear"/>
        </w:rPr>
        <w:t xml:space="preserve">Figure 4A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r>
      <w:r>
        <w:rPr>
          <w:rFonts w:ascii="Calibri" w:hAnsi="Calibri" w:cs="Calibri" w:eastAsia="Calibri"/>
          <w:color w:val="000000"/>
          <w:spacing w:val="0"/>
          <w:position w:val="0"/>
          <w:sz w:val="24"/>
          <w:shd w:fill="FFFFFF" w:val="clear"/>
        </w:rPr>
        <w:t xml:space="preserve">In addition, higher intensities of blue light have been found to interfere with cellular growth and viability</w:t>
      </w:r>
      <w:r>
        <w:rPr>
          <w:rFonts w:ascii="Calibri" w:hAnsi="Calibri" w:cs="Calibri" w:eastAsia="Calibri"/>
          <w:color w:val="000000"/>
          <w:spacing w:val="0"/>
          <w:position w:val="0"/>
          <w:sz w:val="24"/>
          <w:shd w:fill="FFFFFF" w:val="clear"/>
          <w:vertAlign w:val="superscript"/>
        </w:rPr>
        <w:t xml:space="preserve">48</w:t>
      </w:r>
      <w:r>
        <w:rPr>
          <w:rFonts w:ascii="Calibri" w:hAnsi="Calibri" w:cs="Calibri" w:eastAsia="Calibri"/>
          <w:color w:val="000000"/>
          <w:spacing w:val="0"/>
          <w:position w:val="0"/>
          <w:sz w:val="24"/>
          <w:shd w:fill="FFFFFF" w:val="clear"/>
        </w:rPr>
        <w:t xml:space="preserve">. Therefore, to mitigate light toxicity, it is important to produce a light-intensity, pulse duration, or duty cycle response curve depending on the modality being investigated.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3.5.3.1.</w:t>
        <w:tab/>
      </w:r>
      <w:r>
        <w:rPr>
          <w:rFonts w:ascii="Calibri" w:hAnsi="Calibri" w:cs="Calibri" w:eastAsia="Calibri"/>
          <w:color w:val="000000"/>
          <w:spacing w:val="0"/>
          <w:position w:val="0"/>
          <w:sz w:val="24"/>
          <w:shd w:fill="FFFFFF" w:val="clear"/>
        </w:rPr>
        <w:t xml:space="preserve">For example, program 8 light intensity values with three replicates per 24-well plate, with a range from no light to a max intensity of the LPA. Then, run these samples on a flow cytometer with an SSC-FSC gate or a live stain such as propidium iodide to quantify the population cell survival (living cells compared to total events including dead cells/cellular debris) at each light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3.5.3.2.</w:t>
        <w:tab/>
      </w:r>
      <w:r>
        <w:rPr>
          <w:rFonts w:ascii="Calibri" w:hAnsi="Calibri" w:cs="Calibri" w:eastAsia="Calibri"/>
          <w:color w:val="000000"/>
          <w:spacing w:val="0"/>
          <w:position w:val="0"/>
          <w:sz w:val="24"/>
          <w:shd w:fill="FFFFFF" w:val="clear"/>
        </w:rPr>
        <w:t xml:space="preserve">Then, determine the ideal amount of population survival for the experimental setup, since any stimulus may adversely affect proliferation, gene expression, or survival (e.g., setting 80% cell survival as an appropriate tradeoff). </w:t>
      </w:r>
      <w:r>
        <w:rPr>
          <w:rFonts w:ascii="Calibri" w:hAnsi="Calibri" w:cs="Calibri" w:eastAsia="Calibri"/>
          <w:color w:val="auto"/>
          <w:spacing w:val="0"/>
          <w:position w:val="0"/>
          <w:sz w:val="24"/>
          <w:shd w:fill="auto" w:val="clear"/>
        </w:rPr>
        <w:t xml:space="preserve">For example, </w:t>
      </w:r>
      <w:r>
        <w:rPr>
          <w:rFonts w:ascii="Calibri" w:hAnsi="Calibri" w:cs="Calibri" w:eastAsia="Calibri"/>
          <w:color w:val="222222"/>
          <w:spacing w:val="0"/>
          <w:position w:val="0"/>
          <w:sz w:val="24"/>
          <w:shd w:fill="auto" w:val="clear"/>
        </w:rPr>
        <w:t xml:space="preserve">in this work, once calibrated, the intensity did not exceed 3000 g.s. units (~3/4 the maximum intensity of the LPA device). An example of this is described in the represented results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3.5.4.</w:t>
        <w:tab/>
        <w:t xml:space="preserve">In addition to restricting light values because of toxicity, users may wish to restrict light values to characterize a particular part of the dose-response, such as the range of the monotone response.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3.5.4.1.</w:t>
        <w:tab/>
        <w:t xml:space="preserve">To achieve this, initially scan a wide range of light intensities, pulse durations or duty cycles depending on the modality being analyzed when determining the desired dose-response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 to narrow in on the light regime of interest, e.g., where gene expression correlates positively with increasing light values for a monotonic dose-response.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3.5.4.2.</w:t>
        <w:tab/>
        <w:t xml:space="preserve">To determine the light range of interest, program a single LPA with up to 24 wells of different intensity/pulse duration/duty cycle/etc. or more wells (e.g., 48, 72, 96, etc.) depending on whether multiple LPAs are calibrated to deliver equivalent light amounts and proceed with the cell culture work or assays outlined below. Therefore, start characterization of an optogenetic system with a wide dose range of light stimuli to determine the range interval that gives the desired gene expression and subsequently perform experiments in that refined dose range.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3.5.4.3.</w:t>
        <w:tab/>
        <w:t xml:space="preserve">For example, in this work, once 3000 g.s. units was determined as the threshold for toxic light intensity; this threshold was used as the upper bound of light for assays outlined below (e.g., immunofluorescence).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steps above are independent of the optical calibration of the LPA and refer to a molecular-level calibration for each optogenetic system.</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Once the appropriate light intensity values are programmed in IRIS, insert a memory card with the USB 3.0 outlet into the LPA to download and transfer the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If calibration of the LPA is complete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proceed to cell culture work for initiation of light-induction assay. If the calibration has not been done, calibrate the LPA using an Image analysis method (steps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once the LPA is programmed with the microcontroller programmer.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Briefly program the LPA to have the same IRIS level as described by Gerhardt et al. (2016)</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calibration, the LPA was programmed to have a value of 2000 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Once the device is programmed with the memory card and the reset button (physical button on the LPA) is pressed, acquire an image of the entire device (e.g., gel station imager, scanner device, etc.). For the calibration, acquire two images with the device rotated by 180&amp;#176;.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w:t>
        <w:tab/>
        <w:t xml:space="preserve">Then, use open-source software designed by Gerhardt et al. (2016)</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show the variability in LED intensity on the LPA plate and calculate the LED compensation values to make the intensity equal across wells. An example of this is described in the represented results below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Once this calibration is complete, proceed to cell culture work for initiation of light-induction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Obtain flasks of engineered monoclonal cells from the previous section to investigate light-induction effects on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Remove the old media from the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Add 1 mL of trypsin to the cells and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After 5 min, neutralize trypsin by adding 4 mL of Dulbecco-modified Eagle’s medium (DMEM or other desired media) supplemented with the necessary chemicals (this work used 50 &amp;#181;g/mL of hygromycin, 1% penicillin/streptomycin solution, 10% fetal bovine serum,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Add ~75,000 cells per well in a 24-well black plate in a total volume of 500 &amp;#181;L. The number of cells seeded can vary depending on the duration of the experiment desired and the cell type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Additionally, note that cell seeding density affects the culture maintenance and potentially the duration of the experiment. Starting at a lower number of cells per well ensures longer time durations before the culture reaches confluency. Furthermore, the type of optogenetic components integrated into the gene circuits of interest will influence when gene expression reaches a steady state and therefore affect the duration of the experiments. Other factors that may be considered are cell line-specific growth rates, media composition, and conditional growth effects (i.e.,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After plating, place the cells in a humidified incubator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to allow them to settle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After the incubation, transfer the cells to a tissue culture hood, remove the plastic lid, and add an adhesive foil strip to the top of the plate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This step allows minimal light transfer between wells, as the top and the sides of the wells are coated, and the light can now only enter from the bottom of the well where the LED is placed.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Place the plate in the fitted 3D parts of the LPA. Then, cover the plate with the 3D-printed LPA lid, which fits over the device screws on each corner.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00" w:val="clear"/>
        </w:rPr>
        <w:t xml:space="preserve">Plug the device into the power source and push the reset button on the LPA device to ensure that the updated LPA experiment settings are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Incubate the cells within the experimental system for an appropriate amount of time, depending on the original seeding density, cell line-specific growth speed, and growth conditions. In this example, the cell lines were induced for 3 days continuously for gene expression to reach a steady state. However, it should be noted that many optogenetic systems (e.g., VVD) may reach steady-state gene expression much sooner (e.g., 24 h), and therefore experimental induction times can be reduced or prolonged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At the end of the light induction experiment, utilize the samples for any of the following four assays to characterize the engineered cell lines (sections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Fluorescence microscopy of light-induced engineered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h post-induction, remove the cells in the LPA from the incubator and place them in a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Remove the foil strip and let the plate sit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This prevents condensation from forming on the plastic lid, if placed immediately on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After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of sitting, put the original plastic lid back on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Image the cells with the appropriate phase contrast or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Depending on the instrument, adjust the exposure time, light source intensity, and gain for displaying engineered cells. In this experiment, the following parameters were applied: 50 ms for FITC/GFP (green fluorescent protein) light source exposure time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ms for phase-contrast exposure time at 100% intensity for each.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should be noted that optimal exposure times, gain levels, and light source intensities are often derived empirically from the experience of this work to minimize oversaturation in the fluorescence reporter, minimize cellular damage, and capture adequate images for qualitative and quantitative analysis. When determining the levels of each of these parameters, the aspects to keep in mind include maximizing signal-to-noise ratios, minimizing phototoxicity, minimizing oversaturation of fluorescence signals, and increasing the ability to amplify weak fluorescence signals.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Optimize these parameters grossly ad-hoc; however, previous experimental values (e.g., light source intensity causing oversaturation of fluorescence reporter) can guide future experimental settings when applicable. For example, the gain settings, exposure times, and light intensity initial values from one circuit (LITer1.0) or experimental setup (e.g., light intensity) can be used as a starting point when moving to a similar but different gene circuit (LITer2.0)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a different light modality (e.g., light duty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Streamline plate imaging by a coordinate template programmed into the microscopy software allowing the entire plate size (e.g., 24 wells) to have automatized image acquisition from multiple image locations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Flow cytometry of light-induced engineered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post-induction, remove the cells from the LPA in the incubator or from the microscope after imaging and place them in the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If removed directly from the LPA, remove the foil strip, and let the plate to sit for a minute or two.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Aspirate the media from each well (of the entire 24-well plate if all the wells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100 &amp;#181;L of 0.25% trypsin to each well, cover the plate with a plastic lid, and place it back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Leave the cells undisturbed in the incubator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After 5 min, remove the plate and return it to the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Neutralize each trypsinized well with 400 &amp;#181;L of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Label a 5 mL polystyrene round-bottom tube with cell strainer (or appropriate flow cytometry tube that can be filtered to remove large clumps of cells not fully trypsinized) with a name corresponding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Use a P1000 pipette to pipette the contents of each well up and down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times to break cell clumps and create single-celled samples for flow cytometry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Transfer the entire contents of each well (~500 &amp;#181;L) to the labeled tubes with the strainer.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Bring cells to the appropriate flow cytometry instrument with lasers of the correct wavelengths (can bring tubes with cells on or off ice).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flow cytometer used in this work was a part of a core facility located at the university hospital.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Create a forward- and side-scatter gate (FSC and SSC, respectively) to capture the single cells of the appropriate size and granularity to exclude debris and cellular clumps on the flow cytometry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Once the gate is set, capture approximately 10,000 cells with the appropriate gate. Adjust this number depending on the amount of cellular data the users are seeking. Repeat for each tube containing the cells from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Once the experiment is complete, import the data to the available flow cytometry data software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Create an FSC-SSC gate (as before during acquisition) and apply it to each batch of experimental data. A reference well of the un-induced cell population is used for creating this gate in this manuscript, but other metrics for gate creation exist, such as density-based gates.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With the experimental conditions gated with an FSC-SSC gate, plot the flow cytometry data as histograms or represent in other ways to illustrate the obtained expression patterns. In this experiment, the fluorescence was captured by the GFP/FITC or PE/TexasRed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RNA extraction and quantitative PCR of gene circuit 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post-induction, remove the cells from the LPA in the incubator or from the microscope after imaging and place them in the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If removed directly from the LPA, remove the foil strip, and let the plate sit for a minute or two.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Aspirate the media from each well (of the entire 24-well plate if all the wells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Proceed to extract RNA from the cells using the appropriate RNA extraction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Once the RNA extraction is complete, perform a reverse transcription reaction of each sample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Further, perform quantitative PCR of each sample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Utilize a DNA polymerase and associated protocol to set up PCR reactions. For this step, set up a multiplexed reaction with a housekeeping gene and a gene of interest, or create separate reactions. In this example, GFP, KRAS, and glyceraldehyde-3-phosphate dehydrogenase (GAPDH) levels were probed. After completing the qRT-PCR experiment, proceed with the analysis via available software to illustrate gene circuit fold change at the RNA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Immunofluorescence of gene circuit components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Use an ice bath or refrigerator/freezer to cool down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post-induction, remove the cells from the LPA in the incubator or from the microscope after imaging and place them in the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If removed directly from the LPA, remove the foil strip, and let the plate sit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Aspirate the media from each well (of the entire 24-well plate if all the wells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Add 100 &amp;#181;L of 0.25% trypsin to each well, cover the plate with a plastic lid, and place it back in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Leave the cells undisturbed in the incubator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After 5 min, remove the plate and return it to the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Neutralize each trypsinized well with 400 </w:t>
      </w:r>
      <w:r>
        <w:rPr>
          <w:rFonts w:ascii="Calibri" w:hAnsi="Calibri" w:cs="Calibri" w:eastAsia="Calibri"/>
          <w:color w:val="222222"/>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Label mini-centrifuge tubes with names corresponding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Use a P1000 pipette and pipette the contents of each well up and down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times to break the cell clumps.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Transfer the entire contents of each well (~500 </w:t>
      </w:r>
      <w:r>
        <w:rPr>
          <w:rFonts w:ascii="Calibri" w:hAnsi="Calibri" w:cs="Calibri" w:eastAsia="Calibri"/>
          <w:color w:val="222222"/>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to the labeled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Centrifuge the cells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When complete, discard the supernatant and move the samples to a chemical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Resuspend the cells (use a P1000 pipette and pipette up and down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times in each tube to break cell clumps) in 750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222222"/>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4% paraformaldehyde (diluted in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Allow the cells to sit for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7.16.</w:t>
        <w:tab/>
        <w:t xml:space="preserve">After the incubation, add 750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222222"/>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PBS. Pipette up and down several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7.17.</w:t>
        <w:tab/>
        <w:t xml:space="preserve">Centrifuge the cells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7.18.</w:t>
        <w:tab/>
        <w:t xml:space="preserve">When complete, discard the supernatant and move the samples to a chemical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7.19.</w:t>
        <w:tab/>
        <w:t xml:space="preserve">Resuspend the cells (use a P1000 pipette and pipette up and down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times in each tube to break cell clumps) in 750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222222"/>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ice-cold methanol.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7.20.</w:t>
        <w:tab/>
        <w:t xml:space="preserve">Allow the cells to sit for 30 min on ice or in a -20 &amp;#176;C freezer.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After the incubation, add 750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222222"/>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PBS. Pipette up and down several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Centrifuge the cells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When complete, discard the supernatant and move the samples to a chemical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Depending on the type of antibodies used, modify the protocol from this point forward. Follow either steps 7.24.1-7.24.14 or 7.24.15-7.24.22.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w:t>
        <w:tab/>
        <w:t xml:space="preserve">If using a primary and secondary antibody, resuspend the cells using a P1000/P200 pipette and pipette up and down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times in each tube to break cell clumps in 100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primary antibody. In this case, a dilution of 1:800 for stock antibodies was made, including </w:t>
      </w:r>
      <w:r>
        <w:rPr>
          <w:rFonts w:ascii="Calibri" w:hAnsi="Calibri" w:cs="Calibri" w:eastAsia="Calibri"/>
          <w:color w:val="auto"/>
          <w:spacing w:val="0"/>
          <w:position w:val="0"/>
          <w:sz w:val="24"/>
          <w:shd w:fill="FFFFFF" w:val="clear"/>
        </w:rPr>
        <w:t xml:space="preserve">KRAS antibody or ERK antibody, and was allowed to sit for 1 h at room temperature. Antibodies were diluted in an incubation buffer made from 1x PBS with 0.5 g of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Determine the exact dilution of the antibody empirically by creating a standard curve of antibody dilutions vs. the antigen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7.24.2.</w:t>
        <w:tab/>
        <w:t xml:space="preserve">After adding antibodies, cover the tubes with a foil to prevent light effects on labeled antibodies.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7.24.3.</w:t>
        <w:tab/>
      </w:r>
      <w:r>
        <w:rPr>
          <w:rFonts w:ascii="Calibri" w:hAnsi="Calibri" w:cs="Calibri" w:eastAsia="Calibri"/>
          <w:color w:val="auto"/>
          <w:spacing w:val="0"/>
          <w:position w:val="0"/>
          <w:sz w:val="24"/>
          <w:shd w:fill="auto" w:val="clear"/>
        </w:rPr>
        <w:t xml:space="preserve">After incubation, add 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incubation buffer. Pipette up and down several times.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7.24.4.</w:t>
        <w:tab/>
        <w:t xml:space="preserve">Centrifuge the cells for 5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7.24.5.</w:t>
        <w:tab/>
        <w:t xml:space="preserve">When complete, discard the supernatant and move the samples to a chemical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7.24.6.</w:t>
        <w:tab/>
        <w:t xml:space="preserve">Resuspend the cells using a P1000/P200 pipette and pipette up and down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times in each tube to break cell clumps in 100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secondary antibody. In this case, cells were resuspended</w:t>
      </w:r>
      <w:r>
        <w:rPr>
          <w:rFonts w:ascii="Calibri" w:hAnsi="Calibri" w:cs="Calibri" w:eastAsia="Calibri"/>
          <w:color w:val="auto"/>
          <w:spacing w:val="0"/>
          <w:position w:val="0"/>
          <w:sz w:val="24"/>
          <w:shd w:fill="FFFFFF" w:val="clear"/>
        </w:rPr>
        <w:t xml:space="preserve"> in 100 &amp;#181;L secondary antibody at a dilution of 1:800 for KRAS antibody or 1:2000 for ERK antibody and allowed to sit for 30 min at room temperature. Similar to primary antibodies, dilute the secondary antibodies in the incubation buffer as described above.</w:t>
      </w:r>
      <w:r>
        <w:rPr>
          <w:rFonts w:ascii="Calibri" w:hAnsi="Calibri" w:cs="Calibri" w:eastAsia="Calibri"/>
          <w:color w:val="auto"/>
          <w:spacing w:val="0"/>
          <w:position w:val="0"/>
          <w:sz w:val="24"/>
          <w:shd w:fill="auto" w:val="clear"/>
        </w:rPr>
        <w:t xml:space="preserve"> Determine the dilutions of the secondary antibodies based on the empirical findings of a standard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7.24.7.</w:t>
        <w:tab/>
        <w:t xml:space="preserve">After adding antibodies, cover the tubes with a foil to prevent light effects on the labeled antibodies.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7.24.8.</w:t>
        <w:tab/>
      </w:r>
      <w:r>
        <w:rPr>
          <w:rFonts w:ascii="Calibri" w:hAnsi="Calibri" w:cs="Calibri" w:eastAsia="Calibri"/>
          <w:color w:val="auto"/>
          <w:spacing w:val="0"/>
          <w:position w:val="0"/>
          <w:sz w:val="24"/>
          <w:shd w:fill="auto" w:val="clear"/>
        </w:rPr>
        <w:t xml:space="preserve">After the incubation, add 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incubation buffer. Pipette up and down several times.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7.24.9.</w:t>
        <w:tab/>
        <w:t xml:space="preserve">Centrifuge the cells for 5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7.24.10.</w:t>
        <w:tab/>
        <w:t xml:space="preserve">When complete, discard the supernatant and move the samples to a chemical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7.24.11.</w:t>
        <w:tab/>
        <w:t xml:space="preserve">Resuspend the cells using a P1000 pipette and pipette up and down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times in each tube to break cell clumps in 500 </w:t>
      </w:r>
      <w:r>
        <w:rPr>
          <w:rFonts w:ascii="Calibri" w:hAnsi="Calibri" w:cs="Calibri" w:eastAsia="Calibri"/>
          <w:color w:val="222222"/>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7.24.12.</w:t>
        <w:tab/>
        <w:t xml:space="preserve">Transfer the entire contents of each tube (~500 </w:t>
      </w:r>
      <w:r>
        <w:rPr>
          <w:rFonts w:ascii="Calibri" w:hAnsi="Calibri" w:cs="Calibri" w:eastAsia="Calibri"/>
          <w:color w:val="222222"/>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to the labeled tubes with strainers.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7.24.13.</w:t>
        <w:tab/>
        <w:t xml:space="preserve">Bring the cells to appropriate flow cytometry instruments with lasers of the correct wavelengths (can bring tubes with cells on or off 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should be noted that having several controls are important for progressing with flow cytometry measurement and analysis of engineered cell gene expression. For example, having completely unstained cells, cells stained with primary antibody alone, and cells stained with secondary antibody alone can be useful for comparing results with background signals from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7.24.14.</w:t>
        <w:tab/>
        <w:t xml:space="preserve">From this point, proceed with the analysis as described in section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7.24.15.</w:t>
        <w:tab/>
      </w:r>
      <w:r>
        <w:rPr>
          <w:rFonts w:ascii="Calibri" w:hAnsi="Calibri" w:cs="Calibri" w:eastAsia="Calibri"/>
          <w:color w:val="auto"/>
          <w:spacing w:val="0"/>
          <w:position w:val="0"/>
          <w:sz w:val="24"/>
          <w:shd w:fill="FFFF00" w:val="clear"/>
        </w:rPr>
        <w:t xml:space="preserve">If using only a primary antibody, resuspend the cells using a P1000/P200 pipette and pipette up and down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times in each tube to break cell clumps in 100 &amp;#181;L of labeled primary antibody. Determine appropriate antibody dilution and incubate for 1 h at room temperature.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Determine the antibody dilution from the standard curve empirically.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7.24.16.</w:t>
        <w:tab/>
        <w:t xml:space="preserve">After adding antibodies, cover the tubes with a foil to prevent light effects on labeled antibodies.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7.24.17.</w:t>
        <w:tab/>
        <w:t xml:space="preserve">After incubation, add 750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 &amp;#181;L of the incubation buffer. Pipette up and down several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7.24.18.</w:t>
        <w:tab/>
        <w:t xml:space="preserve">Centrifuge the cells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7.24.19.</w:t>
        <w:tab/>
        <w:t xml:space="preserve">Resuspend the cells using a P1000 pipette and pipette up and down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times in each tube to break cell clumps in 500 </w:t>
      </w:r>
      <w:r>
        <w:rPr>
          <w:rFonts w:ascii="Calibri" w:hAnsi="Calibri" w:cs="Calibri" w:eastAsia="Calibri"/>
          <w:color w:val="222222"/>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7.24.20.</w:t>
        <w:tab/>
        <w:t xml:space="preserve">Transfer the entire contents of each tube (~500 </w:t>
      </w:r>
      <w:r>
        <w:rPr>
          <w:rFonts w:ascii="Calibri" w:hAnsi="Calibri" w:cs="Calibri" w:eastAsia="Calibri"/>
          <w:color w:val="222222"/>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to labeled tubes with strainers.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7.24.21.</w:t>
        <w:tab/>
      </w:r>
      <w:r>
        <w:rPr>
          <w:rFonts w:ascii="Calibri" w:hAnsi="Calibri" w:cs="Calibri" w:eastAsia="Calibri"/>
          <w:color w:val="auto"/>
          <w:spacing w:val="0"/>
          <w:position w:val="0"/>
          <w:sz w:val="24"/>
          <w:shd w:fill="FFFF00" w:val="clear"/>
        </w:rPr>
        <w:t xml:space="preserve">Bring the cells to appropriate flow cytometry instruments with lasers of the correct wavelengths (can bring tubes with cells on or off 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should be noted that having several controls are important for progressing with flow cytometry measurement and analysis of engineered cell gene expression. Having completely unstained cells and cells stained with primary antibody alone are useful for comparing results with background signals from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7.24.22.</w:t>
        <w:tab/>
        <w:t xml:space="preserve">From this point, proceed with the analysis as described in section 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circuit assembly and stable cell line generation within this article were based on commercial, modified HEK-293 cells containing a transcriptionally active, single stable FRT site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gene circuits were constructed into vectors that had FRT sites within the plasmid, allowing for the Flp-FRT integration into the HEK-293 cell genome. This approach is not limited to Flp-In cells, as FRT sites can be added to any cell line of interest anywhere in the genome using DNA editing technology such as CRISPR/Cas9</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appropriate cell lines were constructed and validated for the correct insertion, the LPA and IRIS software were chosen as a standardized protocol for light induction of gene expression</w:t>
      </w:r>
      <w:r>
        <w:rPr>
          <w:rFonts w:ascii="Calibri" w:hAnsi="Calibri" w:cs="Calibri" w:eastAsia="Calibri"/>
          <w:color w:val="auto"/>
          <w:spacing w:val="0"/>
          <w:position w:val="0"/>
          <w:sz w:val="24"/>
          <w:shd w:fill="auto" w:val="clear"/>
          <w:vertAlign w:val="superscript"/>
        </w:rPr>
        <w:t xml:space="preserve">31,51</w:t>
      </w:r>
      <w:r>
        <w:rPr>
          <w:rFonts w:ascii="Calibri" w:hAnsi="Calibri" w:cs="Calibri" w:eastAsia="Calibri"/>
          <w:color w:val="auto"/>
          <w:spacing w:val="0"/>
          <w:position w:val="0"/>
          <w:sz w:val="24"/>
          <w:shd w:fill="auto" w:val="clear"/>
        </w:rPr>
        <w:t xml:space="preserve">. The LPA system allows 24-wells to be programmed for induction of multiple conditions of mammalian cells depending on the light intensity, pulse duration, and duty cycle, to name a few types of experimental conditions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Within this article, spatially uniform light intensity, pulse duration, and duty cycle were prioritized. However, researchers can use this software and the LPA for more advanced programming of temporal light wave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crucial aspect about the LPA to be addressed before starting experiments is the optical calibration which can be performed for single or multiple devices. The previously described image analysis method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used for calibration requires an image of the entire LPA with all LEDs of interest turned on, which can be acquired from a variety of sources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including a gel imager. Here, a computer scanner was used for image acquisition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Once the image was acquired, the open-source software created by Gerhardt et al. (2016)</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was used to calculate compensation values for each LED to ensure each LPA emits the same intensity at a given grayscale value. The software subtracts the background signal, thresholds the image into a binary category, and calculates the pixel intensity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From the calibration, a minimal variation among the LEDs was found, with a CV of 0.04 between 96 wells (or 4 plates calibrated,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Lastly, using the calibration software demonstrated the LED variation by location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and created a grayscale adjustment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so that each LED is normalized to the same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calibration of the LPA, other important aspects of using the LPA include integrating several controls in the experimental pipeline that can help users minimize systemic errors, confounding variables such as light-toxicity effects and design limitations based on experimental materials. For example,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illustrates two different configurations for programming different light intensities in the LPA wells. The first subpanel of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shows an ascending organization of light intensity. This can make for ease of programming and data analysis but can produce edge effects where the bottom row of the LPA has the highest light intensity and can potentially cause unwanted heat and light induction of nearby wells. Similarly, in the second subpanel of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a randomization matrix has been applied to the IRIS software, creating various light intensities in random positions. This can minimize systemic influences of edge effects. A descrambled matrix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is created with the IRIS software, which can then be utilized to determine the experimental conditions after the completion of the experiment and during analysis. Similar to the randomization of wells, users should also be aware of light toxicity effects that may occur (blue light within this work).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two different light intensities used for gene circuit induction are shown with the same FSC-SSC gate based on the un-induced population of engineered cells. Increasing blue light induction drastically increased the number of events categorized as cellular debris, clumps, or dead cells. As such, users should perform a dose-response on the light modality of interest (e.g., pulse, duty cycle, etc.) to determine light toxicity effects that can occur at the high end of exposure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Here, increasing blue light levels caused dose-dependent cellular debris, dead cells, and clumps compared to non-stimulated cells. As such, the continuous light intensity was restricted to around ¾ of the maximum LPA intensity (~3000 g.s.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proper equipment was set up, gene expression was then induced in engineered LITer gene circuits via fluorescence microscopy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Cells were induced at different light pulse durations on the LPA, which gave a light dose-response of gene expression at the population level. Cells within this work were imaged for GFP expression using 50 ms for FITC/GFP light source exposure time and for bright field imaging using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ms for phase-contrast exposure time. Given the robustness of this cell line-engineering protocol, any fluorescence marker could be used instead of GFP. The cells can be induced with multiple light regimes and produce a large range of responses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latter is beneficial in further controlling the expression of functional genes (e.g., oncogene in the original work</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Immediately after fluorescence microscopy, cells could be analyzed in a variety of experimental protocols, including flow cytometry, qRT-PCR, and immunofluorescence. In this work, flow cytometry was performed as a first validation procedure and carried out following the methods outlined above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Similar to microscopy, cells were induced at different pulse length values, and showed a dose-response of gene expression quantified at the population level of over four-fold change from un-induced states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Similarly, gene expression noise reduction can be shown by comparing various light intensity values (</w:t>
      </w:r>
      <w:r>
        <w:rPr>
          <w:rFonts w:ascii="Calibri" w:hAnsi="Calibri" w:cs="Calibri" w:eastAsia="Calibri"/>
          <w:b/>
          <w:color w:val="auto"/>
          <w:spacing w:val="0"/>
          <w:position w:val="0"/>
          <w:sz w:val="24"/>
          <w:shd w:fill="auto" w:val="clear"/>
        </w:rPr>
        <w:t xml:space="preserve">Figure 6C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 the LITer system versus a positive regulation system such as the VVD/LightOn</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When comparing the LITer with the VVD system, negative feedback achieves over five-fold gene expression noise reduction. The same pre-induced cells imaged on microscopy could also be analyzed via qRT-PCR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Similar to flow cytometry, the engineered LITer cells could express RNA levels in a dose-responsive manner (over 10-fold induction from un-induced states), matching the dose-response of protein levels quantified by GFP expression on flow cytometry. The fluorescent microscopy and flow cytometry data mentioned can be calibrated using non-fluorescence cells, constitutively expressing fluorescence cells, and fluorescent 6-8-peak validation beads (e.g., FL1-channel green, fluorescent beads). Each of these components can allow the normalization of gene expression in a single experiment. However, these factors can also allow normalization of circuits and engineered cells across different experimental plates, experimental conditions, and days to allow comparison and standardization of gene expression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the LITer gene circuits can be engineered to express functional genes, such as the KRAS (G12V,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versatility of this pipeline allows users to utilize the LITer architecture with cell engineering for any functional gene of interest, possibly incorporating additional architectures such as positive feedback. The LITer showed increasing amounts of blue light that resulted in increased levels of the gene circuit output (KRAS (G12V) protein levels) and, consequently, phosphorylated-ERK levels, both of which can be quantified via immunofluorescence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DNA assembly reaction master mix calculation (step 1.13).</w:t>
      </w:r>
      <w:r>
        <w:rPr>
          <w:rFonts w:ascii="Calibri" w:hAnsi="Calibri" w:cs="Calibri" w:eastAsia="Calibri"/>
          <w:color w:val="auto"/>
          <w:spacing w:val="0"/>
          <w:position w:val="0"/>
          <w:sz w:val="24"/>
          <w:shd w:fill="auto" w:val="clear"/>
        </w:rPr>
        <w:t xml:space="preserve"> The dark, gray-shaded cells are custom filled based on the size of the DNA fragments assembled and the concentration of these fragments after PCR amplification and agarose gel extraction (step 1.11). The light-gray shaded cell (total reaction volume) can be modified; however, the stated volume is recommended. Unshaded cells are generated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IRIS programming of light intensities (g.s.) for light induction experiment in a 24-well plate with three replicates (step 3.4).</w:t>
      </w:r>
      <w:r>
        <w:rPr>
          <w:rFonts w:ascii="Calibri" w:hAnsi="Calibri" w:cs="Calibri" w:eastAsia="Calibri"/>
          <w:color w:val="auto"/>
          <w:spacing w:val="0"/>
          <w:position w:val="0"/>
          <w:sz w:val="24"/>
          <w:shd w:fill="auto" w:val="clear"/>
        </w:rPr>
        <w:t xml:space="preserve"> Color gradient from white to dark green indicates the increase in light intensity from 0 to 3000 g.s. G.s.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grayscale units. This can be randomized by the IRIS software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Reverse transcription master mix calculation (step 6.5).</w:t>
      </w:r>
      <w:r>
        <w:rPr>
          <w:rFonts w:ascii="Calibri" w:hAnsi="Calibri" w:cs="Calibri" w:eastAsia="Calibri"/>
          <w:color w:val="auto"/>
          <w:spacing w:val="0"/>
          <w:position w:val="0"/>
          <w:sz w:val="24"/>
          <w:shd w:fill="auto" w:val="clear"/>
        </w:rPr>
        <w:t xml:space="preserve"> The reaction recommended total volume is 20 &amp;#181;L, and its components are the reverse transcriptase enzyme master mix (here: 5x), RNA template, and nuclease-free water. In this example, the RNA concentrations of samples 1, 2, and 3 are 500, 333, and 250 ng/&amp;#181;L,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Quantitative PCR master mix calculation (step 6.6). </w:t>
      </w:r>
      <w:r>
        <w:rPr>
          <w:rFonts w:ascii="Calibri" w:hAnsi="Calibri" w:cs="Calibri" w:eastAsia="Calibri"/>
          <w:color w:val="auto"/>
          <w:spacing w:val="0"/>
          <w:position w:val="0"/>
          <w:sz w:val="24"/>
          <w:shd w:fill="auto" w:val="clear"/>
        </w:rPr>
        <w:t xml:space="preserve">The reaction recommended total volume is 20 &amp;#181;L and its components are the DNA polymerase enzyme master mix (here: 2x), GFP and/or GAPDH probes, cDNA (100 ng total), and nuclease free water (NF-H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Circuit design and cell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 engineering tools, including LITer synthetic gene circuit with FRT integration sites, recombinase enzyme (Flp recombinase) for circuit integration, drug used for selection of appropriate genetic clones, and cell line of interest used for creating desired optogenetic mammalian cell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Systems can be integrated at a specific FRT-site containing locus within the human genome. These genomic loci can then express specific antibiotic resistance or fluorescent reporter genes for selection of properly integrated genetic cassettes. Gene circuit integration can be initiated with the use of recombinases that recognize specific sites within the original genetic cassette. This introduces a novel drug resistance selection gene which can ensure generation of correctly engineered cells with the desired gene circuit. At the bottom of panel B is the gene circuit architecture for the optogenetic negative feedback system, LITer2.0. This circuit is composed of a self-repressing TetR protein fused with a Light-oxygen-voltage-sensing domain (LOV2), a linker sequence P2A which enables a multicistronic transcript, and GFP. When blue light is applied, the TIP sequence opens from the LOV2 domain, inhibiting the TetR protein, and allowing increased, dose-responsive transcription of both TetR and the GFP reporter. The inhibited TetR protein is unable to bind and repress at the DNA operator site, thus increasing transcription. This negative feedback keeps the gene expression noise low and allows a high-fold change of gene expression. </w:t>
      </w:r>
      <w:r>
        <w:rPr>
          <w:rFonts w:ascii="Calibri" w:hAnsi="Calibri" w:cs="Calibri" w:eastAsia="Calibri"/>
          <w:color w:val="000000"/>
          <w:spacing w:val="0"/>
          <w:position w:val="0"/>
          <w:sz w:val="24"/>
          <w:shd w:fill="auto" w:val="clear"/>
        </w:rPr>
        <w:t xml:space="preserve">FRT - flip recognition target, HygR - hygromycin resistance, LacZ - &amp;#946;-galactosidase, ZeoR - zeocin resistance, T - TetR, tetracycline repressor protein, D2ir is a CMV-based promoter, LOV2 is Light-oxygen-voltage-sensing domain, TIP is tet-inhibiting peptide which inhibits the TetR protein. </w:t>
      </w:r>
      <w:r>
        <w:rPr>
          <w:rFonts w:ascii="Calibri" w:hAnsi="Calibri" w:cs="Calibri" w:eastAsia="Calibri"/>
          <w:color w:val="222222"/>
          <w:spacing w:val="0"/>
          <w:position w:val="0"/>
          <w:sz w:val="24"/>
          <w:shd w:fill="FFFFFF" w:val="clear"/>
        </w:rPr>
        <w:t xml:space="preserve">This figure has been modified from Guinn</w:t>
      </w:r>
      <w:r>
        <w:rPr>
          <w:rFonts w:ascii="Calibri" w:hAnsi="Calibri" w:cs="Calibri" w:eastAsia="Calibri"/>
          <w:color w:val="222222"/>
          <w:spacing w:val="0"/>
          <w:position w:val="0"/>
          <w:sz w:val="24"/>
          <w:shd w:fill="auto" w:val="clear"/>
        </w:rPr>
        <w:t xml:space="preserve"> and Bal&amp;#225;zsi</w:t>
      </w:r>
      <w:r>
        <w:rPr>
          <w:rFonts w:ascii="Calibri" w:hAnsi="Calibri" w:cs="Calibri" w:eastAsia="Calibri"/>
          <w:color w:val="auto"/>
          <w:spacing w:val="0"/>
          <w:position w:val="0"/>
          <w:sz w:val="24"/>
          <w:shd w:fill="auto" w:val="clear"/>
        </w:rPr>
        <w:t xml:space="preserve"> (2020)</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LPA experimental programming.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Experiments can be programmed using the tools listed on Tabor lab website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with flexibility for steady-state, dynamic, or advanced LPA programming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Furthermore, electronic files can be saved for future use for technical replicates or experimental induction of alternative cell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LPA device with main components viewed from the top and side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Images of foil-sealed plates to reside on LPA. LPA - Light Plate Apparatus, LED - light-emitting diode.</w:t>
      </w:r>
      <w:r>
        <w:rPr>
          <w:rFonts w:ascii="Calibri" w:hAnsi="Calibri" w:cs="Calibri" w:eastAsia="Calibri"/>
          <w:color w:val="222222"/>
          <w:spacing w:val="0"/>
          <w:position w:val="0"/>
          <w:sz w:val="24"/>
          <w:shd w:fill="FFFFFF" w:val="clear"/>
        </w:rPr>
        <w:t xml:space="preserve"> Elements of this figure have been modified from </w:t>
      </w:r>
      <w:r>
        <w:rPr>
          <w:rFonts w:ascii="Calibri" w:hAnsi="Calibri" w:cs="Calibri" w:eastAsia="Calibri"/>
          <w:color w:val="auto"/>
          <w:spacing w:val="0"/>
          <w:position w:val="0"/>
          <w:sz w:val="24"/>
          <w:shd w:fill="auto" w:val="clear"/>
        </w:rPr>
        <w:t xml:space="preserve">Guinn (2019)</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Calibration of the light plate apparatus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LPA for LEDs set to 2000 g.s. based on IRIS software.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from panel (A) with background subtracted and threshold used to binarize the image to calculate pixel intensity of each LED.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Histogram of pixel intensities (determined by MATLAB image analysis) of 96 LEDs (4 LPA plates) set to the same IRIS software value (e.g., 2000 g.s.). The red line represents mean LED pixel intensity, and CV in the panel represents the coefficient of variation for the 96 wells.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Heatmap showing the LED intensities of the LPA image in panel (A) normalized to the maximum intensity LED.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Calibration value heatmap determined for the LPA image in panel (A) to create equal intensity production for each LED when programmed for the LPA. LPA - Light Plate Apparatus, LED - light-emitting diode, CV - coefficient of variation.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Randomization of LPA and light toxicity effects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two programmable LPA LED configurations set from 25 to 4000 g.s, based on IRIS software. The first configuration is more likely to allow systematic errors such as edge-effects of heat and light to cross over (e.g., the lower row of the LPA affecting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lowest row). The second image randomizes the location of intensities, therefore minimizing systematic error (bias) caused by edge effects.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Matrix showing randomization location for light intensities in the LPA shown in panel (A), which can be used to determine the intensity-dependent results of a given experiment.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Flow cytometry data for two different light intensities (1250 and 4000 g.s.) for 3 days of induction at continuous illumination. The black gate is based on uninduced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Bar graph showing flow cytometry data such as panel (C) but for a wide range of light intensities. LPA - Light Plate Apparatus, FSC - forward scatter, SSC - side scatter, g.s. - light intensity value measured in grayscale. LITer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had a dose-responsive decrease in cell survival that was statistically significant using ANOVA 1-tailed test with a p-value of 0.0022.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microscopy images of engineered optogenetic cell lines. </w:t>
      </w:r>
      <w:r>
        <w:rPr>
          <w:rFonts w:ascii="Calibri" w:hAnsi="Calibri" w:cs="Calibri" w:eastAsia="Calibri"/>
          <w:color w:val="auto"/>
          <w:spacing w:val="0"/>
          <w:position w:val="0"/>
          <w:sz w:val="24"/>
          <w:shd w:fill="auto" w:val="clear"/>
        </w:rPr>
        <w:t xml:space="preserve">Cells were imaged on an inverted microscope with a camera (14-bit) for acquiring phase contrast and fluorescence imaging. Cells were exposed for 5 ms for phase contrast (</w:t>
      </w:r>
      <w:r>
        <w:rPr>
          <w:rFonts w:ascii="Calibri" w:hAnsi="Calibri" w:cs="Calibri" w:eastAsia="Calibri"/>
          <w:b/>
          <w:color w:val="auto"/>
          <w:spacing w:val="0"/>
          <w:position w:val="0"/>
          <w:sz w:val="24"/>
          <w:shd w:fill="auto" w:val="clear"/>
        </w:rPr>
        <w:t xml:space="preserve">Panel A</w:t>
      </w:r>
      <w:r>
        <w:rPr>
          <w:rFonts w:ascii="Calibri" w:hAnsi="Calibri" w:cs="Calibri" w:eastAsia="Calibri"/>
          <w:color w:val="auto"/>
          <w:spacing w:val="0"/>
          <w:position w:val="0"/>
          <w:sz w:val="24"/>
          <w:shd w:fill="auto" w:val="clear"/>
        </w:rPr>
        <w:t xml:space="preserve">, representative bright-field image) and 50 ms of light source for GFP/FITC acquisition (</w:t>
      </w:r>
      <w:r>
        <w:rPr>
          <w:rFonts w:ascii="Calibri" w:hAnsi="Calibri" w:cs="Calibri" w:eastAsia="Calibri"/>
          <w:b/>
          <w:color w:val="auto"/>
          <w:spacing w:val="0"/>
          <w:position w:val="0"/>
          <w:sz w:val="24"/>
          <w:shd w:fill="auto" w:val="clear"/>
        </w:rPr>
        <w:t xml:space="preserve">Panel B</w:t>
      </w:r>
      <w:r>
        <w:rPr>
          <w:rFonts w:ascii="Calibri" w:hAnsi="Calibri" w:cs="Calibri" w:eastAsia="Calibri"/>
          <w:color w:val="auto"/>
          <w:spacing w:val="0"/>
          <w:position w:val="0"/>
          <w:sz w:val="24"/>
          <w:shd w:fill="auto" w:val="clear"/>
        </w:rPr>
        <w:t xml:space="preserve">) at 100% light source intensity. Cells can be imaged at various time points depending on desired steady-state acquisition or dynamic response, leading to a steady state. Cells here represent a pulse intensity titration at fixed intensity (1000 g.s.) ranging from no light exposure to 3 days of light exposure. The unit g.s represents a light intensity value measured in grayscale.</w:t>
      </w:r>
      <w:r>
        <w:rPr>
          <w:rFonts w:ascii="Calibri" w:hAnsi="Calibri" w:cs="Calibri" w:eastAsia="Calibri"/>
          <w:color w:val="222222"/>
          <w:spacing w:val="0"/>
          <w:position w:val="0"/>
          <w:sz w:val="24"/>
          <w:shd w:fill="FFFFFF" w:val="clear"/>
        </w:rPr>
        <w:t xml:space="preserve"> This figure has been modified from </w:t>
      </w:r>
      <w:r>
        <w:rPr>
          <w:rFonts w:ascii="Calibri" w:hAnsi="Calibri" w:cs="Calibri" w:eastAsia="Calibri"/>
          <w:color w:val="auto"/>
          <w:spacing w:val="0"/>
          <w:position w:val="0"/>
          <w:sz w:val="24"/>
          <w:shd w:fill="auto" w:val="clear"/>
        </w:rPr>
        <w:t xml:space="preserve">Guinn (2019)</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Flow cytometry of engineered optogenetic cell lines.</w:t>
      </w:r>
      <w:r>
        <w:rPr>
          <w:rFonts w:ascii="Calibri" w:hAnsi="Calibri" w:cs="Calibri" w:eastAsia="Calibri"/>
          <w:color w:val="auto"/>
          <w:spacing w:val="0"/>
          <w:position w:val="0"/>
          <w:sz w:val="24"/>
          <w:shd w:fill="auto" w:val="clear"/>
        </w:rPr>
        <w:t xml:space="preserve"> Cells were analyzed on a BD LSRFortessa flow cytometer, with approximately 10,000 cells collected within an SSC-FSC (side scatter-forward scatter) gate. The cells were then analyzed with the FCS Express software. Histogram or scatter plots could be generated to quantify the expression of the gene of interest (e.g., GFP).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Engineered cells plotted on SSC-FSC axes for gating within the black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LITer cells induced with varying duration of light pulses at 1000 g.s. up to 72 h of induction, illustrating dose-response of gene expression.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dose-response data for light intensity titration comparing the LITer gene circuit (TIP-based system) versus VVD or LightOn system</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which is a positive regulation system with no feedback.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Histogram corresponding to the VVD system, illustrating wider distribution (and therefore higher gene expression noise) compared to the LITer system. CV is the coefficient of variation, a metric for gene expression noise. FSC - forward scatter, SSC - side scatter, FITC - fluorescein isothiocyanate, g.s. - light intensity value measured in grayscale.</w:t>
      </w:r>
      <w:r>
        <w:rPr>
          <w:rFonts w:ascii="Calibri" w:hAnsi="Calibri" w:cs="Calibri" w:eastAsia="Calibri"/>
          <w:color w:val="222222"/>
          <w:spacing w:val="0"/>
          <w:position w:val="0"/>
          <w:sz w:val="24"/>
          <w:shd w:fill="FFFFFF" w:val="clear"/>
        </w:rPr>
        <w:t xml:space="preserve"> This figure has been modified from </w:t>
      </w:r>
      <w:r>
        <w:rPr>
          <w:rFonts w:ascii="Calibri" w:hAnsi="Calibri" w:cs="Calibri" w:eastAsia="Calibri"/>
          <w:color w:val="auto"/>
          <w:spacing w:val="0"/>
          <w:position w:val="0"/>
          <w:sz w:val="24"/>
          <w:shd w:fill="auto" w:val="clear"/>
        </w:rPr>
        <w:t xml:space="preserve">Guinn (2019)</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Quantitative real-time PCR of engineered optogenetic cell lines.</w:t>
      </w:r>
      <w:r>
        <w:rPr>
          <w:rFonts w:ascii="Calibri" w:hAnsi="Calibri" w:cs="Calibri" w:eastAsia="Calibri"/>
          <w:color w:val="auto"/>
          <w:spacing w:val="0"/>
          <w:position w:val="0"/>
          <w:sz w:val="24"/>
          <w:shd w:fill="auto" w:val="clear"/>
        </w:rPr>
        <w:t xml:space="preserve"> Representative data showing that multiple gene expression levels can be induced and quantified using light as a stimulus. The unit Rq represents relative quantification of expression fold-change compared to control. LITer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had a dose-responsive increase in RNA expression that was statistically significant using ANOVA 1-tailed test with a p-value of 0.0352 and 0.0477 for GFP and KRAS levels, respectively.</w:t>
      </w:r>
      <w:r>
        <w:rPr>
          <w:rFonts w:ascii="Calibri" w:hAnsi="Calibri" w:cs="Calibri" w:eastAsia="Calibri"/>
          <w:color w:val="222222"/>
          <w:spacing w:val="0"/>
          <w:position w:val="0"/>
          <w:sz w:val="24"/>
          <w:shd w:fill="FFFFFF" w:val="clear"/>
        </w:rPr>
        <w:t xml:space="preserve"> This figure has been modified from </w:t>
      </w:r>
      <w:r>
        <w:rPr>
          <w:rFonts w:ascii="Calibri" w:hAnsi="Calibri" w:cs="Calibri" w:eastAsia="Calibri"/>
          <w:color w:val="auto"/>
          <w:spacing w:val="0"/>
          <w:position w:val="0"/>
          <w:sz w:val="24"/>
          <w:shd w:fill="auto" w:val="clear"/>
        </w:rPr>
        <w:t xml:space="preserve">Guinn (2019)</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Immunofluorescence of engineered optogenetic cell lines.</w:t>
      </w:r>
      <w:r>
        <w:rPr>
          <w:rFonts w:ascii="Calibri" w:hAnsi="Calibri" w:cs="Calibri" w:eastAsia="Calibri"/>
          <w:color w:val="auto"/>
          <w:spacing w:val="0"/>
          <w:position w:val="0"/>
          <w:sz w:val="24"/>
          <w:shd w:fill="auto" w:val="clear"/>
        </w:rPr>
        <w:t xml:space="preserve"> Representative data showing protein-level estimates based on immunofluorescence.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Protein levels of KRAS(G12V)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protein levels of phosphorylated-ERK, which the LITer gene circuit induces according to increasing light amounts directly and indirectly, respectively. Data shown in bars are mean values, error bars are standard deviation (n = 3). A.u. - arbitrary units, g.s. - light intensity value measured in grayscale. LITer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had a dose-responsive increase in protein levels that was statistically significant using ANOVA 1-tailed test with a p-value of 2.79E-04 and 0.016 for KRAS and phosphorylated-ERK levels, respectively.</w:t>
      </w:r>
      <w:r>
        <w:rPr>
          <w:rFonts w:ascii="Calibri" w:hAnsi="Calibri" w:cs="Calibri" w:eastAsia="Calibri"/>
          <w:color w:val="222222"/>
          <w:spacing w:val="0"/>
          <w:position w:val="0"/>
          <w:sz w:val="24"/>
          <w:shd w:fill="FFFFFF" w:val="clear"/>
        </w:rPr>
        <w:t xml:space="preserve"> This figure has been modified from </w:t>
      </w:r>
      <w:r>
        <w:rPr>
          <w:rFonts w:ascii="Calibri" w:hAnsi="Calibri" w:cs="Calibri" w:eastAsia="Calibri"/>
          <w:color w:val="auto"/>
          <w:spacing w:val="0"/>
          <w:position w:val="0"/>
          <w:sz w:val="24"/>
          <w:shd w:fill="auto" w:val="clear"/>
        </w:rPr>
        <w:t xml:space="preserve">Guinn (2019)</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Readers of this article can gain insight into the steps vital for characterizing optogenetic gene circuits (as well as other gene expression systems), including 1) gene circuit design, construction, and validation; 2) cell engineering for introducing gene circuits into stable cell lines (e.g., Flp-FRT recombination); 3) induction of the engineered cells with a light-based platform such as the Light Plate Apparatus (LPA); 4) initial characterization of light induction assays via fluorescence microscopy; and 5) final gene expression characterization with a variety of assays, including flow cytometry, quantitative real-time PCR (qRT-PCR), or immunofluorescence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methods outlined above are highly modular for essentially any gene circuit architecture expressing genes-of-interest, with the main potential modifications to the protocols at the circuit construction step and the assays conducted. In the case of gene circuit construction, the flexibility of molecular cloning allows any gene of interest to be exchanged or co-expressed with a fluorescence marker with minor modifications to primer design or assembly protocols. Additionally, while the procedures outlined here focus mostly on a NF gene circuit design for precise (low-noise) gene expression control, other architectures such as positive regulation or positive feedback (PF) can be implemented to achieve different features such as high-fold change or high gene expression noise, respectively</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Using a variety of gene circuit architectures (e.g., PF, NF, etc.) can allow researchers to explore diverse biological questions such as the roles protein magnitudes and noise play in drug resistance or metastasis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protocols listed here also focus on various ways of gene expression quantification, but any number of functional assays (e.g., cell motility, wound-healing, proliferation, etc.) can be added after microscopy acquisition with little to no effect on the preceding methods. This is especially relevant to single-cell studies where optogenetics can use spatiotemporal induction to study behaviors such as pulsatile expression dynamics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Complementing method modularity, troubleshooting is another important feature of each main protocol. For circuit construction, the main area of variability resides in the appropriate circuit-specific primer design, while later methods such as assembly and plasmid amplification via bacterial growth are more standardized and typically include their own extensive troubleshooting procedures. Cell engineering can be modified with drug titration curves depending on the cell line used. Additionally, if a commercial cell line is used, troubleshooting guides can be obtained directly from the cell line manufacturer. Also, unintended light effects are important to quantify on the engineered cell lines. For example, due to the phototoxic effects of 470 nm light, a light intensity curve should be created to investigate the induction of death or damage in a population. Once a variety of light values are tested, users can create an FSC-SSC gate or utilize a method such as </w:t>
      </w:r>
      <w:r>
        <w:rPr>
          <w:rFonts w:ascii="Calibri" w:hAnsi="Calibri" w:cs="Calibri" w:eastAsia="Calibri"/>
          <w:color w:val="222222"/>
          <w:spacing w:val="0"/>
          <w:position w:val="0"/>
          <w:sz w:val="24"/>
          <w:shd w:fill="FFFFFF" w:val="clear"/>
        </w:rPr>
        <w:t xml:space="preserve">propidium iodide</w:t>
      </w:r>
      <w:r>
        <w:rPr>
          <w:rFonts w:ascii="Calibri" w:hAnsi="Calibri" w:cs="Calibri" w:eastAsia="Calibri"/>
          <w:color w:val="222222"/>
          <w:spacing w:val="0"/>
          <w:position w:val="0"/>
          <w:sz w:val="24"/>
          <w:shd w:fill="auto" w:val="clear"/>
        </w:rPr>
        <w:t xml:space="preserve"> staining</w:t>
      </w:r>
      <w:r>
        <w:rPr>
          <w:rFonts w:ascii="Calibri" w:hAnsi="Calibri" w:cs="Calibri" w:eastAsia="Calibri"/>
          <w:color w:val="auto"/>
          <w:spacing w:val="0"/>
          <w:position w:val="0"/>
          <w:sz w:val="24"/>
          <w:shd w:fill="auto" w:val="clear"/>
        </w:rPr>
        <w:t xml:space="preserve"> to quantify dead/damaged cells, and therefore, serve as a tool to determine appropriate light ranges to use experimentally.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LPA troubleshooting, LEDs can produce edge effects of light and heat crosstalk with adjacent wells. For example, high-intensity wells may cause some induction in adjacent wells if there is an improper seal or a large heat/light gradient between wells. This can be maximized if the LPA is programmed in a particular order (e.g., ascending/descending) of a light parameter. To combat this, the IRIS software allows users to employ a randomization matrix to randomize the well intensities and therefore reduce systematic error. For troubleshooting aspects of fluorescence microscopy, exposure time, gain settings (controlling camera sensitivity), and light source intensity are the main parameters that can be adjusted. Tuning these parameters can allow for optimal image production and ideal signal-to-noise ratios as well as avoiding oversaturation and phototoxicity.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flow cytometry troubleshooting, photomultiplier tube voltages and cellular gating are the main aspects that can be adjusted. Tuning these parameters can allow ideal comparisons between experimental conditions and control samples, proper signal acquisition for both weak or strong fluorescence signals, and exclusion of cellular debris or unwanted cell populations. It should be noted that flow cytometry voltages are ideally kept constant across experiments to allow proper comparisons. Additionally, for optogenetic systems requiring multiple fluorescence outputs (e.g., FITC and PE), users will need to be aware of fluorescence compensation given crosstalk between fluorophores. In such scenarios, controls are crucial for determining proper fluorescence signals. Controls that will be necessary for users to perform include fluorescent beads, stained cells with the marker of interest, or cells constitutively expressing the fluorescence protein that can be used for creating a compensation matrix in the flow cytometry software of interest. Additionally, whether using one fluorescence marker or more, all users should routinely measure fluorescence signals of each marker for non-fluorescent cells, which yield autofluorescence/background signals. qRT-PCR troubleshooting includes varying cDNA amounts and probe design, which are often project-specific. Lastly, for immunofluorescence troubleshooting, antibody concentrations are the biggest variable for assay quantification, necessitating optimal concentration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troubleshooting aspect that is relevant to most of the above methods is the isolation effect of using a sealed plate with cells covered with foil. This method may impede the carbon dioxide gas exchange needed for the proper growth of various cell lines. From previous experimental experience, this was not a significant impediment to cellular growth for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 experiment using the engineered cell lines within this manuscript but may become important for other cell lines or experimental durations. To address this concern, one adaptation implemented with the sealed plates includes using carbon dioxide independent media, which has not affected the growth of cells used in this study. It should be noted for other assays or cell lines where metabolism, pH levels, and cell densities are important, other interventions may be needed such as changing media or nutrients more frequently.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limits of the methods outlined here reside in the gene circuit used, the optogenetic technology precision, and LPA interface with other equipment such as fluorescence microscopes. The technology described here is affordable, quick to build, and easy to validate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for populations of optogenetically engineered cells. However, there are certain spatial limitations, such as the inability to control single cells without modifications to the light induction setup, such as utilizing digital mirror devices (DMDs), which has recently demonstrated beneficial applications in living cells</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 Furthermore, the methods outlined here are limited in live-cell tracking during optogenetic stimulation, allowing only for the end-point data acquisition of the entire experimental time course.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limits, the optogenetic methods outlined here are complementary to the existing technology such as the DMDs, which have the flexibility to control single cells in real-time but are limited by the number of samples one can stimulate. Furthermore, the stable cell line engineering methods discussed here contrast existing synthetic biology methods which often characterize systems via transient transfections. Transient transfection approaches are inherently noisier due to the greater gene circuit copy number variation among cells. In contrast, the methods presented here involve monoclonal cell variants, each containing one gene circuit copy. Stable cell lines allow exploring cellular aspects such as gene expression variation, protein level effects on phenotypic landscapes, and single-cell methods with finer precision since there is higher confidence that each cell is identical to its neighbors.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here demonstrates a platform for designing any optogenetic gene circuit of interest, inducing such systems with reliable experimental tools, and characterizing them with a variety of gene expression and functional/phenotypic assays in a standardized manner. Future improvements of these protocols may include the integration of these methods with live-cell tracking using other optogenetic technologies such as the DMDs, which will allow spatiotemporal control of gene expression and functional applications at the single-cell level. Such advances will allow light utilization to produce the gene expression pattern of interest in single cells, establish transcription/translation dynamics, quantify protein levels, and study their role in diverse biological processes, including cell migration, proliferation, metastasis, and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w:t>
      </w:r>
      <w:r>
        <w:rPr>
          <w:rFonts w:ascii="Calibri" w:hAnsi="Calibri" w:cs="Calibri" w:eastAsia="Calibri"/>
          <w:color w:val="000000"/>
          <w:spacing w:val="0"/>
          <w:position w:val="0"/>
          <w:sz w:val="24"/>
          <w:shd w:fill="auto" w:val="clear"/>
        </w:rPr>
        <w:t xml:space="preserve">Bal&amp;#225;zsi</w:t>
      </w:r>
      <w:r>
        <w:rPr>
          <w:rFonts w:ascii="Calibri" w:hAnsi="Calibri" w:cs="Calibri" w:eastAsia="Calibri"/>
          <w:color w:val="auto"/>
          <w:spacing w:val="0"/>
          <w:position w:val="0"/>
          <w:sz w:val="24"/>
          <w:shd w:fill="auto" w:val="clear"/>
        </w:rPr>
        <w:t xml:space="preserve"> lab for comments and suggestions, Dr. Karl P. Gerhardt and Dr. Jeffrey J. Tabor for helping us construct the first LPA, and Dr. Wilfried Weber for sharing the LOV2-degron plasmids. This work was supported by the National Institutes of Health [R35 GM122561 and T32 GM008444]; The Laufer Center for Physical and Quantitative Biology; National Defense Science and Engineering Graduate (NDSEG) Fellowship. Funding for open access charge: NIH [R35 GM122561].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contributions: M.T.G. and G.B. conceived the project. M.T.G., D.C., and L.G., performed the experiments. M.T.G., D.C., L.G., and G.B. analyzed the data and prepared the manuscript. G.B. and M.T.G. supervised the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Sedlmayer, F., Hell, D., Muller, M., Auslander, D., Fussenegger, M. Designer cells programming quorum-sensing interference with microbes.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1822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Cho, J. H., Collins, J. J., Wong, W. W. Universal chimeric antigen receptors for multiplexed and logical control of T cell responses.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(6), 1426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1438 e11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Saxena, P. et al. A programmable synthetic lineage-control network that differentiates human IPSCs into glucose-sensitive insulin-secreting beta-like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11247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Nevozhay, D., Zal, T., Balazsi, G. Transferring a synthetic gene circuit from yeast to mammalian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Chang, H. H., Hemberg, M., Barahona, M., Ingber, D. E., Huang, S. Transcriptome-wide noise controls lineage choice in mammalian progenitor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(7194), 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Balazsi, G., van Oudenaarden, A., Collins, J. J. Cellular decision making and biological noise: from microbes to mammals.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(6),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Lee, J. et al. Network of mutually repressive metastasis regulators can promote cell heterogeneity and metastatic transitions.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 E364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Dar, R. D., Hosmane, N. N., Arkin, M. R., Siliciano, R. F., Weinberger, L. S. Screening for noise in gene expression identifies drug synergies.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(6190), 1392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Becskei, A., Seraphin, B., Serrano, L. Positive feedback in eukaryotic gene networks: cell differentiation by graded to binary response conversion.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2528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Nevozhay, D., Adams, R. M., Murphy, K. F., Josic, K., Balazsi, G. Negative autoregulation linearizes the dose-response and suppresses the heterogeneity of gene expression.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(13), 5123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5128 (</w:t>
      </w:r>
      <w:r>
        <w:rPr>
          <w:rFonts w:ascii="Calibri" w:hAnsi="Calibri" w:cs="Calibri" w:eastAsia="Calibri"/>
          <w:b/>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Guinn, M. T., Balazsi, G. Noise-reducing optogenetic negative-feedback gene circuits in human cells.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(14), 7703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Shimoga, V., White, J. T., Li, Y., Sontag, E., Bleris, L. Synthetic mammalian transgene negative autoregulation.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Ye, H., Daoud-El Baba, M., Peng, R. W., Fussenegger, M. A synthetic optogenetic transcription device enhances blood-glucose homeostasis in mice.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(6037), 1565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Pudasaini, A., El-Arab, K. K., Zoltowski, B. D. LOV-based optogenetic devices: light-driven modules to impart photoregulated control of cellular signaling.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Y. et al. Robust and intensity-dependent synaptic inhibition underlies the generation of non-monotonic neurons in the mouse inferior colliculus.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Benzinger, D., Khammash, M. Pulsatile inputs achieve tunable attenuation of gene expression variability and graded multi-gene regulation.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3521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Boyden, E. S., Zhang, F., Bamberg, E., Nagel, G., Deisseroth, K. Millisecond-timescale, genetically targeted optical control of neural activity.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Duan, L. et al. Understanding CRY2 interactions for optical control of intracellular signaling.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Kim, N. et al. Spatiotemporal control of fibroblast growth factor receptor signals by blue light.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Jung, H. et al. Noninvasive optical activation of Flp recombinase for genetic manipulation in deep mouse brain regions.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Polstein, L. R., Gersbach, C. A. Light-inducible gene regulation with engineered zinc finger proteins.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1148</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Hallett, R. A., Zimmerman, S. P., Yumerefendi, H., Bear, J. E., Kuhlman, B. Correlating in vitro and in vivo activities of light-inducible dimers: A cellular optogenetics guide.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Lee, D., Hyun, J. H., Jung, K., Hannan, P., Kwon, H. B. A calcium- and light-gated switch to induce gene expression in activated neurons.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Milias-Argeitis, A. et al. In silico feedback for in vivo regulation of a gene expression circuit.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Milias-Argeitis, A., Rullan, M., Aoki, S. K., Buchmann, P., Khammash, M. Automated optogenetic feedback control for precise and robust regulation of gene expression and cell growth.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12546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Chen, R. et al. Rhythmic PER abundance defines a critical nodal point for negative feedback within the circadian clock mechanism.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Reppert, S. M., Weaver, D. R. Coordination of circadian timing in mammals.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(6901), 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Sato, T. K. et al. Feedback repression is required for mammalian circadian clock function.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Kramer, B. P., Fischer, C., Fussenegger, M. BioLogic gates enable logical transcription control in mammalian cells.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Madar, D., Dekel, E., Bren, A., Alon, U., Negative auto-regulation increases the input dynamic-range of the arabinose system of Escherichia coli. </w:t>
      </w:r>
      <w:r>
        <w:rPr>
          <w:rFonts w:ascii="Calibri" w:hAnsi="Calibri" w:cs="Calibri" w:eastAsia="Calibri"/>
          <w:i/>
          <w:color w:val="auto"/>
          <w:spacing w:val="0"/>
          <w:position w:val="0"/>
          <w:sz w:val="24"/>
          <w:shd w:fill="auto" w:val="clear"/>
        </w:rPr>
        <w:t xml:space="preserve">BMC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Gerhardt, K. P. et al. An open-hardware platform for optogenetics and photobiology.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35363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Szczesny, R. J. et al. Versatile approach for functional analysis of human proteins and efficient stable cell line generation using FLP-mediated recombination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e0194887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Taxis, C., Development of a synthetic switch to control protein stability in eukaryotic cells with light.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1596</w:t>
      </w:r>
      <w:r>
        <w:rPr>
          <w:rFonts w:ascii="Calibri" w:hAnsi="Calibri" w:cs="Calibri" w:eastAsia="Calibri"/>
          <w:color w:val="auto"/>
          <w:spacing w:val="0"/>
          <w:position w:val="0"/>
          <w:sz w:val="24"/>
          <w:shd w:fill="auto" w:val="clear"/>
        </w:rPr>
        <w:t xml:space="preserve">,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Grav, L. M. et al. Minimizing clonal variation during mammalian cell line engineering for improved systems biology data generation.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2148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Brophy, J. A., Voigt, C. A. Principles of genetic circuit design.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Yeoh, J. W. et al. An automated biomodel selection system (BMSS) for gene circuit designs.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1484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Usherenko, S. et al. Photo-sensitive degron variants for tuning protein stability by light. </w:t>
      </w:r>
      <w:r>
        <w:rPr>
          <w:rFonts w:ascii="Calibri" w:hAnsi="Calibri" w:cs="Calibri" w:eastAsia="Calibri"/>
          <w:i/>
          <w:color w:val="auto"/>
          <w:spacing w:val="0"/>
          <w:position w:val="0"/>
          <w:sz w:val="24"/>
          <w:shd w:fill="auto" w:val="clear"/>
        </w:rPr>
        <w:t xml:space="preserve">BMC Systems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Muller, K., Zurbriggen, M. D., Weber, W. An optogenetic upgrade for the Tet-OFF system.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(7), 1483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Klotzsche, M., Berens, C., Hillen, W. A peptide triggers allostery in tet repressor by binding to a unique site.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(26), 24591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Wang, X., Chen, X., Yang, Y. Spatiotemporal control of gene expression by a light-switchable transgene system.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Herrou, J., Crosson, S. Function, structure and mechanism of bacterial photosensory LOV proteins.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Yao, F. et al. Tetracycline repressor, tetR, rather than the tetR-mammalian cell transcription factor fusion derivatives, regulates inducible gene expression in mammalian cells.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 1939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Erlich, H. A. </w:t>
      </w:r>
      <w:r>
        <w:rPr>
          <w:rFonts w:ascii="Calibri" w:hAnsi="Calibri" w:cs="Calibri" w:eastAsia="Calibri"/>
          <w:i/>
          <w:color w:val="auto"/>
          <w:spacing w:val="0"/>
          <w:position w:val="0"/>
          <w:sz w:val="24"/>
          <w:shd w:fill="auto" w:val="clear"/>
        </w:rPr>
        <w:t xml:space="preserve">PCR technology : Principles and Applications for DNA Amplification</w:t>
      </w:r>
      <w:r>
        <w:rPr>
          <w:rFonts w:ascii="Calibri" w:hAnsi="Calibri" w:cs="Calibri" w:eastAsia="Calibri"/>
          <w:color w:val="auto"/>
          <w:spacing w:val="0"/>
          <w:position w:val="0"/>
          <w:sz w:val="24"/>
          <w:shd w:fill="auto" w:val="clear"/>
        </w:rPr>
        <w:t xml:space="preserve">. Stockton Press, New York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Sambrook, J., Russell, D. W., Sambrook, J. </w:t>
      </w:r>
      <w:r>
        <w:rPr>
          <w:rFonts w:ascii="Calibri" w:hAnsi="Calibri" w:cs="Calibri" w:eastAsia="Calibri"/>
          <w:i/>
          <w:color w:val="auto"/>
          <w:spacing w:val="0"/>
          <w:position w:val="0"/>
          <w:sz w:val="24"/>
          <w:shd w:fill="auto" w:val="clear"/>
        </w:rPr>
        <w:t xml:space="preserve">The condensed protocols from Molecular cloning : a laboratory manual</w:t>
      </w:r>
      <w:r>
        <w:rPr>
          <w:rFonts w:ascii="Calibri" w:hAnsi="Calibri" w:cs="Calibri" w:eastAsia="Calibri"/>
          <w:color w:val="auto"/>
          <w:spacing w:val="0"/>
          <w:position w:val="0"/>
          <w:sz w:val="24"/>
          <w:shd w:fill="auto" w:val="clear"/>
        </w:rPr>
        <w:t xml:space="preserve">. Cold Spring Harbor Laboratory Press, Cold Spring Harbor, New York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Felgner, P. L. et al. Lipofection: a highly efficient, lipid-mediated DNA-transfection procedure.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(21), 7413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Gerhardt, K. P., Castillo-Hair, S. M., Tabor, J. J. DIY optogenetics: Building, programming, and using the Light Plate Apparatus.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624</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TaborLab IRIS Software.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http://taborlab.github.io/Iris/index.html</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Stockley, J. H. et al. Surpassing light-induced cell damage in vitro with novel cell culture media.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849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Gordon, A. et al. Single-cell quantification of molecules and rates using open-source microscope-based cytometry.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Ordovas, L. et al. Efficient recombinase-mediated cassette exchange in hPSCs to study the hepatocyte lineage reveals AAVS1 locus-mediated transgene inhibition.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Gomez Tejeda Zanudo, J. et al. Towards control of cellular decision-making networks in the epithelial-to-mesenchymal transition. </w:t>
      </w:r>
      <w:r>
        <w:rPr>
          <w:rFonts w:ascii="Calibri" w:hAnsi="Calibri" w:cs="Calibri" w:eastAsia="Calibri"/>
          <w:i/>
          <w:color w:val="auto"/>
          <w:spacing w:val="0"/>
          <w:position w:val="0"/>
          <w:sz w:val="24"/>
          <w:shd w:fill="auto" w:val="clear"/>
        </w:rPr>
        <w:t xml:space="preserve">Physical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031002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Sweeney, K., Moreno Morales, N., Burmeister, Z., Nimunkar, A. J., McClean, M. N. Easy calibration of the Light Plate Apparatus for optogenetic experiments.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Ravindran, P. T., Wilson, M. Z., Jena, S. G., Toettcher, J. E. Engineering combinatorial and dynamic decoders using synthetic immediate-early genes.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436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Chen, X., Wang, X., Du, Z., Ma, Z., Yang, Y. Spatiotemporal control of gene expression in mammalian cells and in mice using the LightOn system. </w:t>
      </w:r>
      <w:r>
        <w:rPr>
          <w:rFonts w:ascii="Calibri" w:hAnsi="Calibri" w:cs="Calibri" w:eastAsia="Calibri"/>
          <w:i/>
          <w:color w:val="auto"/>
          <w:spacing w:val="0"/>
          <w:position w:val="0"/>
          <w:sz w:val="24"/>
          <w:shd w:fill="auto" w:val="clear"/>
        </w:rPr>
        <w:t xml:space="preserve">Current Protocols in Chemical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Guinn, M. T. Engineering human cells with synthetic gene circuits elucidates how protein levels generate phenotypic landscapes. Ph.D., State University of New York at Stony Brook, Ann Arbor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Farquhar, K. S. et al. Role of network-mediated stochasticity in mammalian drug resistance.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2766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Polstein, L. R., Gersbach, C. A. A light-inducible CRISPR-Cas9 system for control of endogenous gene activation. </w:t>
      </w:r>
      <w:r>
        <w:rPr>
          <w:rFonts w:ascii="Calibri" w:hAnsi="Calibri" w:cs="Calibri" w:eastAsia="Calibri"/>
          <w:i/>
          <w:color w:val="auto"/>
          <w:spacing w:val="0"/>
          <w:position w:val="0"/>
          <w:sz w:val="24"/>
          <w:shd w:fill="auto" w:val="clear"/>
        </w:rPr>
        <w:t xml:space="preserve">Nature Chemistry &amp;amp;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Guinn, M. T. et al. Observation and control of gene expression noise: Barrier crossing analogies between drug resistance and metastasis.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586726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Levine, J. H., Lin, Y., Elowitz, M. B. Functional roles of pulsing in genetic circuits.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(6163),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Rullan, M., Benzinger, D., Schmidt, G. W., Milias-Argeitis, A., Khammash, M. An optogenetic platform for real-time, single-cell interrogation of stochastic transcriptional regulation.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e6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Perkins, M. L., Benzinger, D., Arcak, M., Khammash, M. Cell-in-the-loop pattern formation with optogenetically emulated cell-to-cell signaling.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1355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taborlab.github.io/Iris/index.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