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288" w:line="240"/>
        <w:ind w:right="0" w:left="0" w:firstLine="0"/>
        <w:jc w:val="both"/>
        <w:rPr>
          <w:rFonts w:ascii="Calibri" w:hAnsi="Calibri" w:cs="Calibri" w:eastAsia="Calibri"/>
          <w:color w:val="000000"/>
          <w:spacing w:val="6"/>
          <w:position w:val="0"/>
          <w:sz w:val="24"/>
          <w:shd w:fill="auto" w:val="clear"/>
        </w:rPr>
      </w:pPr>
      <w:r>
        <w:rPr>
          <w:rFonts w:ascii="Calibri" w:hAnsi="Calibri" w:cs="Calibri" w:eastAsia="Calibri"/>
          <w:color w:val="000000"/>
          <w:spacing w:val="6"/>
          <w:position w:val="0"/>
          <w:sz w:val="24"/>
          <w:shd w:fill="auto" w:val="clear"/>
        </w:rPr>
        <w:t xml:space="preserve">Efficient and Scalable Generation of Human Ventral Midbrain Astrocytes from Human-Induced Pluripotent Stem Cells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288"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Lucy A. Crompton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Sarah F. McComish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Petros Stathakos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Oscar Cordero-Llana</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Jon D. Lane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Maeve A. Caldwell</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Cell Biology Laboratories, School of Biochemistry, University of Bristol, Bristol,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Trinity College Institute of Neuroscience, Trinity College, Dublin, Ireland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Regenerative Medicine Laboratory, School of Clinical Sciences, University of Bristol, Bristol, 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Lucy A. Crompton</w:t>
        <w:tab/>
        <w:t xml:space="preserve">(Lucy.Crompton@bristol.ac.uk)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Sarah F. McComish</w:t>
        <w:tab/>
        <w:t xml:space="preserve">(mccomiss@tcd.ie)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Petros Stathakos</w:t>
        <w:tab/>
        <w:t xml:space="preserve">(petrosstathakos2017@gmail.com)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Oscar Cordero-Llana</w:t>
        <w:tab/>
        <w:t xml:space="preserve">(oscar.corderollana@bristol.ac.uk)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Jon D. Lane</w:t>
        <w:tab/>
        <w:tab/>
        <w:t xml:space="preserve">(Jon.Lane@bristol.ac.uk)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Maeve A. Caldwell</w:t>
        <w:tab/>
        <w:t xml:space="preserve">(Maeve.Caldwell@tcd.ie)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astrocyte, Parkinson’s disease, ventral midbrain, neuroinflammation, reactive human induced pluripotent stem cell, differentiation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method for reproducible generation of ventral midbrain patterned astrocytes from hiPSCs and protocols for their characterization to assess phenotype and function.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Parkinson’s disease, progressive dysfunction and degeneration of dopamine neurons in the ventral midbrain cause life-changing symptoms. Neuronal degeneration has diverse causes in Parkinson’s, including non-cell autonomous mechanisms mediated by astrocytes. Throughout the CNS, astrocytes are essential for neuronal survival and function, as they maintain metabolic homeostasis in the neural environment. Astrocytes interact with the immune cells of the CNS, microglia, to modulate neuroinflammation, which is observed from the earliest stages of Parkinson’s, and has a direct impact on the progression of its pathology. In diseases with a chronic neuroinflammatory element, including Parkinson’s, astrocytes acquire a neurotoxic phenotype, and thus enhance neurodegeneration. Consequently, astrocytes are a potential therapeutic target to slow or halt disease, but this will require a deeper understanding of their properties and roles in Parkinson’s. Accurate models of human ventral midbrain astrocytes for in vitro study are therefore urgently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developed a protocol to generate high purity cultures of ventral midbrain-specific astrocytes (vmAstros) from hiPSCs that can be used for Parkinson’s research. vmAstros can be routinely produced from multiple hiPSC lines, and express specific astrocytic and ventral midbrain markers. This protocol is scalable, and thus suitable for high-throughput applications, including for drug screening. Crucially, the hiPSC derived-vmAstros demonstrate immunomodulatory characteristics typical of their in vivo counterparts, enabling mechanistic studies of neuroinflammatory signaling in Parkinson’s.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Parkinson’s disease affects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of people over 65 years of age, making it the most prevalent neurodegenerative movement disorder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It is caused by degeneration of ventral midbrain dopamine neurons within the substantia nigra, resulting in debilitating motor symptoms, as well as frequent cognitive and psychiatric issues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Parkinson’s pathology is typified by aggregates of the protein, &amp;#945;-synuclein, which are toxic to neurons and result in their dysfunction and death</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As the dopaminergic neurons are the degenerating population in Parkinson’s, they were historically the focus of research. However, it is apparent that another cell type in the brain, the astrocytes, also demonstrate abnormalities in Parkinson’s, and are believed to contribute to degeneration in models of Parkinson’s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Astrocytes are a heterogenous cell population that can transform both physically and functionally as required. They support neuronal function and health via a plethora of mechanisms, including the modulation of neuronal signaling, shaping of synaptic architecture, and trophic support of neuronal populations via secretion of specific factors</w:t>
      </w:r>
      <w:r>
        <w:rPr>
          <w:rFonts w:ascii="Calibri" w:hAnsi="Calibri" w:cs="Calibri" w:eastAsia="Calibri"/>
          <w:color w:val="000000"/>
          <w:spacing w:val="0"/>
          <w:position w:val="0"/>
          <w:sz w:val="24"/>
          <w:shd w:fill="auto" w:val="clear"/>
          <w:vertAlign w:val="superscript"/>
        </w:rPr>
        <w:t xml:space="preserve">6,8</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However, astrocytes also have a substantial immunomodulatory role, integral to the development and propagation of neuroinflammation</w:t>
      </w:r>
      <w:r>
        <w:rPr>
          <w:rFonts w:ascii="Calibri" w:hAnsi="Calibri" w:cs="Calibri" w:eastAsia="Calibri"/>
          <w:color w:val="000000"/>
          <w:spacing w:val="0"/>
          <w:position w:val="0"/>
          <w:sz w:val="24"/>
          <w:shd w:fill="auto" w:val="clear"/>
          <w:vertAlign w:val="superscript"/>
        </w:rPr>
        <w:t xml:space="preserve">10,11</w:t>
      </w:r>
      <w:r>
        <w:rPr>
          <w:rFonts w:ascii="Calibri" w:hAnsi="Calibri" w:cs="Calibri" w:eastAsia="Calibri"/>
          <w:color w:val="000000"/>
          <w:spacing w:val="0"/>
          <w:position w:val="0"/>
          <w:sz w:val="24"/>
          <w:shd w:fill="auto" w:val="clear"/>
        </w:rPr>
        <w:t xml:space="preserve">. Neuroinflammation is observed in the affected brains, and significantly has recently been shown to pre-empt the onset of Parkinson’s symptoms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thereby taking the center stage in Parkinson’s research.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a cellular level, astrocytes are said to become reactive in response to injury, infection, or disease, as an attempt to facilitate neuroprotection</w:t>
      </w:r>
      <w:r>
        <w:rPr>
          <w:rFonts w:ascii="Calibri" w:hAnsi="Calibri" w:cs="Calibri" w:eastAsia="Calibri"/>
          <w:color w:val="000000"/>
          <w:spacing w:val="0"/>
          <w:position w:val="0"/>
          <w:sz w:val="24"/>
          <w:shd w:fill="auto" w:val="clear"/>
          <w:vertAlign w:val="superscript"/>
        </w:rPr>
        <w:t xml:space="preserve">9,6,10,16</w:t>
      </w:r>
      <w:r>
        <w:rPr>
          <w:rFonts w:ascii="Calibri" w:hAnsi="Calibri" w:cs="Calibri" w:eastAsia="Calibri"/>
          <w:color w:val="000000"/>
          <w:spacing w:val="0"/>
          <w:position w:val="0"/>
          <w:sz w:val="24"/>
          <w:shd w:fill="auto" w:val="clear"/>
        </w:rPr>
        <w:t xml:space="preserve">. Reactivity describes a shift in astrocyte phenotype characterized by changes in gene expression, secretome, morphology, and mechanisms of clearance of cell debris and toxic byproducts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11,17</w:t>
      </w:r>
      <w:r>
        <w:rPr>
          <w:rFonts w:ascii="Calibri" w:hAnsi="Calibri" w:cs="Calibri" w:eastAsia="Calibri"/>
          <w:color w:val="000000"/>
          <w:spacing w:val="0"/>
          <w:position w:val="0"/>
          <w:sz w:val="24"/>
          <w:shd w:fill="auto" w:val="clear"/>
        </w:rPr>
        <w:t xml:space="preserve">. This reactive shift occurs in response to inductive signals from microglia, which are the immune cells of the CNS and the first responders to injury and disease</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Both astrocytes and microglia respond to inflammatory signals by moderating their own function and can transduce inflammatory signals and thus directly influence neuroinflammation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However, the chronic nature of Parkinson’s results in a transition where reactive astrocytes become toxic to neurons, and themselves promote degeneration and disease pathology</w:t>
      </w:r>
      <w:r>
        <w:rPr>
          <w:rFonts w:ascii="Calibri" w:hAnsi="Calibri" w:cs="Calibri" w:eastAsia="Calibri"/>
          <w:color w:val="000000"/>
          <w:spacing w:val="0"/>
          <w:position w:val="0"/>
          <w:sz w:val="24"/>
          <w:shd w:fill="auto" w:val="clear"/>
          <w:vertAlign w:val="superscript"/>
        </w:rPr>
        <w:t xml:space="preserve">6,9,10,18,19</w:t>
      </w:r>
      <w:r>
        <w:rPr>
          <w:rFonts w:ascii="Calibri" w:hAnsi="Calibri" w:cs="Calibri" w:eastAsia="Calibri"/>
          <w:color w:val="000000"/>
          <w:spacing w:val="0"/>
          <w:position w:val="0"/>
          <w:sz w:val="24"/>
          <w:shd w:fill="auto" w:val="clear"/>
        </w:rPr>
        <w:t xml:space="preserve">. Significantly it was recently demonstrated that blocking the transformation of astrocytes into the reactive neurotoxic phenotype prevents the progression of Parkinson’s in animal models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Astrocyte reactivity in the paradigm of neuroinflammation has therefore become a major focus of Parkinson’s research, and similarly relates to a wide spectrum of diseases of the CNS. Together these findings build a picture of significant astrocytic involvement in the etiology of Parkinson’s, emphasizing the need for accurate research models that recapitulate the phenotype of the human astrocyte populations that are involved in Parkinson’s.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embryonic brain, neurons appear first, with the astroglial lineage, namely, the astrocytes and oligodendrocytes, appearing later in development</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In vivo and in vitro studies have highlighted a number of signaling pathways that appear to control the potency of neural progenitor cells from neuronal to astroglial derivatives. In particular, JAK/STAT, EGF, and BMP signaling play roles in the proliferation, differentiation, and maturation of astroglia</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 These pathways have been the focus of in vitro protocols for the generation of astrocytes from pluripotent cells, including hiPSC</w:t>
      </w:r>
      <w:r>
        <w:rPr>
          <w:rFonts w:ascii="Calibri" w:hAnsi="Calibri" w:cs="Calibri" w:eastAsia="Calibri"/>
          <w:color w:val="000000"/>
          <w:spacing w:val="0"/>
          <w:position w:val="0"/>
          <w:sz w:val="24"/>
          <w:shd w:fill="auto" w:val="clear"/>
          <w:vertAlign w:val="superscript"/>
        </w:rPr>
        <w:t xml:space="preserve">6,22,23</w:t>
      </w:r>
      <w:r>
        <w:rPr>
          <w:rFonts w:ascii="Calibri" w:hAnsi="Calibri" w:cs="Calibri" w:eastAsia="Calibri"/>
          <w:color w:val="000000"/>
          <w:spacing w:val="0"/>
          <w:position w:val="0"/>
          <w:sz w:val="24"/>
          <w:shd w:fill="auto" w:val="clear"/>
        </w:rPr>
        <w:t xml:space="preserve">. There have been many successful examples of generating astrocytes from hiPSCs</w:t>
      </w:r>
      <w:r>
        <w:rPr>
          <w:rFonts w:ascii="Calibri" w:hAnsi="Calibri" w:cs="Calibri" w:eastAsia="Calibri"/>
          <w:color w:val="000000"/>
          <w:spacing w:val="0"/>
          <w:position w:val="0"/>
          <w:sz w:val="24"/>
          <w:shd w:fill="auto" w:val="clear"/>
          <w:vertAlign w:val="superscript"/>
        </w:rPr>
        <w:t xml:space="preserve">6,24,25</w:t>
      </w:r>
      <w:r>
        <w:rPr>
          <w:rFonts w:ascii="Calibri" w:hAnsi="Calibri" w:cs="Calibri" w:eastAsia="Calibri"/>
          <w:color w:val="000000"/>
          <w:spacing w:val="0"/>
          <w:position w:val="0"/>
          <w:sz w:val="24"/>
          <w:shd w:fill="auto" w:val="clear"/>
        </w:rPr>
        <w:t xml:space="preserve">. However, it is apparent that in vivo astrocytes in the CNS possess specific regional identities, which relate directly to their function, in accordance to the specific requirements of those astrocytes in relation to their specialized neuronal neighbors</w:t>
      </w:r>
      <w:r>
        <w:rPr>
          <w:rFonts w:ascii="Calibri" w:hAnsi="Calibri" w:cs="Calibri" w:eastAsia="Calibri"/>
          <w:color w:val="000000"/>
          <w:spacing w:val="0"/>
          <w:position w:val="0"/>
          <w:sz w:val="24"/>
          <w:shd w:fill="auto" w:val="clear"/>
          <w:vertAlign w:val="superscript"/>
        </w:rPr>
        <w:t xml:space="preserve">17,24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For example, relating specifically to the ventral midbrain, it has been demonstrated that astrocytes in this region express specific sets of proteins, including receptors for dopamine enabling communication with the local population of midbrain dopamine neurons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Furthermore, ventral midbrain astrocytes demonstrate unique signaling properties</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Therefore, to study the role of ventral midbrain astrocytes in Parkinson’s, we require an in vitro model that reflects their unique set of characteristics.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address this, we have developed a protocol to generate ventral midbrain astrocytes (vmAstros) from hiPSCs. The resulting vmAstros exhibit characteristics of their in vivo ventral midbrain counterparts such as expression of specific proteins, as well as immunomodulatory functions. The results presented are from the differentiation of the NAS2 and AST23 hiPSC lines, which were derived and gifted to us by Dr. Tilo Kunath</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NAS2 was generated from a healthy control subject whereas AST23 is derived from a Parkinson’s patient carrying a triplication in the locus encoding </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-Synuclein (SNCA). These hiPSC lines have been previously characterized and used in a number of published research papers, including for the generation of various neural cell types</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Human hiPSC line thawing, maintenance, and cryopreservation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Coating cell culture plates with vitronectin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1.1.1.</w:t>
        <w:tab/>
        <w:t xml:space="preserve">For coating, dilute vitronectin to 5 &amp;#181;g/mL (1:100) in PBS at 1 mL per 10 cm</w:t>
      </w:r>
      <w:r>
        <w:rPr>
          <w:rFonts w:ascii="Calibri" w:hAnsi="Calibri" w:cs="Calibri" w:eastAsia="Calibri"/>
          <w:color w:val="000000"/>
          <w:spacing w:val="0"/>
          <w:position w:val="0"/>
          <w:sz w:val="24"/>
          <w:shd w:fill="FFFFFF" w:val="clear"/>
          <w:vertAlign w:val="superscript"/>
        </w:rPr>
        <w:t xml:space="preserve">2 </w:t>
      </w:r>
      <w:r>
        <w:rPr>
          <w:rFonts w:ascii="Calibri" w:hAnsi="Calibri" w:cs="Calibri" w:eastAsia="Calibri"/>
          <w:color w:val="000000"/>
          <w:spacing w:val="0"/>
          <w:position w:val="0"/>
          <w:sz w:val="24"/>
          <w:shd w:fill="FFFFFF" w:val="clear"/>
        </w:rPr>
        <w:t xml:space="preserve">cell</w:t>
      </w:r>
      <w:r>
        <w:rPr>
          <w:rFonts w:ascii="Calibri" w:hAnsi="Calibri" w:cs="Calibri" w:eastAsia="Calibri"/>
          <w:color w:val="000000"/>
          <w:spacing w:val="0"/>
          <w:position w:val="0"/>
          <w:sz w:val="24"/>
          <w:shd w:fill="FFFFFF" w:val="clear"/>
          <w:vertAlign w:val="superscript"/>
        </w:rPr>
        <w:t xml:space="preserve"> </w:t>
      </w:r>
      <w:r>
        <w:rPr>
          <w:rFonts w:ascii="Calibri" w:hAnsi="Calibri" w:cs="Calibri" w:eastAsia="Calibri"/>
          <w:color w:val="000000"/>
          <w:spacing w:val="0"/>
          <w:position w:val="0"/>
          <w:sz w:val="24"/>
          <w:shd w:fill="FFFFFF" w:val="clear"/>
        </w:rPr>
        <w:t xml:space="preserve">culture plate surface area. Leave for 1 h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1.1.2.</w:t>
        <w:tab/>
        <w:t xml:space="preserve">Remove vitronectin and proceed immediately to adding hiPSCs/media to the culture plate.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w:t>
      </w:r>
      <w:r>
        <w:rPr>
          <w:rFonts w:ascii="Calibri" w:hAnsi="Calibri" w:cs="Calibri" w:eastAsia="Calibri"/>
          <w:b/>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When removing vitronectin from the plate, it is crucial that the culture surface is not allowed to dry out.</w:t>
      </w:r>
    </w:p>
    <w:p>
      <w:pPr>
        <w:spacing w:before="0" w:after="0" w:line="240"/>
        <w:ind w:right="0" w:left="709" w:hanging="709"/>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w:t>
        <w:tab/>
        <w:t xml:space="preserve">Thawing hiPSCs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Remove cryovials containing hiPSCs from liquid nitrogen and place in a 37 &amp;#176;C water bath until the contents have completely thawed.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Prepare 9 mL of prewarmed cell culture medium (e.g., E8 or E8 Flex) containing 1x cell supplement (e.g., Revitacell). Add 1 mL dropwise to the contents of the cryovial. Place the remaining 8 mL media into a 15 mL centrifuge tube and to this add the diluted contents of the cryovial.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Do not triturate the contents.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t xml:space="preserve">Centrifuge at 150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Aspirate the liquid without disturbing the cell pellet and resuspended in an appropriate volume of cell culture medium (e.g., E8 or E8 Flex) containing 1x cell supplement (e.g., Revitacell). For example, 2 mL per well of a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t xml:space="preserve">Add resuspended hiPSCs to vitronectin coated dishes and place in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hiPSCs should start to attach to vitronectin coated plasticware in 30 min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after thawing.</w:t>
      </w:r>
    </w:p>
    <w:p>
      <w:pPr>
        <w:spacing w:before="0" w:after="0" w:line="240"/>
        <w:ind w:right="0" w:left="1134"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1.3.</w:t>
        <w:tab/>
        <w:t xml:space="preserve">hiPSC maintenance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1.3.1.</w:t>
        <w:tab/>
        <w:t xml:space="preserve">Maintain hiPSCs in cell culture medium (e.g., E8 or E8 Flex). Feed cells daily by media exchange. Always prewarm culture media for 30 min before feeding.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If using E8 Flex, hiPSCs do not require media changes every 24 h and feeding increments can be extended to 48 h, if needed. Either E8 Flex or E8 media yield equally high-quality hiPSC cultures. HiPSCs should be cultured for a minimum 14 days post-thawing, and prior to beginning the differentiation steps. Culture periods of less than 14 days appear to negatively impact the survival of the hiPSCs during the initial differentiation period.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1.4.</w:t>
        <w:tab/>
        <w:t xml:space="preserve">Passaging hiPSCs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Passage hiPSCs at approximately 80% confluency (</w:t>
      </w:r>
      <w:r>
        <w:rPr>
          <w:rFonts w:ascii="Calibri" w:hAnsi="Calibri" w:cs="Calibri" w:eastAsia="Calibri"/>
          <w:b/>
          <w:color w:val="000000"/>
          <w:spacing w:val="0"/>
          <w:position w:val="0"/>
          <w:sz w:val="24"/>
          <w:shd w:fill="FFFFFF" w:val="clear"/>
        </w:rPr>
        <w:t xml:space="preserve">Figure 1A</w:t>
      </w:r>
      <w:r>
        <w:rPr>
          <w:rFonts w:ascii="Calibri" w:hAnsi="Calibri" w:cs="Calibri" w:eastAsia="Calibri"/>
          <w:color w:val="000000"/>
          <w:spacing w:val="0"/>
          <w:position w:val="0"/>
          <w:sz w:val="24"/>
          <w:shd w:fill="FFFFFF" w:val="clear"/>
        </w:rPr>
        <w:t xml:space="preserve">: 3</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4 day passaging interval).</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1.4.1.</w:t>
        <w:tab/>
        <w:t xml:space="preserve">1 h prior to beginning, add 1x cell supplement (e.g., Revitacell) to the hiPSC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1.4.2.</w:t>
        <w:tab/>
        <w:t xml:space="preserve">Wash hiPSCs once with PBS (without calcium or magnesium) and add 0.5 mM EDTA (diluted from stock in PBS without calcium or magnesium).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1.4.3.</w:t>
        <w:tab/>
        <w:t xml:space="preserve">Incubate for 5 min at room temperature, or until the hiPSCs begin to detach from each other and take on a more rounded appearance, with the boundaries of each iPSC appearing brighter under a brightfield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1.4.4.</w:t>
        <w:tab/>
        <w:t xml:space="preserve">Add 200 &amp;#181;L EDTA on to a focused area of the hiPSCs with a pipette. If they readily detach, making a clear space in the cell layer, then they are ready to be harvested. If they do not readily detach, leave in EDTA and repeat after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1.4.5.</w:t>
        <w:tab/>
        <w:t xml:space="preserve">When ready to proceed, gently remove EDTA, and using a pipette, gently wash the hiPSCs twice with cell culture medium (e.g., E8 or E8 Flex).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achieve this without the hiPSCs detaching, tip the plate and add media dropwise down the side of the culture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1.4.6.</w:t>
        <w:tab/>
        <w:t xml:space="preserve">To harvest hiPSCs use 1 mL cell culture medium (e.g., E8 or E8 Flex) containing 1x cell supplement (e.g., Revitacell). Release the media directly onto the hiPSC layer and the cells should detach. If required, repeat with another 1 mL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1.4.7.</w:t>
        <w:tab/>
        <w:t xml:space="preserve">View the hiPSCs under the microscope. Ideally, hiPSCs should appear in relatively uniform clusters as shown in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If hiPSC clusters are much larger, or very variable in size, use the pipette to break up the larger hiPSC clusters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Do not over-triturate hiPSCs. Although the supplement increases the overall cell survival, over trituration negatively impacts on the survival of the hiPSC culture.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passes with a pipette are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1.4.8.</w:t>
        <w:tab/>
        <w:t xml:space="preserve">Using a serological pipette, transfer the hiPSC suspension on to a vitronectin-coated plate as prepared in </w:t>
      </w:r>
      <w:r>
        <w:rPr>
          <w:rFonts w:ascii="Calibri" w:hAnsi="Calibri" w:cs="Calibri" w:eastAsia="Calibri"/>
          <w:b/>
          <w:color w:val="000000"/>
          <w:spacing w:val="0"/>
          <w:position w:val="0"/>
          <w:sz w:val="24"/>
          <w:shd w:fill="auto" w:val="clear"/>
        </w:rPr>
        <w:t xml:space="preserve">section 1.1</w:t>
      </w:r>
      <w:r>
        <w:rPr>
          <w:rFonts w:ascii="Calibri" w:hAnsi="Calibri" w:cs="Calibri" w:eastAsia="Calibri"/>
          <w:color w:val="000000"/>
          <w:spacing w:val="0"/>
          <w:position w:val="0"/>
          <w:sz w:val="24"/>
          <w:shd w:fill="auto" w:val="clear"/>
        </w:rPr>
        <w:t xml:space="preserve">. Return the hiPSC culture to the 37 &amp;#176;C/5%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1.5.</w:t>
        <w:tab/>
        <w:t xml:space="preserve">hiPSC</w:t>
      </w:r>
      <w:r>
        <w:rPr>
          <w:rFonts w:ascii="Calibri" w:hAnsi="Calibri" w:cs="Calibri" w:eastAsia="Calibri"/>
          <w:b/>
          <w:color w:val="000000"/>
          <w:spacing w:val="0"/>
          <w:position w:val="0"/>
          <w:sz w:val="24"/>
          <w:shd w:fill="FFFFFF" w:val="clear"/>
        </w:rPr>
        <w:t xml:space="preserve"> line cryopreservation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Cryopreserve hiPSCs at approximately 80%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1.5.1.</w:t>
        <w:tab/>
        <w:t xml:space="preserve">1 h prior to beginning, add 1x cell supplement (e.g., Revitacell) to the hiPSC culture.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1.5.2.</w:t>
        <w:tab/>
        <w:t xml:space="preserve">Detach hiPSCs from culture plates using 0.5 mM EDTA as described in </w:t>
      </w:r>
      <w:r>
        <w:rPr>
          <w:rFonts w:ascii="Calibri" w:hAnsi="Calibri" w:cs="Calibri" w:eastAsia="Calibri"/>
          <w:b/>
          <w:color w:val="000000"/>
          <w:spacing w:val="0"/>
          <w:position w:val="0"/>
          <w:sz w:val="24"/>
          <w:shd w:fill="auto" w:val="clear"/>
        </w:rPr>
        <w:t xml:space="preserve">section 1.4</w:t>
      </w:r>
      <w:r>
        <w:rPr>
          <w:rFonts w:ascii="Calibri" w:hAnsi="Calibri" w:cs="Calibri" w:eastAsia="Calibri"/>
          <w:color w:val="000000"/>
          <w:spacing w:val="0"/>
          <w:position w:val="0"/>
          <w:sz w:val="24"/>
          <w:shd w:fill="auto" w:val="clear"/>
        </w:rPr>
        <w:t xml:space="preserve">, collecting cells in cell culture medium (e.g., E8 or E8 Flex) containing 1x cell supplement (e.g., Revitacell). Centrifuge at 150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1.5.3.</w:t>
        <w:tab/>
        <w:t xml:space="preserve">Resuspend pelleted hiPSCs in cell freezing media </w:t>
      </w:r>
      <w:r>
        <w:rPr>
          <w:rFonts w:ascii="Calibri" w:hAnsi="Calibri" w:cs="Calibri" w:eastAsia="Calibri"/>
          <w:color w:val="262626"/>
          <w:spacing w:val="0"/>
          <w:position w:val="0"/>
          <w:sz w:val="24"/>
          <w:shd w:fill="auto" w:val="clear"/>
        </w:rPr>
        <w:t xml:space="preserve">(see </w:t>
      </w:r>
      <w:r>
        <w:rPr>
          <w:rFonts w:ascii="Calibri" w:hAnsi="Calibri" w:cs="Calibri" w:eastAsia="Calibri"/>
          <w:b/>
          <w:color w:val="262626"/>
          <w:spacing w:val="0"/>
          <w:position w:val="0"/>
          <w:sz w:val="24"/>
          <w:shd w:fill="auto" w:val="clear"/>
        </w:rPr>
        <w:t xml:space="preserve">Table of Materials</w:t>
      </w:r>
      <w:r>
        <w:rPr>
          <w:rFonts w:ascii="Calibri" w:hAnsi="Calibri" w:cs="Calibri" w:eastAsia="Calibri"/>
          <w:color w:val="262626"/>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Use 700 &amp;#181;L per 10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culture area, equivalent to 1 cryovial of cells per well of a 6-well plate.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1.5.4.</w:t>
        <w:tab/>
      </w:r>
      <w:r>
        <w:rPr>
          <w:rFonts w:ascii="Calibri" w:hAnsi="Calibri" w:cs="Calibri" w:eastAsia="Calibri"/>
          <w:color w:val="000000"/>
          <w:spacing w:val="0"/>
          <w:position w:val="0"/>
          <w:sz w:val="24"/>
          <w:shd w:fill="auto" w:val="clear"/>
        </w:rPr>
        <w:t xml:space="preserve">Transfer </w:t>
      </w:r>
      <w:r>
        <w:rPr>
          <w:rFonts w:ascii="Calibri" w:hAnsi="Calibri" w:cs="Calibri" w:eastAsia="Calibri"/>
          <w:color w:val="262626"/>
          <w:spacing w:val="0"/>
          <w:position w:val="0"/>
          <w:sz w:val="24"/>
          <w:shd w:fill="auto" w:val="clear"/>
        </w:rPr>
        <w:t xml:space="preserve">cryovials into an appropriate cell freezing vessel (for details see </w:t>
      </w:r>
      <w:r>
        <w:rPr>
          <w:rFonts w:ascii="Calibri" w:hAnsi="Calibri" w:cs="Calibri" w:eastAsia="Calibri"/>
          <w:b/>
          <w:color w:val="262626"/>
          <w:spacing w:val="0"/>
          <w:position w:val="0"/>
          <w:sz w:val="24"/>
          <w:shd w:fill="auto" w:val="clear"/>
        </w:rPr>
        <w:t xml:space="preserve">Table of Materials</w:t>
      </w:r>
      <w:r>
        <w:rPr>
          <w:rFonts w:ascii="Calibri" w:hAnsi="Calibri" w:cs="Calibri" w:eastAsia="Calibri"/>
          <w:color w:val="262626"/>
          <w:spacing w:val="0"/>
          <w:position w:val="0"/>
          <w:sz w:val="24"/>
          <w:shd w:fill="auto" w:val="clear"/>
        </w:rPr>
        <w:t xml:space="preserve">).</w:t>
      </w:r>
    </w:p>
    <w:p>
      <w:pPr>
        <w:spacing w:before="0" w:after="0" w:line="240"/>
        <w:ind w:right="0" w:left="0" w:firstLine="0"/>
        <w:jc w:val="both"/>
        <w:rPr>
          <w:rFonts w:ascii="Calibri" w:hAnsi="Calibri" w:cs="Calibri" w:eastAsia="Calibri"/>
          <w:color w:val="262626"/>
          <w:spacing w:val="0"/>
          <w:position w:val="0"/>
          <w:sz w:val="24"/>
          <w:shd w:fill="auto" w:val="clear"/>
        </w:rPr>
      </w:pP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1.5.5.</w:t>
        <w:tab/>
        <w:t xml:space="preserve">Transfer the freezing vessel to a </w:t>
      </w:r>
      <w:r>
        <w:rPr>
          <w:rFonts w:ascii="Calibri" w:hAnsi="Calibri" w:cs="Calibri" w:eastAsia="Calibri"/>
          <w:color w:val="000000"/>
          <w:spacing w:val="0"/>
          <w:position w:val="0"/>
          <w:sz w:val="24"/>
          <w:shd w:fill="auto" w:val="clear"/>
        </w:rPr>
        <w:t xml:space="preserve">-80 &amp;#176;C freezer for 24 h. After 24 h, cryovials can be transferred to liquid nitrogen (-196 &amp;#176;C) for long-term storage.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2"/>
          <w:shd w:fill="FFFF00" w:val="clear"/>
        </w:rPr>
        <w:t xml:space="preserve">2.</w:t>
        <w:tab/>
      </w:r>
      <w:r>
        <w:rPr>
          <w:rFonts w:ascii="Calibri" w:hAnsi="Calibri" w:cs="Calibri" w:eastAsia="Calibri"/>
          <w:b/>
          <w:color w:val="000000"/>
          <w:spacing w:val="0"/>
          <w:position w:val="0"/>
          <w:sz w:val="24"/>
          <w:shd w:fill="FFFF00" w:val="clear"/>
        </w:rPr>
        <w:t xml:space="preserve">vmAstro Differentiation protocol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00FFFF"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 schematic summary of the vmAstros differentiation protocol is shown in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 detailed list of reagents required for the protocol and their preparation is given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2.1.</w:t>
        <w:tab/>
        <w:t xml:space="preserve">Differentiation and expansion of vmNPCs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protocol has been optimized to begin with a minimum with 1x well of a 6-well plate (10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of hiPSCs 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confluency, which is approximately 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cells/cm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Starting cell number and density must be optimized for each hiPSC line as it significantly impacts survival and differentiation efficiency.</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Remove cell culture medium from hiPSCs and wash 3x in DMEM/F12 + glutamax. Replace media with 2 mL vmNPC induction media (N2B27 + CHIR99021 + SB431542 + SHH(C24ii) + LDN193189.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details of preparing media and reagents).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Feed on alternate days with a half media change after 24 h, and a full media change at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the vmNPC culture will require passaging. A standard passaging ratio of 1:3 or 1:4 is recommended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needs to be optimized for each hiPSC line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1 h before passaging, add 1x cell supplement (e.g., Revitacell) to vmNPCs, and prepare 1x basement membrane matrix (e.g., Geltrex) coated tissue culture plastic (</w:t>
      </w:r>
      <w:r>
        <w:rPr>
          <w:rFonts w:ascii="Calibri" w:hAnsi="Calibri" w:cs="Calibri" w:eastAsia="Calibri"/>
          <w:b/>
          <w:color w:val="000000"/>
          <w:spacing w:val="0"/>
          <w:position w:val="0"/>
          <w:sz w:val="24"/>
          <w:shd w:fill="FFFF00" w:val="clear"/>
        </w:rPr>
        <w:t xml:space="preserve">section 2.2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Remove the media from vmNPCs and wash 2x with D-PBS. Add 1 mL pre-warmed cell detachment solution (e.g., Accutase) per 10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culture area (1 mL per well of a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Place at 37 &amp;#176;C for 1 min and then examine vmNPCs using a phase contrast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vmNPCs will start to round up, their processes will re-tract, and gaps will appear in the cell layer. This can take from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depending on cell density.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When vmNPCs take on this appearance, add 100 &amp;#181;L of cell detachment solution (e.g., Accutase) on to the layer of vmNPCs.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If the vmNPCs are ready to detach, a hole in the cell layer will appear. If this doesn’t happen, then the vmNPCs require further incubation with cell detachment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If vmNPCs readily detach, then gently remove the cell detachment solution and wash vmNPCs 2x with N2B27. Add the N2B27 down the side of the well or culture vessel and gently swirl to wash, ensuring that vmNPCs do not detach.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This step must be completed quickly to ensure vmNPCs do not reattach to the cell surface. If vmNPCs start to detach in the wash steps, collect via centrifugation at 150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vmNPCs are not centrifuged as standard when passaging as this can reduce their survival.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Finally, remove vmNPCs using a pipette, by vigorously ejecting vmNPC induction media containing 1x cell supplement (e.g., Revitacell) directly on to the cell layer. This should remove vmNPCs, which can then be transferred to a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the resuspended vmNPCs to remove further cells as this will result in their over-trituration, which reduces their survival.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Replace in 37 &amp;#176;C/5%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vmNPCs should begin to attach to the matrix-coated surface after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Replace half of the media with fresh vmNPC induction media (without cell supplement) after 24 h and continue the feeding schedule as earlier.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2.1.10.</w:t>
        <w:tab/>
        <w:t xml:space="preserve">Continue the regime of feeding and passaging for 10 days.</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w:t>
        <w:tab/>
        <w:t xml:space="preserve">Preparing basement membrane matrix and coating tissue culture plastic</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maintaining vmNPCs 1x basement membrane matrix (e.g., Geltrex) is used for coating plasticware. For maintaining vmAPCs or vmAstros, 0.25x basement membrane matrix can be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Remove basement membrane matrix stock from a -80 &amp;#176;C freezer and place in a 4 &amp;#176;C fridge overnight to thaw.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Dilute 1:10 with ice cold DMEM/F12 + glutamax, aliquot and store at -80 &amp;#176;C as a 10x stock.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When coating plasticware dilute this 10x stock to 1x (for vmNPCs) or 0.25x (for vmAPCs or vmAstros) with ice cold DMEM/F12 + glutamax.</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Immediately add to tissue culture plastic at 1 mL per 10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for example, 1 mL per well of a 6-well plate.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2.2.5.</w:t>
        <w:tab/>
        <w:t xml:space="preserve">Place at 37 &amp;#176;C for 1 h. The basement membrane matrix solution should not be removed from plasticware until ready to add media/cells to ensure the coated plasticware does not dry out. Matrix coated plates do not require washing before adding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2.3.</w:t>
        <w:tab/>
      </w:r>
      <w:r>
        <w:rPr>
          <w:rFonts w:ascii="Calibri" w:hAnsi="Calibri" w:cs="Calibri" w:eastAsia="Calibri"/>
          <w:b/>
          <w:color w:val="000000"/>
          <w:spacing w:val="0"/>
          <w:position w:val="0"/>
          <w:sz w:val="24"/>
          <w:shd w:fill="FFFF00" w:val="clear"/>
        </w:rPr>
        <w:t xml:space="preserve">Expansion of vmNPCs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On day 10 of the protocol, replace the induction media with vmNPC expansion media (N2B27 + GDNF + BDNF + ascorbic acid.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details of preparing media and reagents).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vmNPCs do not require the addition of mitogens to induce proliferation. BDNF, GDNF, and ascorbic acid support the survival and maintenance of vmNPCs</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Feed on alternate days with a half media change after 24 h, and a full media change at 48 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 days, the vmNPC culture will require passaging. For passaging, a standard passaging ratio of 1:3 or 1:4 is recommended (this needs to be optimized for each hiPSC line used. Determine the ratio that gives the best survival, proliferation, and generation of vmNPCs).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1 h before passaging, add 1x cell supplement (e.g., Revitacell) to vmNPCs, and prepare 1x matrix coated plates/flasks in advance (</w:t>
      </w:r>
      <w:r>
        <w:rPr>
          <w:rFonts w:ascii="Calibri" w:hAnsi="Calibri" w:cs="Calibri" w:eastAsia="Calibri"/>
          <w:b/>
          <w:color w:val="000000"/>
          <w:spacing w:val="0"/>
          <w:position w:val="0"/>
          <w:sz w:val="24"/>
          <w:shd w:fill="FFFF00" w:val="clear"/>
        </w:rPr>
        <w:t xml:space="preserve">section 2.2</w:t>
      </w:r>
      <w:r>
        <w:rPr>
          <w:rFonts w:ascii="Calibri" w:hAnsi="Calibri" w:cs="Calibri" w:eastAsia="Calibri"/>
          <w:color w:val="000000"/>
          <w:spacing w:val="0"/>
          <w:position w:val="0"/>
          <w:sz w:val="24"/>
          <w:shd w:fill="FFFF00" w:val="clear"/>
        </w:rPr>
        <w:t xml:space="preserve">). Prewarm the cell detachment solution (e.g., Accutase) to 37 &amp;#176;C. Prewarm fresh vmNPC expansion media containing 1x cell supplement (e.g., Revitacell).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Remove media from vmNPCs and wash 2x with D-PBS. Add 1 mL cell detachment solution (e.g., Accutase) per 10 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culture area (1 mL per well of a 6-well plate). Place at 37 &amp;#176;C for 1 min and then examine vmNPCs using a phase-contrast microscope.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vmNPCs will start to round up, their processes will re-tract, and gaps will appear in the cell layer. This can take from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min depending on the cell density.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2.3.5.</w:t>
        <w:tab/>
        <w:t xml:space="preserve">When vmNPCs takes on a rounded appearance, add 100 &amp;#181;L of cell detachment solution (e.g., Accutase) on to the layer of vmNPCs.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vmNPCs are ready to detach, a hole in the cell layer will appear. If this doesn’t happen, then the vmNPCs require further incubation with the cell detachment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2.3.6.</w:t>
        <w:tab/>
        <w:t xml:space="preserve">If vmNPCs do readily detach, then gently remove the cell detachment solution and wash vmNPCs twice with N2B27. Add the N2B27 down the side of the well or culture vessel and gently swirl to wash, ensuring that vmNPCs do not detach.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vmNPCs start to detach in the wash steps, collect via centrifugation at 150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 vmNPCs are not centrifuged as standard when passaging as this can reduce their survival. This step must be completed quickly to ensure vmNPCs do not reattach to the cell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2.3.7.</w:t>
        <w:tab/>
        <w:t xml:space="preserve">Remove vmNPCs using a pipette, and vigorously eject vmNPC expansion media containing 1x cell supplement (e.g., Revitacell) directly on to the cell layer. This should remove vmNPCs, which can then be transferred to a 15 mL centrifuge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the resuspended vmNPCs to remove further cells as this will result in their over-trituration, which reduces their survival.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2.3.8.</w:t>
        <w:tab/>
        <w:t xml:space="preserve">Replace in 37 &amp;#176;C/5%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incubator. vmNPCs should begin to attach to the matrix coated surface after 20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30 min. After 24 h, replace half of the culture media with fresh vmNPC expansion media (without cell supplement) and continue the previous feeding schedule.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2.3.9.</w:t>
        <w:tab/>
        <w:t xml:space="preserve">Continue this regime of feeding and passaging for 10 days. vmNPCs can be expanded up</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to day 50.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2.4.</w:t>
        <w:tab/>
        <w:t xml:space="preserve">Differentiation and expansion of vmAPCs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vmNPCs cultures expanded as in section 3.2 can be used successfully for the generation of vmAPCs/vmAstros anywhere between 30 and 50 days from the initial hiPSC stage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w:t>
        <w:tab/>
        <w:t xml:space="preserve">Take a confluent vmNPC culture and wash vmNPCs 3x in advanced DMEM/F12 to remove traces of the components of vmNPC expansion media. Replace the media with vmAPC expansion media (ASTRO media +EGF +LIF.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details of preparing media and reagents).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w:t>
        <w:tab/>
      </w:r>
      <w:r>
        <w:rPr>
          <w:rFonts w:ascii="Calibri" w:hAnsi="Calibri" w:cs="Calibri" w:eastAsia="Calibri"/>
          <w:color w:val="000000"/>
          <w:spacing w:val="0"/>
          <w:position w:val="0"/>
          <w:sz w:val="24"/>
          <w:shd w:fill="FFFF00" w:val="clear"/>
        </w:rPr>
        <w:t xml:space="preserve">After 72 h passage, the vmNPC culture is at a high ratio (1:7.5). Passage using cell detachment solution as described for vmNPC in </w:t>
      </w:r>
      <w:r>
        <w:rPr>
          <w:rFonts w:ascii="Calibri" w:hAnsi="Calibri" w:cs="Calibri" w:eastAsia="Calibri"/>
          <w:b/>
          <w:color w:val="000000"/>
          <w:spacing w:val="0"/>
          <w:position w:val="0"/>
          <w:sz w:val="24"/>
          <w:shd w:fill="FFFF00" w:val="clear"/>
        </w:rPr>
        <w:t xml:space="preserve">section 2.3.</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For example, assuming vmNPCs were maintained in a single well of a 6-well plate, they should now be passaged into a 1x matrix coated 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 (coated as described in </w:t>
      </w:r>
      <w:r>
        <w:rPr>
          <w:rFonts w:ascii="Calibri" w:hAnsi="Calibri" w:cs="Calibri" w:eastAsia="Calibri"/>
          <w:b/>
          <w:color w:val="000000"/>
          <w:spacing w:val="0"/>
          <w:position w:val="0"/>
          <w:sz w:val="24"/>
          <w:shd w:fill="auto" w:val="clear"/>
        </w:rPr>
        <w:t xml:space="preserve">section 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2.4.3.</w:t>
        <w:tab/>
        <w:t xml:space="preserve">Resuspend vmNPCs in an appropriate volume of vmAPC Expansion media (7.5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mL media per 75 cm</w:t>
      </w:r>
      <w:r>
        <w:rPr>
          <w:rFonts w:ascii="Calibri" w:hAnsi="Calibri" w:cs="Calibri" w:eastAsia="Calibri"/>
          <w:color w:val="000000"/>
          <w:spacing w:val="0"/>
          <w:position w:val="0"/>
          <w:sz w:val="24"/>
          <w:shd w:fill="FFFF00" w:val="clear"/>
          <w:vertAlign w:val="superscript"/>
        </w:rPr>
        <w:t xml:space="preserve">2 </w:t>
      </w:r>
      <w:r>
        <w:rPr>
          <w:rFonts w:ascii="Calibri" w:hAnsi="Calibri" w:cs="Calibri" w:eastAsia="Calibri"/>
          <w:color w:val="000000"/>
          <w:spacing w:val="0"/>
          <w:position w:val="0"/>
          <w:sz w:val="24"/>
          <w:shd w:fill="FFFF00" w:val="clear"/>
        </w:rPr>
        <w:t xml:space="preserve">flask. Complete media changes every 3 days, or as the cells require.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this point on, vmNPCs are referred to as vmAPCs and should be passaged as single cells rather than cell clusters. vmAPCs should be passaged every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days or as they become confluent to avoid becoming over confluent. From this point onward the reduced concentration of 0.25x matrix should be used to coat plasticware (as described in </w:t>
      </w:r>
      <w:r>
        <w:rPr>
          <w:rFonts w:ascii="Calibri" w:hAnsi="Calibri" w:cs="Calibri" w:eastAsia="Calibri"/>
          <w:b/>
          <w:color w:val="000000"/>
          <w:spacing w:val="0"/>
          <w:position w:val="0"/>
          <w:sz w:val="24"/>
          <w:shd w:fill="auto" w:val="clear"/>
        </w:rPr>
        <w:t xml:space="preserve">section 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2.4.4.</w:t>
        <w:tab/>
        <w:t xml:space="preserve">Expand vmAPCs until they reach day 90 (from the hiPSC stage), cryopreserving vmAPCs at various points in their expansion.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2.5.</w:t>
        <w:tab/>
        <w:t xml:space="preserve">Generation of mature vmAstros from vmAPCs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stage, vmAPCs can be grown in 175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tissue culture flasks. This may be expanded for the generation of large numbers of mature vmAstros.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2.5.1.</w:t>
        <w:tab/>
        <w:t xml:space="preserve">When vmAPCs reach 80% confluency, wash 3x with ASTRO media and replace with vmAstros maturation media (ASTRO media +BMP4 +LIF.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for details of preparing media and reagents).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w:t>
        <w:tab/>
      </w:r>
      <w:r>
        <w:rPr>
          <w:rFonts w:ascii="Calibri" w:hAnsi="Calibri" w:cs="Calibri" w:eastAsia="Calibri"/>
          <w:color w:val="000000"/>
          <w:spacing w:val="0"/>
          <w:position w:val="0"/>
          <w:sz w:val="24"/>
          <w:shd w:fill="FFFF00" w:val="clear"/>
        </w:rPr>
        <w:t xml:space="preserve">Carry out a complete media change every 3 days, or as the cells require, for 10 days.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At this point, characterization indicates that the vmAstros are mature, as confirmed by immunocytochemistry (</w:t>
      </w:r>
      <w:r>
        <w:rPr>
          <w:rFonts w:ascii="Calibri" w:hAnsi="Calibri" w:cs="Calibri" w:eastAsia="Calibri"/>
          <w:b/>
          <w:color w:val="000000"/>
          <w:spacing w:val="0"/>
          <w:position w:val="0"/>
          <w:sz w:val="24"/>
          <w:shd w:fill="auto" w:val="clear"/>
        </w:rPr>
        <w:t xml:space="preserve">Figure 2G</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and by gene expression analysis (manuscript in preparation). b) vmAstros used immediately after maturation should be re-plated on a newly prepared matrix-coated surface. Maintaining either vmAPCs or vmAstros on the same culture surface for over 14 days could lead to suboptimal cultures, where cells begin to shrink in size and even detach. c) For applications examining neuroinflammatory modulation, BMP4 and LIF should be removed from the vmAstros 72 h prior to cytokine treatment as these factors can interfere with the efficacy of the cytokine treatment (data not shown).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w:t>
        <w:tab/>
        <w:t xml:space="preserve">vmAstros can now be re-plated for experimental assays, for example, onto coverslips for immunocytochemistry or cryopreserved for future applications (</w:t>
      </w:r>
      <w:r>
        <w:rPr>
          <w:rFonts w:ascii="Calibri" w:hAnsi="Calibri" w:cs="Calibri" w:eastAsia="Calibri"/>
          <w:b/>
          <w:color w:val="000000"/>
          <w:spacing w:val="0"/>
          <w:position w:val="0"/>
          <w:sz w:val="24"/>
          <w:shd w:fill="FFFF00" w:val="clear"/>
        </w:rPr>
        <w:t xml:space="preserve">sections 3,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Passaging should not be necessary at this stage of the protocol as proliferation should only occur at a very low rate. vmAPCs plated too densely at this stage maintain higher levels of proliferation. If this is the case, passage and split cells to achieve a density as is shown in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3.</w:t>
        <w:tab/>
        <w:t xml:space="preserve">Cryopreservation of vmNPCs, vmAPCs, and vmAstros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Cryopreserve vmNPCs/vmAPCs/vmAstros at full confluency.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1 h prior to beginning, add 1x cell supplement (e.g., Revitacell) to culture. Fill the cryostorage vessel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with isopropanol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Detach the cells from the culture plates using cell detachment solution as described in </w:t>
      </w:r>
      <w:r>
        <w:rPr>
          <w:rFonts w:ascii="Calibri" w:hAnsi="Calibri" w:cs="Calibri" w:eastAsia="Calibri"/>
          <w:b/>
          <w:color w:val="000000"/>
          <w:spacing w:val="0"/>
          <w:position w:val="0"/>
          <w:sz w:val="24"/>
          <w:shd w:fill="auto" w:val="clear"/>
        </w:rPr>
        <w:t xml:space="preserve">sections 2.3, 2.4, and 2.5</w:t>
      </w:r>
      <w:r>
        <w:rPr>
          <w:rFonts w:ascii="Calibri" w:hAnsi="Calibri" w:cs="Calibri" w:eastAsia="Calibri"/>
          <w:color w:val="000000"/>
          <w:spacing w:val="0"/>
          <w:position w:val="0"/>
          <w:sz w:val="24"/>
          <w:shd w:fill="auto" w:val="clear"/>
        </w:rPr>
        <w:t xml:space="preserve">, collecting cells in appropriate media (N2B27 or ASTRO media) containing 1x cell supplement (e.g., Revitacell). Centrifuge at 150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Resuspend pelleted vmNPCs/vmAPCs/vmAstros in cell freezing media </w:t>
      </w:r>
      <w:r>
        <w:rPr>
          <w:rFonts w:ascii="Calibri" w:hAnsi="Calibri" w:cs="Calibri" w:eastAsia="Calibri"/>
          <w:color w:val="262626"/>
          <w:spacing w:val="0"/>
          <w:position w:val="0"/>
          <w:sz w:val="24"/>
          <w:shd w:fill="auto" w:val="clear"/>
        </w:rPr>
        <w:t xml:space="preserve">(see </w:t>
      </w:r>
      <w:r>
        <w:rPr>
          <w:rFonts w:ascii="Calibri" w:hAnsi="Calibri" w:cs="Calibri" w:eastAsia="Calibri"/>
          <w:b/>
          <w:color w:val="262626"/>
          <w:spacing w:val="0"/>
          <w:position w:val="0"/>
          <w:sz w:val="24"/>
          <w:shd w:fill="auto" w:val="clear"/>
        </w:rPr>
        <w:t xml:space="preserve">Table of Materials</w:t>
      </w:r>
      <w:r>
        <w:rPr>
          <w:rFonts w:ascii="Calibri" w:hAnsi="Calibri" w:cs="Calibri" w:eastAsia="Calibri"/>
          <w:color w:val="262626"/>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volumes as follows (</w:t>
      </w:r>
      <w:r>
        <w:rPr>
          <w:rFonts w:ascii="Calibri" w:hAnsi="Calibri" w:cs="Calibri" w:eastAsia="Calibri"/>
          <w:b/>
          <w:color w:val="000000"/>
          <w:spacing w:val="0"/>
          <w:position w:val="0"/>
          <w:sz w:val="24"/>
          <w:shd w:fill="auto" w:val="clear"/>
        </w:rPr>
        <w:t xml:space="preserve">steps 3.3.1.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3.3.3.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For vmNPCs: 700 &amp;#181;L per 10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culture area, into 1 cryovial.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For vmAPCs: 700 &amp;#181;L per 60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culture area, into 1 cryovial (approximately 1/3 of a T175 culture flask).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For vmAstros: Resuspend in a 2 mL of media and count the number of vmAstros. Re-centrifuge and resuspend in cell freezing media </w:t>
      </w:r>
      <w:r>
        <w:rPr>
          <w:rFonts w:ascii="Calibri" w:hAnsi="Calibri" w:cs="Calibri" w:eastAsia="Calibri"/>
          <w:color w:val="262626"/>
          <w:spacing w:val="0"/>
          <w:position w:val="0"/>
          <w:sz w:val="24"/>
          <w:shd w:fill="auto" w:val="clear"/>
        </w:rPr>
        <w:t xml:space="preserve">(see </w:t>
      </w:r>
      <w:r>
        <w:rPr>
          <w:rFonts w:ascii="Calibri" w:hAnsi="Calibri" w:cs="Calibri" w:eastAsia="Calibri"/>
          <w:b/>
          <w:color w:val="262626"/>
          <w:spacing w:val="0"/>
          <w:position w:val="0"/>
          <w:sz w:val="24"/>
          <w:shd w:fill="auto" w:val="clear"/>
        </w:rPr>
        <w:t xml:space="preserve">Table of Materials</w:t>
      </w:r>
      <w:r>
        <w:rPr>
          <w:rFonts w:ascii="Calibri" w:hAnsi="Calibri" w:cs="Calibri" w:eastAsia="Calibri"/>
          <w:color w:val="262626"/>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at a number per cryovial appropriate to future applications. Assuming an approximate cell loss of 15% due to freeze-thawing, newly thawed vmAstros are counted and plated with a 15% excess cell number to compensate for cell death in the freeze-thaw process. This is, therefore, equivalent to 74,750 vmAstros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Thawed vmAstros are maintained for 72 h in ASTRO media prior to assaying.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Transfer the </w:t>
      </w:r>
      <w:r>
        <w:rPr>
          <w:rFonts w:ascii="Calibri" w:hAnsi="Calibri" w:cs="Calibri" w:eastAsia="Calibri"/>
          <w:color w:val="262626"/>
          <w:spacing w:val="0"/>
          <w:position w:val="0"/>
          <w:sz w:val="24"/>
          <w:shd w:fill="auto" w:val="clear"/>
        </w:rPr>
        <w:t xml:space="preserve">cryovials into a cell freezing vessel (for details see </w:t>
      </w:r>
      <w:r>
        <w:rPr>
          <w:rFonts w:ascii="Calibri" w:hAnsi="Calibri" w:cs="Calibri" w:eastAsia="Calibri"/>
          <w:b/>
          <w:color w:val="262626"/>
          <w:spacing w:val="0"/>
          <w:position w:val="0"/>
          <w:sz w:val="24"/>
          <w:shd w:fill="auto" w:val="clear"/>
        </w:rPr>
        <w:t xml:space="preserve">Table of Materials</w:t>
      </w:r>
      <w:r>
        <w:rPr>
          <w:rFonts w:ascii="Calibri" w:hAnsi="Calibri" w:cs="Calibri" w:eastAsia="Calibri"/>
          <w:color w:val="262626"/>
          <w:spacing w:val="0"/>
          <w:position w:val="0"/>
          <w:sz w:val="24"/>
          <w:shd w:fill="auto" w:val="clear"/>
        </w:rPr>
        <w:t xml:space="preserve">) and transfer the freezing vessel to a </w:t>
      </w:r>
      <w:r>
        <w:rPr>
          <w:rFonts w:ascii="Calibri" w:hAnsi="Calibri" w:cs="Calibri" w:eastAsia="Calibri"/>
          <w:color w:val="000000"/>
          <w:spacing w:val="0"/>
          <w:position w:val="0"/>
          <w:sz w:val="24"/>
          <w:shd w:fill="auto" w:val="clear"/>
        </w:rPr>
        <w:t xml:space="preserve">-80 &amp;#176;C freezer for 24 h. After 24 h, cryovials can be transferred to liquid nitrogen (-196 &amp;#176;C) for long-term storage.</w:t>
      </w:r>
    </w:p>
    <w:p>
      <w:pPr>
        <w:spacing w:before="0" w:after="0" w:line="240"/>
        <w:ind w:right="0" w:left="357"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w:t>
        <w:tab/>
      </w:r>
      <w:r>
        <w:rPr>
          <w:rFonts w:ascii="Calibri" w:hAnsi="Calibri" w:cs="Calibri" w:eastAsia="Calibri"/>
          <w:b/>
          <w:color w:val="000000"/>
          <w:spacing w:val="0"/>
          <w:position w:val="0"/>
          <w:sz w:val="24"/>
          <w:shd w:fill="FFFFFF" w:val="clear"/>
        </w:rPr>
        <w:t xml:space="preserve">Characterization of vmAstro phenotype by immunocytochemistry</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4.1.</w:t>
        <w:tab/>
      </w:r>
      <w:r>
        <w:rPr>
          <w:rFonts w:ascii="Calibri" w:hAnsi="Calibri" w:cs="Calibri" w:eastAsia="Calibri"/>
          <w:b/>
          <w:color w:val="000000"/>
          <w:spacing w:val="0"/>
          <w:position w:val="0"/>
          <w:sz w:val="24"/>
          <w:shd w:fill="FFFFFF" w:val="clear"/>
        </w:rPr>
        <w:t xml:space="preserve">Coverslip preparation and plating of vmAstros</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4.1.1. </w:t>
      </w:r>
      <w:r>
        <w:rPr>
          <w:rFonts w:ascii="Calibri" w:hAnsi="Calibri" w:cs="Calibri" w:eastAsia="Calibri"/>
          <w:color w:val="000000"/>
          <w:spacing w:val="0"/>
          <w:position w:val="0"/>
          <w:sz w:val="24"/>
          <w:shd w:fill="FFFFFF" w:val="clear"/>
        </w:rPr>
        <w:t xml:space="preserve">Place 100</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200 13 mm glass coverslips in glass Petri dishes on a layer of filter paper and sterilize them in a dry autoclave.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4.1.2. </w:t>
      </w:r>
      <w:r>
        <w:rPr>
          <w:rFonts w:ascii="Calibri" w:hAnsi="Calibri" w:cs="Calibri" w:eastAsia="Calibri"/>
          <w:color w:val="000000"/>
          <w:spacing w:val="0"/>
          <w:position w:val="0"/>
          <w:sz w:val="24"/>
          <w:shd w:fill="FFFFFF" w:val="clear"/>
        </w:rPr>
        <w:t xml:space="preserve">Transfer the coverslips to wells of 4- or 24-well plates using sterile forceps. Add 1x matrix solution (e.g., Geltrex) on the coverslips as 50 </w:t>
      </w:r>
      <w:r>
        <w:rPr>
          <w:rFonts w:ascii="Times New Roman" w:hAnsi="Times New Roman" w:cs="Times New Roman" w:eastAsia="Times New Roman"/>
          <w:color w:val="000000"/>
          <w:spacing w:val="0"/>
          <w:position w:val="0"/>
          <w:sz w:val="24"/>
          <w:shd w:fill="FFFFFF" w:val="clear"/>
        </w:rPr>
        <w:t xml:space="preserve">&amp;#956;</w:t>
      </w:r>
      <w:r>
        <w:rPr>
          <w:rFonts w:ascii="Calibri" w:hAnsi="Calibri" w:cs="Calibri" w:eastAsia="Calibri"/>
          <w:color w:val="000000"/>
          <w:spacing w:val="0"/>
          <w:position w:val="0"/>
          <w:sz w:val="24"/>
          <w:shd w:fill="FFFFFF" w:val="clear"/>
        </w:rPr>
        <w:t xml:space="preserve">L droplets and incubate at 37 &amp;#176;C for 1 h.</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4.1.3. </w:t>
      </w:r>
      <w:r>
        <w:rPr>
          <w:rFonts w:ascii="Calibri" w:hAnsi="Calibri" w:cs="Calibri" w:eastAsia="Calibri"/>
          <w:color w:val="000000"/>
          <w:spacing w:val="0"/>
          <w:position w:val="0"/>
          <w:sz w:val="24"/>
          <w:shd w:fill="FFFFFF" w:val="clear"/>
        </w:rPr>
        <w:t xml:space="preserve">Passage or thaw vmAstros, resuspend in ASTRO media and carry out a count. Plate vmAstros at 25</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100,000 cells per coverslip in a 50 </w:t>
      </w:r>
      <w:r>
        <w:rPr>
          <w:rFonts w:ascii="Times New Roman" w:hAnsi="Times New Roman" w:cs="Times New Roman" w:eastAsia="Times New Roman"/>
          <w:color w:val="000000"/>
          <w:spacing w:val="0"/>
          <w:position w:val="0"/>
          <w:sz w:val="24"/>
          <w:shd w:fill="FFFFFF" w:val="clear"/>
        </w:rPr>
        <w:t xml:space="preserve">&amp;#956;</w:t>
      </w:r>
      <w:r>
        <w:rPr>
          <w:rFonts w:ascii="Calibri" w:hAnsi="Calibri" w:cs="Calibri" w:eastAsia="Calibri"/>
          <w:color w:val="000000"/>
          <w:spacing w:val="0"/>
          <w:position w:val="0"/>
          <w:sz w:val="24"/>
          <w:shd w:fill="FFFFFF" w:val="clear"/>
        </w:rPr>
        <w:t xml:space="preserve">L droplet.</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4.1.4. </w:t>
      </w:r>
      <w:r>
        <w:rPr>
          <w:rFonts w:ascii="Calibri" w:hAnsi="Calibri" w:cs="Calibri" w:eastAsia="Calibri"/>
          <w:color w:val="000000"/>
          <w:spacing w:val="0"/>
          <w:position w:val="0"/>
          <w:sz w:val="24"/>
          <w:shd w:fill="FFFFFF" w:val="clear"/>
        </w:rPr>
        <w:t xml:space="preserve">Remove the matrix from the coverslip and immediately add vmAstros in a droplet of media. Place at 37 &amp;#176;C for 30 min and then flood the wells with an additional 250 </w:t>
      </w:r>
      <w:r>
        <w:rPr>
          <w:rFonts w:ascii="Calibri" w:hAnsi="Calibri" w:cs="Calibri" w:eastAsia="Calibri"/>
          <w:color w:val="000000"/>
          <w:spacing w:val="0"/>
          <w:position w:val="0"/>
          <w:sz w:val="24"/>
          <w:shd w:fill="auto" w:val="clear"/>
        </w:rPr>
        <w:t xml:space="preserve">&amp;#181;L</w:t>
      </w:r>
      <w:r>
        <w:rPr>
          <w:rFonts w:ascii="Calibri" w:hAnsi="Calibri" w:cs="Calibri" w:eastAsia="Calibri"/>
          <w:color w:val="000000"/>
          <w:spacing w:val="0"/>
          <w:position w:val="0"/>
          <w:sz w:val="24"/>
          <w:shd w:fill="FFFFFF" w:val="clear"/>
        </w:rPr>
        <w:t xml:space="preserve"> ASTRO media.</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4.2.</w:t>
        <w:tab/>
      </w:r>
      <w:r>
        <w:rPr>
          <w:rFonts w:ascii="Calibri" w:hAnsi="Calibri" w:cs="Calibri" w:eastAsia="Calibri"/>
          <w:b/>
          <w:color w:val="000000"/>
          <w:spacing w:val="0"/>
          <w:position w:val="0"/>
          <w:sz w:val="24"/>
          <w:shd w:fill="FFFFFF" w:val="clear"/>
        </w:rPr>
        <w:t xml:space="preserve">Fixation</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NOTE: If carrying out immunocytochemistry to simply check for astrocyte and midbrain marker expression, vmAstros can be fixed 24 h after plating.</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4.2.1. </w:t>
      </w:r>
      <w:r>
        <w:rPr>
          <w:rFonts w:ascii="Calibri" w:hAnsi="Calibri" w:cs="Calibri" w:eastAsia="Calibri"/>
          <w:color w:val="000000"/>
          <w:spacing w:val="0"/>
          <w:position w:val="0"/>
          <w:sz w:val="24"/>
          <w:shd w:fill="FFFFFF" w:val="clear"/>
        </w:rPr>
        <w:t xml:space="preserve">Prepare 4% formaldehyde solution by diluting 36% formaldehyde solution 1:9 in D-PBS.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4.2.2. </w:t>
      </w:r>
      <w:r>
        <w:rPr>
          <w:rFonts w:ascii="Calibri" w:hAnsi="Calibri" w:cs="Calibri" w:eastAsia="Calibri"/>
          <w:color w:val="000000"/>
          <w:spacing w:val="0"/>
          <w:position w:val="0"/>
          <w:sz w:val="24"/>
          <w:shd w:fill="FFFFFF" w:val="clear"/>
        </w:rPr>
        <w:t xml:space="preserve">Wash vmAstros 1x with D-PBS. Immediately add 4% formaldehyde to the wells and leave at room temperature for 10 min.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4.2.3. </w:t>
      </w:r>
      <w:r>
        <w:rPr>
          <w:rFonts w:ascii="Calibri" w:hAnsi="Calibri" w:cs="Calibri" w:eastAsia="Calibri"/>
          <w:color w:val="000000"/>
          <w:spacing w:val="0"/>
          <w:position w:val="0"/>
          <w:sz w:val="24"/>
          <w:shd w:fill="FFFFFF" w:val="clear"/>
        </w:rPr>
        <w:t xml:space="preserve">Remove formaldehyde and replace with D-PBS. Either store at 4 &amp;#176;C or proceed to immunocytochemistry.</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w:t>
        <w:tab/>
      </w:r>
      <w:r>
        <w:rPr>
          <w:rFonts w:ascii="Calibri" w:hAnsi="Calibri" w:cs="Calibri" w:eastAsia="Calibri"/>
          <w:b/>
          <w:color w:val="000000"/>
          <w:spacing w:val="0"/>
          <w:position w:val="0"/>
          <w:sz w:val="24"/>
          <w:shd w:fill="FFFFFF" w:val="clear"/>
        </w:rPr>
        <w:t xml:space="preserve">Immunocytochemistry</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4.3.1. </w:t>
      </w:r>
      <w:r>
        <w:rPr>
          <w:rFonts w:ascii="Calibri" w:hAnsi="Calibri" w:cs="Calibri" w:eastAsia="Calibri"/>
          <w:color w:val="000000"/>
          <w:spacing w:val="0"/>
          <w:position w:val="0"/>
          <w:sz w:val="24"/>
          <w:shd w:fill="FFFFFF" w:val="clear"/>
        </w:rPr>
        <w:t xml:space="preserve">Wash coverslips in wells 3x with D-PBS. Permeabilize and block in 10% goat serum, 1% BSA in 0.1% PBTx (D-PBS + 1:1000 Triton-X) for 1 h at room temperature.</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4.3.2. </w:t>
      </w:r>
      <w:r>
        <w:rPr>
          <w:rFonts w:ascii="Calibri" w:hAnsi="Calibri" w:cs="Calibri" w:eastAsia="Calibri"/>
          <w:color w:val="000000"/>
          <w:spacing w:val="0"/>
          <w:position w:val="0"/>
          <w:sz w:val="24"/>
          <w:shd w:fill="FFFFFF" w:val="clear"/>
        </w:rPr>
        <w:t xml:space="preserve">Add primary antibodies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in 1% goat serum, 0.1% BSA in 0.1% PBTx (D-PBS + 1:1000 Triton-X) and incubate overnight at 4 &amp;#176;C on a rocker.</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4.3.3. </w:t>
      </w:r>
      <w:r>
        <w:rPr>
          <w:rFonts w:ascii="Calibri" w:hAnsi="Calibri" w:cs="Calibri" w:eastAsia="Calibri"/>
          <w:color w:val="000000"/>
          <w:spacing w:val="0"/>
          <w:position w:val="0"/>
          <w:sz w:val="24"/>
          <w:shd w:fill="FFFFFF" w:val="clear"/>
        </w:rPr>
        <w:t xml:space="preserve">On the next day, remove primary antibodies and wash coverslips 3x with D-PBS.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4.3.4. </w:t>
      </w:r>
      <w:r>
        <w:rPr>
          <w:rFonts w:ascii="Calibri" w:hAnsi="Calibri" w:cs="Calibri" w:eastAsia="Calibri"/>
          <w:color w:val="000000"/>
          <w:spacing w:val="0"/>
          <w:position w:val="0"/>
          <w:sz w:val="24"/>
          <w:shd w:fill="FFFFFF" w:val="clear"/>
        </w:rPr>
        <w:t xml:space="preserve">Add appropriate secondary antibodies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in 1% goat serum, 0.1% BSA in 0.1% PBTx, and incubate for 1</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2 h at room temperature and protect it from light on a rocker. Wash coverslips 3x with D-PBS.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4.3.5. </w:t>
      </w:r>
      <w:r>
        <w:rPr>
          <w:rFonts w:ascii="Calibri" w:hAnsi="Calibri" w:cs="Calibri" w:eastAsia="Calibri"/>
          <w:color w:val="000000"/>
          <w:spacing w:val="0"/>
          <w:position w:val="0"/>
          <w:sz w:val="24"/>
          <w:shd w:fill="FFFFFF" w:val="clear"/>
        </w:rPr>
        <w:t xml:space="preserve">Add DAPI solution (0.1 &amp;#181;g/mL DAPI in D-PBS) and incubate at room temperature for 10 min. Wash coverslips 3x with D-PBS.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4.3.6. </w:t>
      </w:r>
      <w:r>
        <w:rPr>
          <w:rFonts w:ascii="Calibri" w:hAnsi="Calibri" w:cs="Calibri" w:eastAsia="Calibri"/>
          <w:color w:val="000000"/>
          <w:spacing w:val="0"/>
          <w:position w:val="0"/>
          <w:sz w:val="24"/>
          <w:shd w:fill="FFFFFF" w:val="clear"/>
        </w:rPr>
        <w:t xml:space="preserve">To mount the coverslip, add a 5 </w:t>
      </w:r>
      <w:r>
        <w:rPr>
          <w:rFonts w:ascii="Times New Roman" w:hAnsi="Times New Roman" w:cs="Times New Roman" w:eastAsia="Times New Roman"/>
          <w:color w:val="000000"/>
          <w:spacing w:val="0"/>
          <w:position w:val="0"/>
          <w:sz w:val="24"/>
          <w:shd w:fill="FFFFFF" w:val="clear"/>
        </w:rPr>
        <w:t xml:space="preserve">&amp;#956;</w:t>
      </w:r>
      <w:r>
        <w:rPr>
          <w:rFonts w:ascii="Calibri" w:hAnsi="Calibri" w:cs="Calibri" w:eastAsia="Calibri"/>
          <w:color w:val="000000"/>
          <w:spacing w:val="0"/>
          <w:position w:val="0"/>
          <w:sz w:val="24"/>
          <w:shd w:fill="FFFFFF" w:val="clear"/>
        </w:rPr>
        <w:t xml:space="preserve">L droplet of Mowiol/DABCO mounting media [12% Mowiol (w/v), 12% glycerol (w/v) dissolved overnight stirring in 0.2 M Tris (pH 8.5) with 25 mg/mL 1,4-diazabicylo[2.2.2]octane (DABCO)] to a glass microscope slide. Using forceps, carefully remove the coverslip from the well; dab the edge of the coverslip on the tissue to remove the excess liquid and place vmAstros side down onto the Mowiol/DABCO droplet.</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4.3.7. </w:t>
      </w:r>
      <w:r>
        <w:rPr>
          <w:rFonts w:ascii="Calibri" w:hAnsi="Calibri" w:cs="Calibri" w:eastAsia="Calibri"/>
          <w:color w:val="000000"/>
          <w:spacing w:val="0"/>
          <w:position w:val="0"/>
          <w:sz w:val="24"/>
          <w:shd w:fill="FFFFFF" w:val="clear"/>
        </w:rPr>
        <w:t xml:space="preserve"> Repeat for each coverslip and leave to dry for 8 h before microscopic examination.</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w:t>
        <w:tab/>
      </w:r>
      <w:r>
        <w:rPr>
          <w:rFonts w:ascii="Calibri" w:hAnsi="Calibri" w:cs="Calibri" w:eastAsia="Calibri"/>
          <w:b/>
          <w:color w:val="000000"/>
          <w:spacing w:val="0"/>
          <w:position w:val="0"/>
          <w:sz w:val="24"/>
          <w:shd w:fill="FFFFFF" w:val="clear"/>
        </w:rPr>
        <w:t xml:space="preserve">Measurement of vmAstros secretion of </w:t>
      </w:r>
      <w:r>
        <w:rPr>
          <w:rFonts w:ascii="Calibri" w:hAnsi="Calibri" w:cs="Calibri" w:eastAsia="Calibri"/>
          <w:b/>
          <w:color w:val="000000"/>
          <w:spacing w:val="0"/>
          <w:position w:val="0"/>
          <w:sz w:val="24"/>
          <w:shd w:fill="auto" w:val="clear"/>
        </w:rPr>
        <w:t xml:space="preserve">IL-6 in response to cytokine treatment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4.4.1. Cytokine treatment of vmAstros and media collection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Following the 10-day maturation with BMP4 and LIF, vmAstros should be passaged, counted, and plated on 0.25x matrix-coated tissue culture plasticware (as detailed in </w:t>
      </w:r>
      <w:r>
        <w:rPr>
          <w:rFonts w:ascii="Calibri" w:hAnsi="Calibri" w:cs="Calibri" w:eastAsia="Calibri"/>
          <w:b/>
          <w:color w:val="000000"/>
          <w:spacing w:val="0"/>
          <w:position w:val="0"/>
          <w:sz w:val="24"/>
          <w:shd w:fill="auto" w:val="clear"/>
        </w:rPr>
        <w:t xml:space="preserve">section 2.2</w:t>
      </w:r>
      <w:r>
        <w:rPr>
          <w:rFonts w:ascii="Calibri" w:hAnsi="Calibri" w:cs="Calibri" w:eastAsia="Calibri"/>
          <w:color w:val="000000"/>
          <w:spacing w:val="0"/>
          <w:position w:val="0"/>
          <w:sz w:val="24"/>
          <w:shd w:fill="auto" w:val="clear"/>
        </w:rPr>
        <w:t xml:space="preserve">), at a density of 65,000 vmAstros per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in ASTRO media. BMP4 and LIF should be removed from the vmAstros 72 h prior to cytokine treatment as active signaling from these factors can interfere with the efficacy of the cytokine treatment. Alternatively, cryopreserved vmAstros can be thawed and used for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4.4.1.1. On the day of the assay, gently wash vmAstros 3x in non-redox media (DMEM/F-12 + glutamax + N2).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4.4.1.2. Use an untreated control and cytokine-treated well for comparison. Add chosen cytokine at optimized concentration. The data in </w:t>
      </w:r>
      <w:r>
        <w:rPr>
          <w:rFonts w:ascii="Calibri" w:hAnsi="Calibri" w:cs="Calibri" w:eastAsia="Calibri"/>
          <w:b/>
          <w:color w:val="000000"/>
          <w:spacing w:val="0"/>
          <w:position w:val="0"/>
          <w:sz w:val="24"/>
          <w:shd w:fill="auto" w:val="clear"/>
        </w:rPr>
        <w:t xml:space="preserve">Figure 2J</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were generated using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at 3 ng/mL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in non-redox media at 1 mL per 10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cell culture area.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4.4.1.3. Replace vmAstros in 37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000000"/>
          <w:spacing w:val="0"/>
          <w:position w:val="0"/>
          <w:sz w:val="24"/>
          <w:shd w:fill="auto" w:val="clear"/>
        </w:rPr>
        <w:t xml:space="preserve">/5%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incubator for 24 h. After 24 h, collect culture media into sterile microfuge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4.4.1.4. If ELISA will not be carried out immediately, snap freeze media samples by submerging microfuge tubes in liquid nitrogen and store at -80 </w:t>
      </w:r>
      <w:r>
        <w:rPr>
          <w:rFonts w:ascii="Calibri" w:hAnsi="Calibri" w:cs="Calibri" w:eastAsia="Calibri"/>
          <w:color w:val="000000"/>
          <w:spacing w:val="0"/>
          <w:position w:val="0"/>
          <w:sz w:val="24"/>
          <w:shd w:fill="FFFFFF" w:val="clear"/>
        </w:rPr>
        <w:t xml:space="preserve">&amp;#176;C</w:t>
      </w:r>
      <w:r>
        <w:rPr>
          <w:rFonts w:ascii="Calibri" w:hAnsi="Calibri" w:cs="Calibri" w:eastAsia="Calibri"/>
          <w:color w:val="000000"/>
          <w:spacing w:val="0"/>
          <w:position w:val="0"/>
          <w:sz w:val="24"/>
          <w:shd w:fill="auto" w:val="clear"/>
        </w:rPr>
        <w:t xml:space="preserve"> for future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4.4.2. ELISA measurement of IL-6 concentration in culture media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protocol is optimized specifically for use with the IL-6 ELISA kit detailed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Antibodies and standards delivered as lyophilized powder in a new ELISA kit must be reconstituted prior to first use, and aliquoted for future use. The data sheet provided with the kit details the reagents and volumes required for reconstitution. The capture antibody must be reconstituted in PBS (without carrier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w:t>
        <w:tab/>
        <w:t xml:space="preserve">Perform the ELISA in a 96-well plate format and calculate the volumes of reagents according to the wells used. On the day of ELISA, prepare capture antibody by diluting stock 1:120 in PBS. Coat the plate by loading 50 &amp;#181;L of capture antibody per well. Cover the plate with an adhesive strip and incubate at room temperature overnight.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4.4.2.2.</w:t>
        <w:tab/>
        <w:t xml:space="preserve">Next day, wash the plate 3x with D-PBS-Tween (D-PBS with 0.05% Tween-20), 400 &amp;#181;L per well. Blot dry.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4.4.2.3.</w:t>
        <w:tab/>
        <w:t xml:space="preserve">Block the plate by loading 150 &amp;#181;L D-PBS/1% BSA per well. Incubate at room temperature for at least 1 h followed by a wash (as </w:t>
      </w:r>
      <w:r>
        <w:rPr>
          <w:rFonts w:ascii="Calibri" w:hAnsi="Calibri" w:cs="Calibri" w:eastAsia="Calibri"/>
          <w:b/>
          <w:color w:val="000000"/>
          <w:spacing w:val="0"/>
          <w:position w:val="0"/>
          <w:sz w:val="24"/>
          <w:shd w:fill="auto" w:val="clear"/>
        </w:rPr>
        <w:t xml:space="preserve">step 4.4.2.2.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4.4.2.4.</w:t>
        <w:tab/>
        <w:t xml:space="preserve">Thaw samples on ice (this can take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 h). Dilute samples 1:5 by loading 10 &amp;#181;L sample and 40 &amp;#181;L D-PBS/1% BSA. Vortex every sample prior to loading.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dilute samples when carrying out an IL-6 ELISA, dilutions should be optimized.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4.4.2.5.</w:t>
        <w:tab/>
        <w:t xml:space="preserve">Prepare the top standard (1,000 &amp;#961;g/mL) by diluting stock 1:180 in D-PBS/1% BSA. Prepare 7 standards by carrying out a serial dilution of the top standard. Vortex between each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4.4.2.6.</w:t>
        <w:tab/>
        <w:t xml:space="preserve">Add 50 &amp;#181;L of standards/samples to wells. Use D-PBS/1% BSA as the blank. Incubate at room temperature for 2 h on an orbital shaker to properly mix the diluted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4.4.2.7.</w:t>
        <w:tab/>
        <w:t xml:space="preserve">Wash the plate as in </w:t>
      </w:r>
      <w:r>
        <w:rPr>
          <w:rFonts w:ascii="Calibri" w:hAnsi="Calibri" w:cs="Calibri" w:eastAsia="Calibri"/>
          <w:b/>
          <w:color w:val="000000"/>
          <w:spacing w:val="0"/>
          <w:position w:val="0"/>
          <w:sz w:val="24"/>
          <w:shd w:fill="auto" w:val="clear"/>
        </w:rPr>
        <w:t xml:space="preserve">step 4.4.2.2.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4.4.2.8.</w:t>
        <w:tab/>
        <w:t xml:space="preserve">Prepare detection antibody by diluting stock 1:60 in D-PBS/1% BSA. Load 50 &amp;#181;L of detection antibody per well. Cover the plate and incubate at RT for 2 h, followed by a wash (as in </w:t>
      </w:r>
      <w:r>
        <w:rPr>
          <w:rFonts w:ascii="Calibri" w:hAnsi="Calibri" w:cs="Calibri" w:eastAsia="Calibri"/>
          <w:b/>
          <w:color w:val="000000"/>
          <w:spacing w:val="0"/>
          <w:position w:val="0"/>
          <w:sz w:val="24"/>
          <w:shd w:fill="auto" w:val="clear"/>
        </w:rPr>
        <w:t xml:space="preserve">step 4.1.1.2.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4.4.2.9.</w:t>
        <w:tab/>
        <w:tab/>
        <w:t xml:space="preserve">Prepare streptavidin conjugated to horseradish peroxidase (Strep-HRP) by diluting stock 1:40 in D-PBS/1% BSA. Load 50 &amp;#181;L Strep-HRP per well and incubate at room temperature for 20 min in the dark, followed by a wash (as in </w:t>
      </w:r>
      <w:r>
        <w:rPr>
          <w:rFonts w:ascii="Calibri" w:hAnsi="Calibri" w:cs="Calibri" w:eastAsia="Calibri"/>
          <w:b/>
          <w:color w:val="000000"/>
          <w:spacing w:val="0"/>
          <w:position w:val="0"/>
          <w:sz w:val="24"/>
          <w:shd w:fill="auto" w:val="clear"/>
        </w:rPr>
        <w:t xml:space="preserve">step 4.4.2.2.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4.4.2.10.</w:t>
        <w:tab/>
        <w:t xml:space="preserve">Initiate the color reaction by loading 50 &amp;#181;L TMB substrate solution per well. Incubate at room temperature in the dark for 20 min (or until the standards and samples have developed a blue colour).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TMB is stored at 4 &amp;#176;C but should be used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4.4.2.11.</w:t>
        <w:tab/>
        <w:t xml:space="preserve">Stop the reaction by adding 25 &amp;#181;L stop solution (1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per well and note the color change from blue to yellow.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4.4.2.12.</w:t>
        <w:tab/>
        <w:t xml:space="preserve">Read the plate at 450 nm absorbance using a microplate reader. Set wavelength correction to 540 nm absorbance to maximize accuracy. Calculate the protein concentrations in the samples from the standard curve produced.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aps w:val="true"/>
          <w:color w:val="0B3871"/>
          <w:spacing w:val="6"/>
          <w:position w:val="0"/>
          <w:sz w:val="24"/>
          <w:shd w:fill="auto" w:val="clear"/>
        </w:rPr>
      </w:pPr>
      <w:r>
        <w:rPr>
          <w:rFonts w:ascii="Calibri" w:hAnsi="Calibri" w:cs="Calibri" w:eastAsia="Calibri"/>
          <w:b/>
          <w:color w:val="000000"/>
          <w:spacing w:val="0"/>
          <w:position w:val="0"/>
          <w:sz w:val="24"/>
          <w:shd w:fill="auto" w:val="clear"/>
        </w:rPr>
        <w:t xml:space="preserve">Differentiation methodology and progression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the details of both the methods employed for the generation of vmAstros and the protocols used for their subsequent phenotypic characterization. The method for generation of vmAstros is made up of several distinct differentiation stages, which can be monitored by microscopy and identifying distinct morphological characteristics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 feeder-free hiPSC culture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is exposed to specific factors to induce their differentiation toward a neural lineage (LDN193189, SB431542), specifically of the ventral midbrain (CHIR99021, SHH-C24ii). This results in the generation of a culture of vmNPCs, which are morphologically distinct from hiPSCs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vmNPCs are less rounded than hiPSCs and vmNPCs have an elongated polygonal or triangular shape, typical of neural progenitors (</w:t>
      </w:r>
      <w:r>
        <w:rPr>
          <w:rFonts w:ascii="Calibri" w:hAnsi="Calibri" w:cs="Calibri" w:eastAsia="Calibri"/>
          <w:b/>
          <w:color w:val="000000"/>
          <w:spacing w:val="0"/>
          <w:position w:val="0"/>
          <w:sz w:val="24"/>
          <w:shd w:fill="auto" w:val="clear"/>
        </w:rPr>
        <w:t xml:space="preserve">Figures 1B,C</w:t>
      </w:r>
      <w:r>
        <w:rPr>
          <w:rFonts w:ascii="Calibri" w:hAnsi="Calibri" w:cs="Calibri" w:eastAsia="Calibri"/>
          <w:color w:val="000000"/>
          <w:spacing w:val="0"/>
          <w:position w:val="0"/>
          <w:sz w:val="24"/>
          <w:shd w:fill="auto" w:val="clear"/>
        </w:rPr>
        <w:t xml:space="preserve">). The morphological distinction is apparent from day 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onward. When vmNPCs are passaged, similar to hiPSCs, we aim to maintain them as small cell clusters rather than single cells to increase cell survival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However, whereas hiPSCs when passaged quickly form and remain as distinct colonies, vmNPCs readily form a monolayer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From day 20 onward, vmNPCs can be used to generate midbrain dopaminergic neurons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which we have previously published</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strategy to generate vmAstros from the vmNPCs relied on an understanding of the developing embryonic brain, the acquisition of astroglial fate in the embryo, and also how this has been applied to ex vivo neural progenitors and hiPSCs to generate astrocytes</w:t>
      </w:r>
      <w:r>
        <w:rPr>
          <w:rFonts w:ascii="Calibri" w:hAnsi="Calibri" w:cs="Calibri" w:eastAsia="Calibri"/>
          <w:color w:val="000000"/>
          <w:spacing w:val="0"/>
          <w:position w:val="0"/>
          <w:sz w:val="24"/>
          <w:shd w:fill="auto" w:val="clear"/>
          <w:vertAlign w:val="superscript"/>
        </w:rPr>
        <w:t xml:space="preserve">22,23,25,32</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Elongated time in culture together with the activation of specific signaling pathways has been demonstrated to be required by mammalian NPCs to recapitulate the timing enabling the shift in neuronal potency toward the astroglial lineage in vitro</w:t>
      </w:r>
      <w:r>
        <w:rPr>
          <w:rFonts w:ascii="Calibri" w:hAnsi="Calibri" w:cs="Calibri" w:eastAsia="Calibri"/>
          <w:color w:val="000000"/>
          <w:spacing w:val="0"/>
          <w:position w:val="0"/>
          <w:sz w:val="24"/>
          <w:shd w:fill="auto" w:val="clear"/>
          <w:vertAlign w:val="superscript"/>
        </w:rPr>
        <w:t xml:space="preserve">6,21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23,32</w:t>
      </w:r>
      <w:r>
        <w:rPr>
          <w:rFonts w:ascii="Calibri" w:hAnsi="Calibri" w:cs="Calibri" w:eastAsia="Calibri"/>
          <w:color w:val="000000"/>
          <w:spacing w:val="0"/>
          <w:position w:val="0"/>
          <w:sz w:val="24"/>
          <w:shd w:fill="auto" w:val="clear"/>
        </w:rPr>
        <w:t xml:space="preserve">. Therefore, we used LIF and EGF to support the elongated expansion of the cultures from day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Both JAK/STAT signaling downstream of LIF, and EGF signaling are inducers of astroglial identity and also selectively act as mitogens on astroglial progenitors</w:t>
      </w:r>
      <w:r>
        <w:rPr>
          <w:rFonts w:ascii="Calibri" w:hAnsi="Calibri" w:cs="Calibri" w:eastAsia="Calibri"/>
          <w:color w:val="000000"/>
          <w:spacing w:val="0"/>
          <w:position w:val="0"/>
          <w:sz w:val="24"/>
          <w:shd w:fill="auto" w:val="clear"/>
          <w:vertAlign w:val="superscript"/>
        </w:rPr>
        <w:t xml:space="preserve">22,23,25,33,34</w:t>
      </w:r>
      <w:r>
        <w:rPr>
          <w:rFonts w:ascii="Calibri" w:hAnsi="Calibri" w:cs="Calibri" w:eastAsia="Calibri"/>
          <w:color w:val="000000"/>
          <w:spacing w:val="0"/>
          <w:position w:val="0"/>
          <w:sz w:val="24"/>
          <w:shd w:fill="auto" w:val="clear"/>
        </w:rPr>
        <w:t xml:space="preserve">. Media components for the culture of vmAPCs are modified from those demonstrated by</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to support the generation of astrocytes from hiPSCs.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the EGF/LIF mediated expansion, period cells are referred to as vmAPCs (</w:t>
      </w:r>
      <w:r>
        <w:rPr>
          <w:rFonts w:ascii="Calibri" w:hAnsi="Calibri" w:cs="Calibri" w:eastAsia="Calibri"/>
          <w:b/>
          <w:color w:val="000000"/>
          <w:spacing w:val="0"/>
          <w:position w:val="0"/>
          <w:sz w:val="24"/>
          <w:shd w:fill="auto" w:val="clear"/>
        </w:rPr>
        <w:t xml:space="preserve">Figures 1A,E</w:t>
      </w:r>
      <w:r>
        <w:rPr>
          <w:rFonts w:ascii="Calibri" w:hAnsi="Calibri" w:cs="Calibri" w:eastAsia="Calibri"/>
          <w:color w:val="000000"/>
          <w:spacing w:val="0"/>
          <w:position w:val="0"/>
          <w:sz w:val="24"/>
          <w:shd w:fill="auto" w:val="clear"/>
        </w:rPr>
        <w:t xml:space="preserve">). We expect that between days 50 and 90 to culture the vmAPCs in 175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tissue culture flasks, passaging at ratios between 1:4 and 1:6 every 4 days, thus enabling rapid expansion of vmAPCs, which can be cryopreserved for future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From day 90 onward, vmAstros are generated from vmAPCs via the application of BMP4 in combination with LIF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 BMP signaling is required in vivo for mature astrocyte differentiation and recapitulates this effect in vitro</w:t>
      </w:r>
      <w:r>
        <w:rPr>
          <w:rFonts w:ascii="Calibri" w:hAnsi="Calibri" w:cs="Calibri" w:eastAsia="Calibri"/>
          <w:color w:val="000000"/>
          <w:spacing w:val="0"/>
          <w:position w:val="0"/>
          <w:sz w:val="24"/>
          <w:shd w:fill="auto" w:val="clear"/>
          <w:vertAlign w:val="superscript"/>
        </w:rPr>
        <w:t xml:space="preserve">21,23,37,38</w:t>
      </w:r>
      <w:r>
        <w:rPr>
          <w:rFonts w:ascii="Calibri" w:hAnsi="Calibri" w:cs="Calibri" w:eastAsia="Calibri"/>
          <w:color w:val="000000"/>
          <w:spacing w:val="0"/>
          <w:position w:val="0"/>
          <w:sz w:val="24"/>
          <w:shd w:fill="auto" w:val="clear"/>
        </w:rPr>
        <w:t xml:space="preserve">. In the culture flask, mature vmAstros appear larger than vmAPCs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detailed here has been carried out over six independent repeats, reproducibly generating vmAstros from the hiPSC line NAS2 and AST23. In addition, the generation of vmNPCs (for producing ventral midbrain dopamine neurons) has been carried out on </w:t>
      </w:r>
      <w:r>
        <w:rPr>
          <w:rFonts w:ascii="Calibri" w:hAnsi="Calibri" w:cs="Calibri" w:eastAsia="Calibri"/>
          <w:color w:val="000000"/>
          <w:spacing w:val="0"/>
          <w:position w:val="0"/>
          <w:sz w:val="24"/>
          <w:shd w:fill="FFFFFF" w:val="clear"/>
        </w:rPr>
        <w:t xml:space="preserve">multiple hiPSC and hESC lines as detailed in</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Characterization of vmAstros differentiation and phenotype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ventral midbrain identity of the vmNPCs was confirmed by co-expression of the neural progenitor marker Musashi1 (MSI1) and the ventral midbrain transcription factor FOXA2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vmNPCs readily generate midbrain dopamine neurons, which co-express FOXA2 and dopaminergic marker tyrosine hydroxylase (TH) (</w:t>
      </w:r>
      <w:r>
        <w:rPr>
          <w:rFonts w:ascii="Calibri" w:hAnsi="Calibri" w:cs="Calibri" w:eastAsia="Calibri"/>
          <w:b/>
          <w:color w:val="000000"/>
          <w:spacing w:val="0"/>
          <w:position w:val="0"/>
          <w:sz w:val="24"/>
          <w:shd w:fill="auto" w:val="clear"/>
        </w:rPr>
        <w:t xml:space="preserve">Figure 2B</w:t>
      </w:r>
      <w:r>
        <w:rPr>
          <w:rFonts w:ascii="Calibri" w:hAnsi="Calibri" w:cs="Calibri" w:eastAsia="Calibri"/>
          <w:color w:val="000000"/>
          <w:spacing w:val="0"/>
          <w:position w:val="0"/>
          <w:sz w:val="24"/>
          <w:shd w:fill="auto" w:val="clear"/>
        </w:rPr>
        <w:t xml:space="preserve">). Expansion of vmNPCs in the presence of EGF and LIF leads to the appearance of vmAPCs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From day 90 onward of the protocol, vmAPCs are exposed to BMP4 in combination with LIF to induce maturation into vmAstros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Immunocytochemistry confirmed co-expression of the ventral midbrain transcription factors LMX1A, LMX1B, and FOXA2 with the astrocyte marker S100</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vmAstros also express the mature astrocyte marker GFAP (</w:t>
      </w:r>
      <w:r>
        <w:rPr>
          <w:rFonts w:ascii="Calibri" w:hAnsi="Calibri" w:cs="Calibri" w:eastAsia="Calibri"/>
          <w:b/>
          <w:color w:val="000000"/>
          <w:spacing w:val="0"/>
          <w:position w:val="0"/>
          <w:sz w:val="24"/>
          <w:shd w:fill="auto" w:val="clear"/>
        </w:rPr>
        <w:t xml:space="preserve">Figure 2H</w:t>
      </w:r>
      <w:r>
        <w:rPr>
          <w:rFonts w:ascii="Calibri" w:hAnsi="Calibri" w:cs="Calibri" w:eastAsia="Calibri"/>
          <w:color w:val="000000"/>
          <w:spacing w:val="0"/>
          <w:position w:val="0"/>
          <w:sz w:val="24"/>
          <w:shd w:fill="auto" w:val="clear"/>
        </w:rPr>
        <w:t xml:space="preserve">) and the novel marker CD49f, which has been shown to be specific to mature, functional astrocytes</w:t>
      </w:r>
      <w:r>
        <w:rPr>
          <w:rFonts w:ascii="Calibri" w:hAnsi="Calibri" w:cs="Calibri" w:eastAsia="Calibri"/>
          <w:color w:val="000000"/>
          <w:spacing w:val="0"/>
          <w:position w:val="0"/>
          <w:sz w:val="24"/>
          <w:shd w:fill="auto" w:val="clear"/>
          <w:vertAlign w:val="superscript"/>
        </w:rPr>
        <w:t xml:space="preserve">39,40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2I</w:t>
      </w:r>
      <w:r>
        <w:rPr>
          <w:rFonts w:ascii="Calibri" w:hAnsi="Calibri" w:cs="Calibri" w:eastAsia="Calibri"/>
          <w:color w:val="000000"/>
          <w:spacing w:val="0"/>
          <w:position w:val="0"/>
          <w:sz w:val="24"/>
          <w:shd w:fill="auto" w:val="clear"/>
        </w:rPr>
        <w:t xml:space="preserve">). Together these results confirm that treatment with BMP4 and LIF induces a mature astrocyte identity, as demonstrated both in vivo and in vitro, and that mature vmAstros maintain the regional ventral midbrain identity acquired in the primary stages of the differentiation protocol</w:t>
      </w:r>
      <w:r>
        <w:rPr>
          <w:rFonts w:ascii="Calibri" w:hAnsi="Calibri" w:cs="Calibri" w:eastAsia="Calibri"/>
          <w:color w:val="000000"/>
          <w:spacing w:val="0"/>
          <w:position w:val="0"/>
          <w:sz w:val="24"/>
          <w:shd w:fill="auto" w:val="clear"/>
          <w:vertAlign w:val="superscript"/>
        </w:rPr>
        <w:t xml:space="preserve">21,37,38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2E</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confirm that the vmAstros are capable of neuroinflammatory modulation in line with their in vivo counterparts, we characterized their response to cytokine exposure. Exposure of vmAstros to the cytokine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for 24 h resulted in morphological changes similar to those demonstrated by ex vivo reactive mouse astrocytes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2J,K</w:t>
      </w:r>
      <w:r>
        <w:rPr>
          <w:rFonts w:ascii="Calibri" w:hAnsi="Calibri" w:cs="Calibri" w:eastAsia="Calibri"/>
          <w:color w:val="000000"/>
          <w:spacing w:val="0"/>
          <w:position w:val="0"/>
          <w:sz w:val="24"/>
          <w:shd w:fill="auto" w:val="clear"/>
        </w:rPr>
        <w:t xml:space="preserve">). Specifically, upon addition of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a large proportion of the vmAstros demonstrated a smaller, rounded cell body with multiple projections (</w:t>
      </w:r>
      <w:r>
        <w:rPr>
          <w:rFonts w:ascii="Calibri" w:hAnsi="Calibri" w:cs="Calibri" w:eastAsia="Calibri"/>
          <w:b/>
          <w:color w:val="000000"/>
          <w:spacing w:val="0"/>
          <w:position w:val="0"/>
          <w:sz w:val="24"/>
          <w:shd w:fill="auto" w:val="clear"/>
        </w:rPr>
        <w:t xml:space="preserve">Figure 2K</w:t>
      </w:r>
      <w:r>
        <w:rPr>
          <w:rFonts w:ascii="Calibri" w:hAnsi="Calibri" w:cs="Calibri" w:eastAsia="Calibri"/>
          <w:color w:val="000000"/>
          <w:spacing w:val="0"/>
          <w:position w:val="0"/>
          <w:sz w:val="24"/>
          <w:shd w:fill="auto" w:val="clear"/>
        </w:rPr>
        <w:t xml:space="preserve">). To confirm that these changes were representative of a reactive astrocyte phenotype in response to the neuroinflammatory stimuli, we measured the level of IL-6 secreted by the vmAstros. Increased IL-6 secretion is an indicator of reactivity in astrocytes. We measured IL-6 levels by ELISA after a 24 h treatment with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which confirmed a large and significant increase in secreted IL-6, thus confirming the vmAstros were demonstrating a reactive phenotype (</w:t>
      </w:r>
      <w:r>
        <w:rPr>
          <w:rFonts w:ascii="Calibri" w:hAnsi="Calibri" w:cs="Calibri" w:eastAsia="Calibri"/>
          <w:b/>
          <w:color w:val="000000"/>
          <w:spacing w:val="0"/>
          <w:position w:val="0"/>
          <w:sz w:val="24"/>
          <w:shd w:fill="auto" w:val="clear"/>
        </w:rPr>
        <w:t xml:space="preserve">Figure 2L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left" w:pos="876"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HiPSC differentiation into vmAstros.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schematic representation of the optimized protocol to generate vmAstros from hiPSC. The protocol is made up of distinct stages; first a neural, ventral midbrain fate is through dual-SMAD inhibition (with SB431542 and LDN193189) in combination with ventral midbrain patterning molecules (SHH (C24ii) and CHIR99021). vmNPCs proliferate rapidly in the absence of any exogenous mitogens during the vmNPC expansion stage. The addition of BDNF, GDNF, and ascorbic acid promotes survival of vmNPCs, supporting an increase in cell number. Addition of EGF and LIF sustains proliferation and promotes acquisition of astroglial fate over an extended culture period. After a minimum of 90 days from the initial hiPSC, vmAPCs form mature vmAstros upon exposure to BMP4. (</w:t>
      </w:r>
      <w:r>
        <w:rPr>
          <w:rFonts w:ascii="Calibri" w:hAnsi="Calibri" w:cs="Calibri" w:eastAsia="Calibri"/>
          <w:b/>
          <w:color w:val="000000"/>
          <w:spacing w:val="0"/>
          <w:position w:val="0"/>
          <w:sz w:val="24"/>
          <w:shd w:fill="auto" w:val="clear"/>
        </w:rPr>
        <w:t xml:space="preserve">B</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Images of cells as they should appear at different stages in the protocol. hiPSCs and vmNPCs cells are passaged as small clusters, rather than single cells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Scale bars: B = 500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 = 250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D &amp;amp; E = 200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tabs>
          <w:tab w:val="left" w:pos="876"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34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Characterization of the phenotype of intermediate cells and vmAstros generated using the described protocol, confirming a ventral midbrain identity.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Immunocytochemistry demonstrated vmNPCs express the neural progenitor marker MSI1 (red) and the ventral midbrain transcription factor FOXA2 (green).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vmNPCs are capable of generating midbrain dopamine neurons co-expressing dopaminergic marker tyrosine hydroxylase (TH; red) and ventral midbrain transcription factor FOXA2 (green) (previously published in</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High magnification phase contrast images show the morphology of vmAPCs compared to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the mature vmAstros, which have a larger area from nucleus to cell membrane. Immunocytochemistry demonstrated mature vmAstros co-express astrocyte marker S100&amp;#946; and ventral midbrain markers LMX1A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LMX1B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and FOXA2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H,I</w:t>
      </w:r>
      <w:r>
        <w:rPr>
          <w:rFonts w:ascii="Calibri" w:hAnsi="Calibri" w:cs="Calibri" w:eastAsia="Calibri"/>
          <w:color w:val="000000"/>
          <w:spacing w:val="0"/>
          <w:position w:val="0"/>
          <w:sz w:val="24"/>
          <w:shd w:fill="auto" w:val="clear"/>
        </w:rPr>
        <w:t xml:space="preserve">) vmAstros express GFAP and CD49f, which are associated with a mature astrocyte phenotype. (</w:t>
      </w:r>
      <w:r>
        <w:rPr>
          <w:rFonts w:ascii="Calibri" w:hAnsi="Calibri" w:cs="Calibri" w:eastAsia="Calibri"/>
          <w:b/>
          <w:color w:val="000000"/>
          <w:spacing w:val="0"/>
          <w:position w:val="0"/>
          <w:sz w:val="24"/>
          <w:shd w:fill="auto" w:val="clear"/>
        </w:rPr>
        <w:t xml:space="preserve">J,L</w:t>
      </w:r>
      <w:r>
        <w:rPr>
          <w:rFonts w:ascii="Calibri" w:hAnsi="Calibri" w:cs="Calibri" w:eastAsia="Calibri"/>
          <w:color w:val="000000"/>
          <w:spacing w:val="0"/>
          <w:position w:val="0"/>
          <w:sz w:val="24"/>
          <w:shd w:fill="auto" w:val="clear"/>
        </w:rPr>
        <w:t xml:space="preserve">) Representative images demonstrating the morphology of untreated cultures of vmAstros (</w:t>
      </w:r>
      <w:r>
        <w:rPr>
          <w:rFonts w:ascii="Calibri" w:hAnsi="Calibri" w:cs="Calibri" w:eastAsia="Calibri"/>
          <w:b/>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compared to those exposed to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 for 24 h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Exposure to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resulted in clear morphological changes </w:t>
      </w:r>
      <w:r>
        <w:rPr>
          <w:rFonts w:ascii="Calibri" w:hAnsi="Calibri" w:cs="Calibri" w:eastAsia="Calibri"/>
          <w:b/>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In response to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vmAstros significantly increased secretion of IL-6, indicating vmAstros are generating a reactive phenotype in response to neuroinflammatory stimuli (n = 3 independent experiments, SEM, unpaired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 p = 0.0227). All immunofluorescence images were taken on a confocal microscope. Scale bars: A, B, I = 50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 D = 100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E, F = 25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G,H = 100</w:t>
      </w:r>
      <w:r>
        <w:rPr>
          <w:rFonts w:ascii="Symbol" w:hAnsi="Symbol" w:cs="Symbol" w:eastAsia="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method for the generation of vmAstros from hiPSCs is highly efficient, generating pure cultures of vmAstros, and being reproducible for the generation of vmAstros from different hiPSC lines. </w:t>
      </w:r>
      <w:r>
        <w:rPr>
          <w:rFonts w:ascii="Calibri" w:hAnsi="Calibri" w:cs="Calibri" w:eastAsia="Calibri"/>
          <w:color w:val="000000"/>
          <w:spacing w:val="6"/>
          <w:position w:val="0"/>
          <w:sz w:val="24"/>
          <w:shd w:fill="auto" w:val="clear"/>
        </w:rPr>
        <w:t xml:space="preserve">This protocol was developed around the recapitulation of the developmental events required in the embryo to correctly pattern the developing midbrain and generate astrocytes and comprises </w:t>
      </w:r>
      <w:r>
        <w:rPr>
          <w:rFonts w:ascii="Calibri" w:hAnsi="Calibri" w:cs="Calibri" w:eastAsia="Calibri"/>
          <w:color w:val="000000"/>
          <w:spacing w:val="0"/>
          <w:position w:val="0"/>
          <w:sz w:val="24"/>
          <w:shd w:fill="auto" w:val="clear"/>
        </w:rPr>
        <w:t xml:space="preserve">three defined stages: 1) neural ventral midbrain induction to generate vmNPCs, 2) generation and expansion of vmAPCs, and finally 3) maturation of vmAstros.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previous published work, we highlighted the importance of optimizing the concentrations of CHIR99021 and SHH(C24ii) for each hiPSC line used to generate vmNPCs, to ensure optimal expression of ventral midbrain markers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200 ng/mL SHH (C24ii) and 0.8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CHIR99021 yields consistently reproducible results over multiple hiPSC lines. However, 300 ng/mL SHH (C24ii) and 0.6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CHIR99021 can be more efficacious for particular hiPSC lines but can also affect cell survival</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Therefore, optimization by the user is recommended.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developing this protocol for the generation of vmAPCs, it was apparent that cell density is critical at all stages. In the vmNPC induction stage, cell density must remain high to support cell survival, as vmNPC density below 75% leads to the death of vmNPCs in large numbers. The rate of proliferation of the vmNPCs is dependent on the rate of proliferation of the parent hiPSC culture and does vary between lines; however, to maintain a proliferative population, vmNPC density must remain high. Therefore, we recommend that vmNPCs are passaged at conservative ratios until the user has optimized the passaging regime. In contrast vmAPCs should be passaged at high ratios, achieving a cell density of around 30-40% after passaging, and passaging as soon as the cells are confluent. We found in our preliminary experiments that maintaining vmAPCs at very high confluency leads to greater heterogeneity in the resulting vmAstros as indicated by varied morphology expression of astrocyte marker GFAP (data not shown). Micrographs of appropriate cell densities are included in this protocol for reference.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the vmNPCs and vmAPCs are highly proliferative, generating large number of cells from a relatively small starting population of iPSCs. For example, we usually begin this protocol with a single 10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dish of iPSCs and when we reach day 60, we would expect to culture the APCs in 175 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flasks, with each passage generating 4-6 new flasks and this rate of expansion would continue until day 90. Extrapolating from this, at minimum we would have the ability to generate up to 4,000 flasks of vmAPCs. We cryopreserve the vmAPCs throughout this expansion period and thus can generate a large cryobank of cells for future generation of mature vmAstros. This is extremely advantageous as it enables high-throughput analysis required for applications such as drug screening.</w:t>
      </w:r>
    </w:p>
    <w:p>
      <w:pPr>
        <w:spacing w:before="0" w:after="0" w:line="240"/>
        <w:ind w:right="0" w:left="0" w:firstLine="0"/>
        <w:jc w:val="both"/>
        <w:rPr>
          <w:rFonts w:ascii="Calibri" w:hAnsi="Calibri" w:cs="Calibri" w:eastAsia="Calibri"/>
          <w:color w:val="000000"/>
          <w:spacing w:val="6"/>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unique aspect of this protocol is the midbrain identity of the resulting vmAstros. In the brain, specific regional astroglial populations, similar to their neuronal counterparts, possess specific characteristics</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 A major focus of Parkinson’s research is the involvement of astroglial cells in neuroinflammation and how this influences disease progression. Neuroinflammation is present in early Parkinson’s and many other injury or disease scenarios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As part of the neuroinflammatory response, astrocytes transform in an attempt to protect neurons from damage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this is referred to as the “reactive astrocyte”. However, reactive astrocytes are themselves neurotoxic in chronic diseases such as Parkinson’s</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In animal and in vitro models of Parkinson’s, reactive astroglial mediated neuroinflammation is a catalyst for neurotoxic &amp;#945;-synuclein pathology and neurodegeneration</w:t>
      </w:r>
      <w:r>
        <w:rPr>
          <w:rFonts w:ascii="Calibri" w:hAnsi="Calibri" w:cs="Calibri" w:eastAsia="Calibri"/>
          <w:color w:val="000000"/>
          <w:spacing w:val="0"/>
          <w:position w:val="0"/>
          <w:sz w:val="24"/>
          <w:shd w:fill="auto" w:val="clear"/>
          <w:vertAlign w:val="superscript"/>
        </w:rPr>
        <w:t xml:space="preserve">9,14,41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Therefore, we created an in vitro neuroinflammatory environment by treating vmAstros with pro-inflammatory cytokines IL-1</w:t>
      </w:r>
      <w:r>
        <w:rPr>
          <w:rFonts w:ascii="Symbol" w:hAnsi="Symbol" w:cs="Symbol" w:eastAsia="Symbol"/>
          <w:color w:val="000000"/>
          <w:spacing w:val="0"/>
          <w:position w:val="0"/>
          <w:sz w:val="24"/>
          <w:shd w:fill="auto" w:val="clear"/>
        </w:rPr>
        <w:t xml:space="preserve">&amp;#945;</w:t>
      </w:r>
      <w:r>
        <w:rPr>
          <w:rFonts w:ascii="Calibri" w:hAnsi="Calibri" w:cs="Calibri" w:eastAsia="Calibri"/>
          <w:color w:val="000000"/>
          <w:spacing w:val="0"/>
          <w:position w:val="0"/>
          <w:sz w:val="24"/>
          <w:shd w:fill="auto" w:val="clear"/>
        </w:rPr>
        <w:t xml:space="preserve">or</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IL-1</w:t>
      </w:r>
      <w:r>
        <w:rPr>
          <w:rFonts w:ascii="Symbol" w:hAnsi="Symbol" w:cs="Symbol" w:eastAsia="Symbol"/>
          <w:color w:val="000000"/>
          <w:spacing w:val="0"/>
          <w:position w:val="0"/>
          <w:sz w:val="24"/>
          <w:shd w:fill="auto" w:val="clear"/>
        </w:rPr>
        <w:t xml:space="preserve">&amp;#946;</w:t>
      </w:r>
      <w:r>
        <w:rPr>
          <w:rFonts w:ascii="Calibri" w:hAnsi="Calibri" w:cs="Calibri" w:eastAsia="Calibri"/>
          <w:color w:val="000000"/>
          <w:spacing w:val="0"/>
          <w:position w:val="0"/>
          <w:sz w:val="24"/>
          <w:shd w:fill="auto" w:val="clear"/>
        </w:rPr>
        <w:t xml:space="preserve">. In response, the vmAstros demonstrated significant morphological changes and we saw a significant increase in secretion of IL-6, which is also elevated in Parkinson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and is widely used as a measure of astrocyte reactivity.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provides a reproducible and efficient method to generate large numbers of hiPSC-derived vmAstros, which demonstrate a phenotype that parallels their in vivo counterparts in the ventral midbrain. This protocol is therefore highly applicable to high-throughput applications such as drug screening, which require large numbers of human cells. Recent work has highlighted the role of neuroinflammation in Parkinson’s diseases, and how pharmacological targeting of astroglia influences neuroinflammation, which in turn modulates disease pathology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As demonstrated, the vmAstros generated with this protocol are appropriately responsive to neuroinflammatory stimulation, providing a comprehensive cellular model with which to study astroglial involvement in Parkinson’s disease.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tabs>
          <w:tab w:val="left" w:pos="1344"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funded by a Parkinson’s UK project grant (G-1402) and studentship. The authors gratefully acknowledge the Wolfson Bioimaging Facility for their support and assistance in this work.</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Poewe,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Parkinson disease. </w:t>
      </w:r>
      <w:r>
        <w:rPr>
          <w:rFonts w:ascii="Calibri" w:hAnsi="Calibri" w:cs="Calibri" w:eastAsia="Calibri"/>
          <w:i/>
          <w:color w:val="000000"/>
          <w:spacing w:val="0"/>
          <w:position w:val="0"/>
          <w:sz w:val="24"/>
          <w:shd w:fill="auto" w:val="clear"/>
        </w:rPr>
        <w:t xml:space="preserve">Nature Reviews Disease Primers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17013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Lees, A. J., Hardy, J., Revesz, T. Parkinson's disease.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2055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2066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Braak,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Staging of brain pathology related to sporadic Parkinson's disease. </w:t>
      </w:r>
      <w:r>
        <w:rPr>
          <w:rFonts w:ascii="Calibri" w:hAnsi="Calibri" w:cs="Calibri" w:eastAsia="Calibri"/>
          <w:i/>
          <w:color w:val="000000"/>
          <w:spacing w:val="0"/>
          <w:position w:val="0"/>
          <w:sz w:val="24"/>
          <w:shd w:fill="auto" w:val="clear"/>
        </w:rPr>
        <w:t xml:space="preserve">Neurobiology of 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211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Booth, H. D. E., Hirst, W. D., Wade-Martins, R. The role of astrocyte dysfunction in Parkinson's disease pathogenesis. </w:t>
      </w:r>
      <w:r>
        <w:rPr>
          <w:rFonts w:ascii="Calibri" w:hAnsi="Calibri" w:cs="Calibri" w:eastAsia="Calibri"/>
          <w:i/>
          <w:color w:val="000000"/>
          <w:spacing w:val="0"/>
          <w:position w:val="0"/>
          <w:sz w:val="24"/>
          <w:shd w:fill="auto" w:val="clear"/>
        </w:rPr>
        <w:t xml:space="preserve">Trends in Neurosciences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358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370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Lindstrom, V. et al. Extensive uptake of alpha-synuclein oligomers in astrocytes results in sustained intracellular deposits and mitochondrial damage. </w:t>
      </w:r>
      <w:r>
        <w:rPr>
          <w:rFonts w:ascii="Calibri" w:hAnsi="Calibri" w:cs="Calibri" w:eastAsia="Calibri"/>
          <w:i/>
          <w:color w:val="000000"/>
          <w:spacing w:val="0"/>
          <w:position w:val="0"/>
          <w:sz w:val="24"/>
          <w:shd w:fill="auto" w:val="clear"/>
        </w:rPr>
        <w:t xml:space="preserve">Molecular and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82</w:t>
      </w:r>
      <w:r>
        <w:rPr>
          <w:rFonts w:ascii="Calibri" w:hAnsi="Calibri" w:cs="Calibri" w:eastAsia="Calibri"/>
          <w:color w:val="000000"/>
          <w:spacing w:val="0"/>
          <w:position w:val="0"/>
          <w:sz w:val="24"/>
          <w:shd w:fill="auto" w:val="clear"/>
        </w:rPr>
        <w:t xml:space="preserve">, 143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Crompton, L. A., Cordero-Llana, O., Caldwell, M. A. Astrocytes in a dish: Using pluripotent stem cells to model neurodegenerative and neurodevelopmental disorders. </w:t>
      </w:r>
      <w:r>
        <w:rPr>
          <w:rFonts w:ascii="Calibri" w:hAnsi="Calibri" w:cs="Calibri" w:eastAsia="Calibri"/>
          <w:i/>
          <w:color w:val="000000"/>
          <w:spacing w:val="0"/>
          <w:position w:val="0"/>
          <w:sz w:val="24"/>
          <w:shd w:fill="auto" w:val="clear"/>
        </w:rPr>
        <w:t xml:space="preserve">Brain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530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544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di Domenico, A. et al. Patient-specific iPSC-derived astrocytes contribute to non-cell-autonomous neurodegeneration in Parkinson's disease. </w:t>
      </w:r>
      <w:r>
        <w:rPr>
          <w:rFonts w:ascii="Calibri" w:hAnsi="Calibri" w:cs="Calibri" w:eastAsia="Calibri"/>
          <w:i/>
          <w:color w:val="000000"/>
          <w:spacing w:val="0"/>
          <w:position w:val="0"/>
          <w:sz w:val="24"/>
          <w:shd w:fill="auto" w:val="clear"/>
        </w:rPr>
        <w:t xml:space="preserve">Stem 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Zhang, Y., Barres, B. A. Astrocyte heterogeneity: an underappreciated topic in neurobiology. </w:t>
      </w:r>
      <w:r>
        <w:rPr>
          <w:rFonts w:ascii="Calibri" w:hAnsi="Calibri" w:cs="Calibri" w:eastAsia="Calibri"/>
          <w:i/>
          <w:color w:val="000000"/>
          <w:spacing w:val="0"/>
          <w:position w:val="0"/>
          <w:sz w:val="24"/>
          <w:shd w:fill="auto" w:val="clear"/>
        </w:rPr>
        <w:t xml:space="preserve">Current Opinions in Neurobiology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588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Liddelow, S. A.</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Neurotoxic reactive astrocytes are induced by activated microglia.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541</w:t>
      </w:r>
      <w:r>
        <w:rPr>
          <w:rFonts w:ascii="Calibri" w:hAnsi="Calibri" w:cs="Calibri" w:eastAsia="Calibri"/>
          <w:color w:val="000000"/>
          <w:spacing w:val="0"/>
          <w:position w:val="0"/>
          <w:sz w:val="24"/>
          <w:shd w:fill="auto" w:val="clear"/>
        </w:rPr>
        <w:t xml:space="preserve">,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487(2017).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Liddelow, S. A., Barres, B. A. Reactive astrocytes: production, function, and therapeutic Potential. </w:t>
      </w:r>
      <w:r>
        <w:rPr>
          <w:rFonts w:ascii="Calibri" w:hAnsi="Calibri" w:cs="Calibri" w:eastAsia="Calibri"/>
          <w:i/>
          <w:color w:val="000000"/>
          <w:spacing w:val="0"/>
          <w:position w:val="0"/>
          <w:sz w:val="24"/>
          <w:shd w:fill="auto" w:val="clear"/>
        </w:rPr>
        <w:t xml:space="preserve">Immunity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957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967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Yun, S. 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Block of A1 astrocyte conversion by microglia is neuroprotective in models of Parkinson's disease. </w:t>
      </w:r>
      <w:r>
        <w:rPr>
          <w:rFonts w:ascii="Calibri" w:hAnsi="Calibri" w:cs="Calibri" w:eastAsia="Calibri"/>
          <w:i/>
          <w:color w:val="000000"/>
          <w:spacing w:val="0"/>
          <w:position w:val="0"/>
          <w:sz w:val="24"/>
          <w:shd w:fill="auto" w:val="clear"/>
        </w:rPr>
        <w:t xml:space="preserve">Nature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931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938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Stokholm, M. G. et al. Assessment of neuroinflammation in patients with idiopathic rapid-eye-movement sleep behaviour disorder: a case-control study. </w:t>
      </w:r>
      <w:r>
        <w:rPr>
          <w:rFonts w:ascii="Calibri" w:hAnsi="Calibri" w:cs="Calibri" w:eastAsia="Calibri"/>
          <w:i/>
          <w:color w:val="000000"/>
          <w:spacing w:val="0"/>
          <w:position w:val="0"/>
          <w:sz w:val="24"/>
          <w:shd w:fill="auto" w:val="clear"/>
        </w:rPr>
        <w:t xml:space="preserve">The 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789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796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Williams-Gray, C. H. et al. Serum immune markers and disease progression in an incident Parkinson's disease cohort (ICICLE-PD). </w:t>
      </w:r>
      <w:r>
        <w:rPr>
          <w:rFonts w:ascii="Calibri" w:hAnsi="Calibri" w:cs="Calibri" w:eastAsia="Calibri"/>
          <w:i/>
          <w:color w:val="000000"/>
          <w:spacing w:val="0"/>
          <w:position w:val="0"/>
          <w:sz w:val="24"/>
          <w:shd w:fill="auto" w:val="clear"/>
        </w:rPr>
        <w:t xml:space="preserve">Movement Disorders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1003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Gelders, G., Baekelandt, V., Van der Perren, A. Linking neuroinflammation and neurodegeneration in Parkinson's disease. </w:t>
      </w:r>
      <w:r>
        <w:rPr>
          <w:rFonts w:ascii="Calibri" w:hAnsi="Calibri" w:cs="Calibri" w:eastAsia="Calibri"/>
          <w:i/>
          <w:color w:val="000000"/>
          <w:spacing w:val="0"/>
          <w:position w:val="0"/>
          <w:sz w:val="24"/>
          <w:shd w:fill="auto" w:val="clear"/>
        </w:rPr>
        <w:t xml:space="preserve">Journal of Immunology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 4784268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Hall,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Cerebrospinal fluid concentrations of inflammatory markers in Parkinson's disease and atypical parkinsonian disorders.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13276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Zamanian, J.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analysis of reactive astrogliosis.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6410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Clarke, B.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stem cell-derived astrocytes exhibit region-specific heterogeneity in their secretory profiles. </w:t>
      </w:r>
      <w:r>
        <w:rPr>
          <w:rFonts w:ascii="Calibri" w:hAnsi="Calibri" w:cs="Calibri" w:eastAsia="Calibri"/>
          <w:i/>
          <w:color w:val="000000"/>
          <w:spacing w:val="0"/>
          <w:position w:val="0"/>
          <w:sz w:val="24"/>
          <w:shd w:fill="auto" w:val="clear"/>
        </w:rPr>
        <w:t xml:space="preserve">Brain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(10), e85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Sevenich, L. Brain-resident microglia and blood-borne macrophages orchestrate central nervous system inflammation in neurodegenerative disorders and brain cancer.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697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Friedman, B.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Diverse brain myeloid expression profiles reveal distinct microglial activation states and aspects of Alzheimer's disease not evident in mouse models.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847(2018).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Viti, J., Feathers, A., Phillips, J., Lillien, L. Epidermal growth factor receptors control competence to interpret leukemia inhibitory factor as an astrocyte inducer in developing cortex.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3385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3393 (2003).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Nakashima, K., Yanagisawa, M., Arakawa, H., Taga, T. Astrocyte differentiation mediated by LIF in cooperation with BMP2.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457</w:t>
      </w:r>
      <w:r>
        <w:rPr>
          <w:rFonts w:ascii="Calibri" w:hAnsi="Calibri" w:cs="Calibri" w:eastAsia="Calibri"/>
          <w:color w:val="000000"/>
          <w:spacing w:val="0"/>
          <w:position w:val="0"/>
          <w:sz w:val="24"/>
          <w:shd w:fill="auto" w:val="clear"/>
        </w:rPr>
        <w:t xml:space="preserve">,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46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Serio, A.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Astrocyte pathology and the absence of non-cell autonomy in an induced pluripotent stem cell model of TDP-43 proteinopathy.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110</w:t>
      </w:r>
      <w:r>
        <w:rPr>
          <w:rFonts w:ascii="Calibri" w:hAnsi="Calibri" w:cs="Calibri" w:eastAsia="Calibri"/>
          <w:color w:val="000000"/>
          <w:spacing w:val="0"/>
          <w:position w:val="0"/>
          <w:sz w:val="24"/>
          <w:shd w:fill="auto" w:val="clear"/>
        </w:rPr>
        <w:t xml:space="preserve">, 4697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4702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Gupta,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Human embryonic stem cell derived astrocytes mediate non-cell-autonomous neuroprotection through endogenous and drug-induced mechanisms. </w:t>
      </w:r>
      <w:r>
        <w:rPr>
          <w:rFonts w:ascii="Calibri" w:hAnsi="Calibri" w:cs="Calibri" w:eastAsia="Calibri"/>
          <w:i/>
          <w:color w:val="000000"/>
          <w:spacing w:val="0"/>
          <w:position w:val="0"/>
          <w:sz w:val="24"/>
          <w:shd w:fill="auto" w:val="clear"/>
        </w:rPr>
        <w:t xml:space="preserve">Cell Death and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779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787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Krencik, R., Ullian, E. M. A cellular star atlas: using astrocytes from human pluripotent stem cells for disease studies. </w:t>
      </w:r>
      <w:r>
        <w:rPr>
          <w:rFonts w:ascii="Calibri" w:hAnsi="Calibri" w:cs="Calibri" w:eastAsia="Calibri"/>
          <w:i/>
          <w:color w:val="000000"/>
          <w:spacing w:val="0"/>
          <w:position w:val="0"/>
          <w:sz w:val="24"/>
          <w:shd w:fill="auto" w:val="clear"/>
        </w:rPr>
        <w:t xml:space="preserve">Frontiers in Cellular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25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Krencik, R., Weick, J. P., Liu, Y., Zhang, Z.-J., Zhang, S.-C. Specification of transplantable astroglial subtypes from human pluripotent stem cells.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528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Xin,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Ventral midbrain astrocytes display unique physiological features and sensitivity to dopamine D2 receptor signaling. </w:t>
      </w:r>
      <w:r>
        <w:rPr>
          <w:rFonts w:ascii="Calibri" w:hAnsi="Calibri" w:cs="Calibri" w:eastAsia="Calibri"/>
          <w:i/>
          <w:color w:val="000000"/>
          <w:spacing w:val="0"/>
          <w:position w:val="0"/>
          <w:sz w:val="24"/>
          <w:shd w:fill="auto" w:val="clear"/>
        </w:rPr>
        <w:t xml:space="preserve">Neuropsychopharmacology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344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355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Devine, M. J. et al. Parkinson's disease induced pluripotent stem cells with triplication of the alpha-synuclein locus.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440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Chen,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Engineering synucleinopathy-resistant human dopaminergic neurons by CRISPR-mediated deletion of the SNCA gene. </w:t>
      </w:r>
      <w:r>
        <w:rPr>
          <w:rFonts w:ascii="Calibri" w:hAnsi="Calibri" w:cs="Calibri" w:eastAsia="Calibri"/>
          <w:i/>
          <w:color w:val="000000"/>
          <w:spacing w:val="0"/>
          <w:position w:val="0"/>
          <w:sz w:val="24"/>
          <w:shd w:fill="auto" w:val="clear"/>
        </w:rPr>
        <w:t xml:space="preserve">European 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510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524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Crompton, L. A. et al. Stepwise, non-adherent differentiation of human pluripotent stem cells to generate basal forebrain cholinergic neurons via hedgehog signaling.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1221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Stathakos, P. et al. A monolayer hiPSC culture system for autophagy/mitophagy studies in human dopaminergic neurons. </w:t>
      </w:r>
      <w:r>
        <w:rPr>
          <w:rFonts w:ascii="Calibri" w:hAnsi="Calibri" w:cs="Calibri" w:eastAsia="Calibri"/>
          <w:i/>
          <w:color w:val="000000"/>
          <w:spacing w:val="0"/>
          <w:position w:val="0"/>
          <w:sz w:val="24"/>
          <w:shd w:fill="auto" w:val="clear"/>
        </w:rPr>
        <w:t xml:space="preserve">Autophagy</w:t>
      </w:r>
      <w:r>
        <w:rPr>
          <w:rFonts w:ascii="Calibri" w:hAnsi="Calibri" w:cs="Calibri" w:eastAsia="Calibri"/>
          <w:color w:val="000000"/>
          <w:spacing w:val="0"/>
          <w:position w:val="0"/>
          <w:sz w:val="24"/>
          <w:shd w:fill="auto" w:val="clear"/>
        </w:rPr>
        <w:t xml:space="preserve">. 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Stathakos, P.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Imaging autophagy in hiPSC-derived midbrain dopaminergic neuronal cultures for Parkinson's disease research.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1880</w:t>
      </w:r>
      <w:r>
        <w:rPr>
          <w:rFonts w:ascii="Calibri" w:hAnsi="Calibri" w:cs="Calibri" w:eastAsia="Calibri"/>
          <w:color w:val="000000"/>
          <w:spacing w:val="0"/>
          <w:position w:val="0"/>
          <w:sz w:val="24"/>
          <w:shd w:fill="auto" w:val="clear"/>
        </w:rPr>
        <w:t xml:space="preserve">, 257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280 (2019).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Bilican,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Mutant induced pluripotent stem cell lines recapitulate aspects of TDP-43 proteinopathies and reveal cell-specific vulnerability.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5803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5808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Cordero-Llana, 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Clusterin secreted by astrocytes enhances neuronal differentiation from human neural precursor cells. </w:t>
      </w:r>
      <w:r>
        <w:rPr>
          <w:rFonts w:ascii="Calibri" w:hAnsi="Calibri" w:cs="Calibri" w:eastAsia="Calibri"/>
          <w:i/>
          <w:color w:val="000000"/>
          <w:spacing w:val="0"/>
          <w:position w:val="0"/>
          <w:sz w:val="24"/>
          <w:shd w:fill="auto" w:val="clear"/>
        </w:rPr>
        <w:t xml:space="preserve">Cell Death and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913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Morrow, T., Song, M. R., Ghosh, A. Sequential specification of neurons and glia by developmentally regulated extracellular factors.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128</w:t>
      </w:r>
      <w:r>
        <w:rPr>
          <w:rFonts w:ascii="Calibri" w:hAnsi="Calibri" w:cs="Calibri" w:eastAsia="Calibri"/>
          <w:color w:val="000000"/>
          <w:spacing w:val="0"/>
          <w:position w:val="0"/>
          <w:sz w:val="24"/>
          <w:shd w:fill="auto" w:val="clear"/>
        </w:rPr>
        <w:t xml:space="preserve">, 3585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3594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Namihira,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Committed neuronal precursors confer astrocytic potential on residual neural precursor cells.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255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Ochiai, W., Yanagisawa, M., Takizawa, T., Nakashima, K., Taga, T. Astrocyte differentiation of fetal neuroepithelial cells involving cardiotrophin-1-induced activation of STAT3. </w:t>
      </w:r>
      <w:r>
        <w:rPr>
          <w:rFonts w:ascii="Calibri" w:hAnsi="Calibri" w:cs="Calibri" w:eastAsia="Calibri"/>
          <w:i/>
          <w:color w:val="000000"/>
          <w:spacing w:val="0"/>
          <w:position w:val="0"/>
          <w:sz w:val="24"/>
          <w:shd w:fill="auto" w:val="clear"/>
        </w:rPr>
        <w:t xml:space="preserve">Cytokine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264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271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Nakashima, K., Yanagisawa, M., Arakawa, H. Synergistic signaling in fetal brain by STAT3-Smad1 complex bridged by p300.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284</w:t>
      </w:r>
      <w:r>
        <w:rPr>
          <w:rFonts w:ascii="Calibri" w:hAnsi="Calibri" w:cs="Calibri" w:eastAsia="Calibri"/>
          <w:color w:val="000000"/>
          <w:spacing w:val="0"/>
          <w:position w:val="0"/>
          <w:sz w:val="24"/>
          <w:shd w:fill="auto" w:val="clear"/>
        </w:rPr>
        <w:t xml:space="preserve"> (5413) 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482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Nakashima, K. et al. Developmental requirement of gp130 signaling in neuronal survival and astrocyte differentiation.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5429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5434 (1999).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Barbar,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CD49f is a novel marker of functional and reactive human iPSC-derived astrocytes.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453 e412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Barbar, L., Rusielewicz, T., Zimmer, M., Kalpana, K., Fossati, V. Isolation of human CD49f(+) astrocytes and in vitro iPSC-based neurotoxicity assays. </w:t>
      </w:r>
      <w:r>
        <w:rPr>
          <w:rFonts w:ascii="Calibri" w:hAnsi="Calibri" w:cs="Calibri" w:eastAsia="Calibri"/>
          <w:i/>
          <w:color w:val="000000"/>
          <w:spacing w:val="0"/>
          <w:position w:val="0"/>
          <w:sz w:val="24"/>
          <w:shd w:fill="auto" w:val="clear"/>
        </w:rPr>
        <w:t xml:space="preserve">STAR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(2020).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Gao, 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Neuroinflammation and alpha-synuclein dysfunction potentiate each other, driving chronic progression of neurodegeneration in a mouse model of Parkinson's disease. </w:t>
      </w:r>
      <w:r>
        <w:rPr>
          <w:rFonts w:ascii="Calibri" w:hAnsi="Calibri" w:cs="Calibri" w:eastAsia="Calibri"/>
          <w:i/>
          <w:color w:val="000000"/>
          <w:spacing w:val="0"/>
          <w:position w:val="0"/>
          <w:sz w:val="24"/>
          <w:shd w:fill="auto" w:val="clear"/>
        </w:rPr>
        <w:t xml:space="preserve">Environmental Health Perspectives.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807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814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Gao, H.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Neuroinflammation and oxidation/nitration of alpha-synuclein linked to dopaminergic neurodegeneration. </w:t>
      </w:r>
      <w:r>
        <w:rPr>
          <w:rFonts w:ascii="Calibri" w:hAnsi="Calibri" w:cs="Calibri" w:eastAsia="Calibri"/>
          <w:i/>
          <w:color w:val="000000"/>
          <w:spacing w:val="0"/>
          <w:position w:val="0"/>
          <w:sz w:val="24"/>
          <w:shd w:fill="auto" w:val="clear"/>
        </w:rPr>
        <w:t xml:space="preserve">Journal of Neuroscience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7687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7698 (2008).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Horvath, I. et al</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Co-aggregation of pro-inflammatory S100A9 with alpha-synuclein in Parkinson's disease: ex vivo and in vitro studies. </w:t>
      </w:r>
      <w:r>
        <w:rPr>
          <w:rFonts w:ascii="Calibri" w:hAnsi="Calibri" w:cs="Calibri" w:eastAsia="Calibri"/>
          <w:i/>
          <w:color w:val="000000"/>
          <w:spacing w:val="0"/>
          <w:position w:val="0"/>
          <w:sz w:val="24"/>
          <w:shd w:fill="auto" w:val="clear"/>
        </w:rPr>
        <w:t xml:space="preserve">Journal of Neuroinflammation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172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