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DNA-Tethered RNA Polymerase for Programmable In Vitro Transcription and Molecular Computation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Ryan C. Lee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Travis R. Douglas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Leo Y. T. Chou*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Biomedical Engineering, University of Toronto, Toronto, Ontario M5S 3G9,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Travis R. Douglas</w:t>
        <w:tab/>
        <w:tab/>
        <w:t xml:space="preserve">travis.douglas@mail.utoronto.ca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Leo Y. T. Chou</w:t>
        <w:tab/>
        <w:tab/>
        <w:tab/>
      </w:r>
      <w:r>
        <w:rPr>
          <w:rFonts w:ascii="Calibri" w:hAnsi="Calibri" w:cs="Calibri" w:eastAsia="Calibri"/>
          <w:color w:val="auto"/>
          <w:spacing w:val="0"/>
          <w:position w:val="0"/>
          <w:sz w:val="24"/>
          <w:shd w:fill="auto" w:val="clear"/>
        </w:rPr>
        <w:t xml:space="preserve">leo.chou@utoronto.ca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Ryan C. Lee</w:t>
        <w:tab/>
        <w:tab/>
        <w:tab/>
        <w:t xml:space="preserve">ryanc.lee@mail.utoronto.ca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dynamic DNA nanotechnology, molecular programming, molecular computing, in vitro gene circuit, in vitro transcription, toehold-mediated strand displacement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the engineering of a novel DNA-tethered T7 RNA polymerase to regulate in vitro transcription reactions. We discuss the steps for protein synthesis and characterization, validate proof-of-concept transcriptional regulation, and discuss its applications in molecular computing, diagnostics, and molecular information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DNA nanotechnology enables programmable self-assembly of nucleic acids into user-prescribed shapes and dynamics for diverse applications. This work demonstrates that concepts from DNA nanotechnology can be used to program the enzymatic activity of the phage-derived T7 RNA polymerase (RNAP) and build scalable synthetic gene regulatory networks. First, an oligonucleotide-tethered T7 RNAP is engineered via expression of an N-terminally SNAP-tagged RNAP and subsequent chemical coupling of the SNAP-tag with a benzylguanine (BG)-modified oligonucleotide. Next, nucleic-acid strand displacement is used to program polymerase transcription on-demand. In addition, auxiliary nucleic acid assemblies can be used as “artificial transcription factors” to regulate the interactions between the DNA-programmed T7 RNAP with its DNA templates. This in vitro transcription regulatory mechanism can implement a variety of circuit behaviors such as digital logic, feedback, cascading, and multiplexing. The scalability and composability of this gene regulatory architecture facilitates design abstraction, standardization, and scaling and hence, rapid prototyping of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genetic devices for applications such as bio-sensing, disease detection, and data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DNA computing uses a set of designed oligonucleotides as the medium for computation. These oligonucleotides are programmed with sequences to dynamically assemble according to user-specified logic and respond to specific nucleic-acid inputs. In proof-of-concept studies, the output of the computation typically consists of a set of fluorescently labelled oligonucleotides that can be detected via gel electrophoresis or fluorescence plate readers. Over the past 30 years, increasingly complex DNA computational circuitries have been demonstrated, such as various digital logic cascades, chemical reaction networks, and neural networks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To assist with the preparation of these DNA circuits, mathematical models have been used to predict the functionality of synthetic gene circuits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and computational tools have been developed for orthogonal DNA sequence design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Compared to silicon-based computers, the advantages of DNA computers include their ability to interface directly with biomolecules, operate in solution in the absence of a power supply, as well as their overall compactness and stability. With the advent of next-generation sequencing, the cost of synthesizing DNA computers has been decreasing for the past two decades at a rate faster than Moore’s Law</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Applications of such DNA-based computers are now beginning to emerge, such as for disease diagnosis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for powering molecular biophysics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as data storage platforms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Figure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To-date, the majority of DNA computers utilize a well-established motif in the field of dynamic DNA nanotechnology known as toehold-mediated DNA strand displacement (TMDSD,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This motif consists of a partially double-stranded DNA (dsDNA) duplex displaying short “toehold” overhangs (i.e., 7- to 10 nucleotides (nt)). Nucleic acid “input” strands can interact with the partial duplexes through the toehold. This leads to the displacement of one of the strands from the partial duplex, and this liberated strand can then serve as input for downstream partial duplexes. Thus, TMDSD enables signal cascading and information processing. In principle, orthogonal TMDSD motifs can operate independently in solution, enabling parallel information processing. There have been a number of variations on the TMDSD reaction, such as toehold-mediated DNA strand exchange (TMDSE)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“leakless” toeholds with double-long domains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sequence-mismatched toeholds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“handhold”-mediated strand displacement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These innovative design principles allow more finely tuned TMDSD energetics and dynamics for improving DNA computing performance.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Synthetic gene circuits, such as transcriptional gene circuits, are also capable of computation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These circuits are regulated by protein transcription factors, which activate or repress transcription of a gene by binding to specific regulatory DNA elements. Compared to DNA-based circuits, transcriptional circuits have several advantages. First, enzymatic transcription has a much higher turnover rate than existing catalytic DNA circuits, thus generating more copies of output per single copy of input and providing a more efficient means of signal amplification. In addition, transcriptional circuits can produce different functional molecules, such as aptamers or messenger RNA (mRNA) encoding for therapeutic proteins, as computation outputs, which can be exploited for different applications. However, a major limitation of current transcriptional circuits is their lack of scalability. This is because there is a very limited set of orthogonal protein-based transcription factors, and de novo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design of new protein transcription factors remains technically challenging and time-consuming.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introduces a novel building block for molecular computing that combines the functionalities of transcriptional circuits with the scalability of DNA-based circuits. This building block is a T7 RNAP covalently attached with a single-stranded DNA tether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To synthesize this DNA-tethered T7 RNAP, the polymerase was fused to an N-terminal SNAP-tag</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recombinantly expressed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The SNAP-tag was then reacted with an oligonucleotide functionalized with the BG substrate. The oligonucleotide tether allows the positioning of molecular guests in close proximity to the polymerase via DNA hybridization. One such guest was a competitive transcriptional blocker referred to as a “cage”, which consists of a “faux” T7 promoter DNA duplex with no gene downstream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When bound to the RNAP via its oligonucleotide tether, the cage stalls polymerase activity by outcompeting other DNA templates for RNAP binding, rendering the RNAP in an “OFF” state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activate the polymerase to an “ON” state, T7 DNA templates with single-stranded “operator” domains upstream of the T7 promoter of the gene were designed. The operator domain (i.e., domain </w:t>
      </w:r>
      <w:r>
        <w:rPr>
          <w:rFonts w:ascii="Calibri" w:hAnsi="Calibri" w:cs="Calibri" w:eastAsia="Calibri"/>
          <w:i/>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can be designed to displace the cage from the RNAP via TMDSD and position the RNAP proximal to the T7 promoter of the gene, thus initiating transcription. Alternatively, DNA templates were also designed where the operator sequence was complementary to auxiliary nucleic-acid strands that are referred to as “artificial transcription factors” (i.e., TF</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and TF</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strands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When both strands are introduced into the reaction, they will assemble at the operator site, creating a new pseudo-contiguous domain </w:t>
      </w:r>
      <w:r>
        <w:rPr>
          <w:rFonts w:ascii="Calibri" w:hAnsi="Calibri" w:cs="Calibri" w:eastAsia="Calibri"/>
          <w:i/>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This domain can then displace the cage via TMDSD to initiate transcription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These strands can be supplied either exogenously or produced.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nucleic acid-based transcription factors for in vitro transcriptional regulation allows the scalable implementation of sophisticated circuit behaviors such as digital logic, feedback, and signal cascading. For example, one can build logic gate cascades by designing nucleic acid sequences such that the transcripts from an upstream gene activate a downstream gene. One application that exploits the cascading and multiplexing made capable by this proposed technology is the development of more sophisticated molecular computing circuitries for portable diagnostics and molecular data processing. In addition, integrating the molecular computing and de novo RNA synthesis capabilities can enable new applications. For example, a molecular circuit can be designed to detect one or a combination of user-defined RNAs as inputs and output therapeutic RNAs or mRNAs encoding functional peptides or proteins for point-of-care medical applications.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Buffer preparation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Protein purification buffer preparation can occur on any day; here, it was done prior to beginning the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lysis/equilibration buffer containing 50 mM tris(hydroxymethyl)aminomethane (Tris), 300 mM sodium chloride (NaCl), 5% glycerol, and 5 mM &amp;#946;-mercaptoethanol (BME), pH 8. Add 1.5 mL of 1M Tris, 1.8 mL of 5M NaCl, 1.5 mL of glycerol, 25.2 mL of deionized water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into a 50 mL centrifuge tube, and add 10.5 &amp;#181;L of 14.2 M BME just prior to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Tris can cause acute toxicity; hence, avoid breathing its dust, and avoid skin and eye contact. BME is toxic and should only be used in a fume hood. It is important to add BME last, just prior to resuspension and cell lysis.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lysis buffer formula.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wash buffer (pH 8) containing 50 mM Tris, 800 mM NaCl, 5% glycerol, 5 mM BME, and 20 mM imidazole. Add 1.5 mL of 1 M Tris, 4.8 mL of 5 M NaCl, 1.5 mL of glycerol, and 22.2 mL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into a 50 mL centrifuge tube. Just prior to use, add 7 &amp;#181;L of 14.2 M BME and 200 &amp;#181;L of 2 M imidazole to 20 mL of the above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prevent acute toxicity due to imidazole, use personal protective equipment. It is important to add BME and imidazole last, just prior to washing the protein out of the column. See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for wash buffer formula.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elution buffer (pH8) containing 50 mM Tris, 800 mM NaCl, 5% glycerol, 5 mM BME, and 200 mM imidazole. Add 0.5 mL of 1 M Tris, 1.6 mL of 5 M NaCl, 0.5 mL of glycerol, and 6.4 mL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a 15 mL centrifuge tube. Just prior to use, add 3.5 &amp;#181;L of 14.2 M BME and 1 mL of 2 M imidazole to 10 mL of the above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add BME and imidazole last, just prior to eluting the protein out of the column. See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for elution buffer formula.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Prepare 2x storage buffer (to be mixed 1:1 with glycerol) containing 100 mM Tris, 200 mM NaCl, 40 mM BME, and 2 mM ethylenediaminetetraacetic acid (EDTA), 0.2% of a non-ionic surfactant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Prepare 50 mL of the storage buffer by adding 5 mL of 1 M Tris, 2 mL of 5 M NaCl, 42.56 mL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200 &amp;#181;L of 0.5 M EDTA, 100 &amp;#181;L of the non-ionic surfactant to a 50 mL centrifuge tube. Mix until the solution is homogeneous, filter the storage buffer through a 0.2 &amp;#181;m syringe filter, and add 140.8 &amp;#181;L of BME to the above solution prior to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acute toxicity due to EDTA, avoid breathing its dust, and avoid skin and eye contact. It is important to add BME last and mix the entire storage buffer 1:1 with glycerol, just prior to storing the purified protein. See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for storage buffer formula.</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2. Overnight culture growth: Day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1,000x kanamycin stock by dissolving 500 mg of kanamycin in 10 mL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personal protective equipment to prevent acute toxicity due to kanamycin.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Add 20 &amp;#181;L of the 1,000x kanamycin stock to 20 mL of lysogeny broth. Using a sterile pipette tip, poke a transformed BL21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glycerol stock and then inoculate the culture by introducing the tip into the growth media broth.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Figure 4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plasmid encodes a T7 RNAP containing an N-terminal histidine tag and a SNAP-tag domain (SNAP T7 RNAP), as well as a kanamycin resistance gene under a pQE-80L backbone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Again, add 20 &amp;#181;L of the 1,000x kanamycin stock to a separate culture flask containing 20 mL of lysogeny broth, and incubate it as a control.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Incubate the two samples (from steps 2.2 and 2.3) overnight for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h at 37 &amp;#176;C, while rotating at 10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Cell growth and induction: Day 2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Inoculate 400 mL of lysogeny broth containing 400 &amp;#181;L of kanamycin stock with 4 mL of the overnight growth culture from step 2.4. Incubate the culture flasks at 37 &amp;#176;C, while rotating at 10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Once the culture has reached an optical density (OD) at 600 nm of ~0.5, take out 1 mL of sample from the growth flask as a control. Store the control sample at 4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Induce the cells with </w:t>
      </w:r>
      <w:r>
        <w:rPr>
          <w:rFonts w:ascii="Calibri" w:hAnsi="Calibri" w:cs="Calibri" w:eastAsia="Calibri"/>
          <w:color w:val="auto"/>
          <w:spacing w:val="0"/>
          <w:position w:val="0"/>
          <w:sz w:val="24"/>
          <w:shd w:fill="FFFFFF" w:val="clear"/>
        </w:rPr>
        <w:t xml:space="preserve">isopropyl &amp;#946;-D-1-thiogalactopyranoside</w:t>
      </w:r>
      <w:r>
        <w:rPr>
          <w:rFonts w:ascii="Calibri" w:hAnsi="Calibri" w:cs="Calibri" w:eastAsia="Calibri"/>
          <w:color w:val="auto"/>
          <w:spacing w:val="0"/>
          <w:position w:val="0"/>
          <w:sz w:val="24"/>
          <w:shd w:fill="auto" w:val="clear"/>
        </w:rPr>
        <w:t xml:space="preserve"> (IPTG) by adding 40 &amp;#181;L of 1M IPTG per 100 mL of culture to achieve a final concentration of 0.4 mM IPTG. Incubate the sample for 3 h at 37 &amp;#176;C, rotating at 10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then spin the induced culture at 8,000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to pellet the cells. Remove the supernatant, and store the pellet at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&amp;#176;C until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acute toxicity due to IPTG, avoid breathing its dust, and avoid skin and eye contact. If necessary, you can pause the experiment here and continue the next day.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Cell lysis, protein purification: Day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Resuspend the stored cell pellet with 10 mL of lysis buffer on ice, and gently swirl to ensure the entire pellet is resuspended. Then, pipette 1 mL of sample into ten 1.5 mL tubes that are kept on 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Sonicate each sample at an amplitude setting of “1”, pulsed for 2 s with a 50% duty cycle over a period of 30 s. Before and after each sample, clean the sonication tip with 70% ethanol and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Keep all samples on ice during and after sonication.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70% ethanol away from heat and open flame.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Equilibrate a nickel-charged nitrilotriacetic acid (Ni-NTA) purification spin column to a working temperature of 4 &amp;#176;C. Place/store the column at 4 &amp;#176;C, and keep on ice during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Centrifuge the ten 1 mL samples at 15,000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at 4 &amp;#176;C. Carefully pipette out the supernatant containing the recombinant RNAP without disturbing the pellet. If necessary, use additional equilibration buffer to adjust the total volume to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Gently remove the bottom tab from the Ni-NTA spin column to allow for flow through the column. Place the column in a centrifuge tube, and keep it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50 mL centrifuge tube with the 3 mL Ni-NTA spin columns.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Centrifuge the column at 700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&amp;#176;C for 2 min to remove the storage buffer. Equilibrate the column by adding 6 mL of equilibration buffer to the column. Allow the buffer to fully enter the resin 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Remove the equilibration buffer from the column by centrifugation at 700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&amp;#176;C for 2 min. Before adding the prepared cell extract to the column, place a bottom plug on the column to avoid losing any product. Then, add the cell extract to the column, and mix on an orbital shaker mixer for 30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Remove the bottom plug from the column and place the column in a 50 mL centrifuge tube labeled </w:t>
      </w:r>
      <w:r>
        <w:rPr>
          <w:rFonts w:ascii="Calibri" w:hAnsi="Calibri" w:cs="Calibri" w:eastAsia="Calibri"/>
          <w:b/>
          <w:color w:val="auto"/>
          <w:spacing w:val="0"/>
          <w:position w:val="0"/>
          <w:sz w:val="24"/>
          <w:shd w:fill="auto" w:val="clear"/>
        </w:rPr>
        <w:t xml:space="preserve">flow through</w:t>
      </w:r>
      <w:r>
        <w:rPr>
          <w:rFonts w:ascii="Calibri" w:hAnsi="Calibri" w:cs="Calibri" w:eastAsia="Calibri"/>
          <w:color w:val="auto"/>
          <w:spacing w:val="0"/>
          <w:position w:val="0"/>
          <w:sz w:val="24"/>
          <w:shd w:fill="auto" w:val="clear"/>
        </w:rPr>
        <w:t xml:space="preserve">. Centrifuge the column at 700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to collect the flow through.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Add 6 mL of wash buffer to the column to wash the resin. Centrifuge the column at 700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to collect the fraction in a new centrifuge tube labeled </w:t>
      </w:r>
      <w:r>
        <w:rPr>
          <w:rFonts w:ascii="Calibri" w:hAnsi="Calibri" w:cs="Calibri" w:eastAsia="Calibri"/>
          <w:b/>
          <w:color w:val="auto"/>
          <w:spacing w:val="0"/>
          <w:position w:val="0"/>
          <w:sz w:val="24"/>
          <w:shd w:fill="auto" w:val="clear"/>
        </w:rPr>
        <w:t xml:space="preserve">wash 1. </w:t>
      </w:r>
      <w:r>
        <w:rPr>
          <w:rFonts w:ascii="Calibri" w:hAnsi="Calibri" w:cs="Calibri" w:eastAsia="Calibri"/>
          <w:color w:val="auto"/>
          <w:spacing w:val="0"/>
          <w:position w:val="0"/>
          <w:sz w:val="24"/>
          <w:shd w:fill="auto" w:val="clear"/>
        </w:rPr>
        <w:t xml:space="preserve">Repeat this step two more times for a total of 3 separate fractions, and collect the fractions in separate centrifuge tubes (</w:t>
      </w:r>
      <w:r>
        <w:rPr>
          <w:rFonts w:ascii="Calibri" w:hAnsi="Calibri" w:cs="Calibri" w:eastAsia="Calibri"/>
          <w:b/>
          <w:color w:val="auto"/>
          <w:spacing w:val="0"/>
          <w:position w:val="0"/>
          <w:sz w:val="24"/>
          <w:shd w:fill="auto" w:val="clear"/>
        </w:rPr>
        <w:t xml:space="preserve">wash 2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wash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Add 3 mL of elution buffer to elute the His-tagged proteins from the resin. Centrifuge the column at 700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to collect fraction in a new centrifuge tube labeled </w:t>
      </w:r>
      <w:r>
        <w:rPr>
          <w:rFonts w:ascii="Calibri" w:hAnsi="Calibri" w:cs="Calibri" w:eastAsia="Calibri"/>
          <w:b/>
          <w:color w:val="auto"/>
          <w:spacing w:val="0"/>
          <w:position w:val="0"/>
          <w:sz w:val="24"/>
          <w:shd w:fill="auto" w:val="clear"/>
        </w:rPr>
        <w:t xml:space="preserve">eluate 1</w:t>
      </w:r>
      <w:r>
        <w:rPr>
          <w:rFonts w:ascii="Calibri" w:hAnsi="Calibri" w:cs="Calibri" w:eastAsia="Calibri"/>
          <w:color w:val="auto"/>
          <w:spacing w:val="0"/>
          <w:position w:val="0"/>
          <w:sz w:val="24"/>
          <w:shd w:fill="auto" w:val="clear"/>
        </w:rPr>
        <w:t xml:space="preserve">. Repeat this step two more times for a total of 3 separate fractions, and collect the fractions into separate centrifuge tubes (</w:t>
      </w:r>
      <w:r>
        <w:rPr>
          <w:rFonts w:ascii="Calibri" w:hAnsi="Calibri" w:cs="Calibri" w:eastAsia="Calibri"/>
          <w:b/>
          <w:color w:val="auto"/>
          <w:spacing w:val="0"/>
          <w:position w:val="0"/>
          <w:sz w:val="24"/>
          <w:shd w:fill="auto" w:val="clear"/>
        </w:rPr>
        <w:t xml:space="preserve">eluate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eluate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Combine the eluates and perform desalting to remove salts from the protein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4.11.1. Pipette 15 mL of 0.05 % w/v polysorbate 20 over a 100 kDa centrifugal filter unit. Centrifuge at 4,000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40 min and discard the flow-through.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Use the coated filter to concentrate the eluates 1, 2, and 3 (9 mL of total of protein eluate + 6 mL of storage buffer) to ~1,500 &amp;#181;L. Centrifuge the filter at 3,220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and gently pipette-wash the membrane to prevent precipitation.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4.11.3. Dilute the sample to 15 mL with storage buffer. Perform a buffer exchange using storage buffer 1:1,000 by repeating step 4.11.2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Quantify the purified protein by measuring the absorbance of the fraction at 280 nm. Blank the spectrophotometer with storage buffer (2x storage buffer at 4 &amp;#176;C). Gently mix the sample of the combined eluates and measure its absorbance.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three separate readings at 1x, 10x, and 50x dilutions of the protein sample to average and quantify the protein. Dilute samples in storage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Adjust the protein samples to 100 &amp;#181;M using 2x storage buffer. Dilute the adjusted sample 1:1 by volume with 100% glycerol. Store the resulting protein solution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Sodium dodecyl sulfate-polyacrylamide gel electrophoresis (SDS-PAGE) analysis of protein product: Day 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Run an SDS-PAGE gel for protein analysis.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Mix 9 &amp;#181;L of the sample with 3 &amp;#181;L of 4x lithium dodecyl sulfate (LDS) protein loading dye. Heat the samples at 95 &amp;#176;C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Load the samples onto a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Bis-Tris SDS-PAGE gel setup. Load the protein ladder in well 1, then with samples (from left to right): flow-through, wash 1, wash 2, wash 3, elution 1, elution 2, elution 3, and total desalted elution.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contains a sample loading table for the SDS-PAGE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Run the loaded gel samples in 2-(</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morpholino) ethanesulfonic acid (MES) buffer for 35 min at 200 V. Rinse the gel in a clean tray three times for 10 min each using 200 mL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with gentle agitation to remove any SDS from the gel matrix.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Wear personal protective equipment to avoid acute toxicity due to the 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Stain the gel with 20 mL of Coomassie blue, and incubate the gel overnight at room temperature with gentle agitation. De-stain the gel twice for 1 h each with 200 mL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with gentle agitation on an orbital shaker.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Washing the gel for a longer period or frequently replacing the water will enhance sensitivity. Additionally, placing a folded delicate-task wipe tissue in the container to absorb excess dye will accelerate the de-staining process.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 Functional verification of SNAP T7 RNAP via in vitro transcription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uses DNA template, which encodes for the fluorescent Broccoli RNA aptamer and allows the use of fluorescence to monitor the kinetics of transcription on a fluorescence plate reader.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Set up three in vitro transcription (IVT) reactions to compare the activity of SNAP T7 RNAP with wild-type (WT) T7 RNAP from a commercial source and a buffer-only control. Adjust the volume of each reaction to 20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Prepare the SNAP T7 RNAP IVT reaction by mixing 2 &amp;#181;L of 10x transcription buffer, 0.4 &amp;#181;L of 25 mM ribonucleoside triphosphate (rNTP) mix, 5 &amp;#181;L of 500 nM DNA template, 2 &amp;#181;L of 500 nM SNAP T7 RNAP, and 10.6 &amp;#181;L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Prepare the WT RNAP IVT reaction by mixing 2 &amp;#181;L of 10x transcription buffer, 0.4 &amp;#181;L of 25 mM rNTP mix, 5 &amp;#181;L of 500 nM DNA template, 2 &amp;#181;L of WT T7 RNAP, and 10.6 &amp;#181;L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Prepare the buffer-only IVT reaction by mixing 2 &amp;#181;L of 10x transcription buffer, 0.4 &amp;#181;L of 25 mM rNTP mix, 5 &amp;#181;L of 500 nM DNA template, and 12.6 &amp;#181;L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 the RNAP last, keeping the samples on ice until its introduction.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7</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8</w:t>
      </w:r>
      <w:r>
        <w:rPr>
          <w:rFonts w:ascii="Calibri" w:hAnsi="Calibri" w:cs="Calibri" w:eastAsia="Calibri"/>
          <w:color w:val="auto"/>
          <w:spacing w:val="0"/>
          <w:position w:val="0"/>
          <w:sz w:val="24"/>
          <w:shd w:fill="auto" w:val="clear"/>
        </w:rPr>
        <w:t xml:space="preserve"> contain the IVT reaction formulas.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Monitor the transcription kinetics on a fluorescence plate reader for 2 h at 2 min intervals at 37 &amp;#176;C using an excitation wavelength of 470 nm and an emission wavelength of 512 nm.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Preparation of BG-modified oligonucleotides: Day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Dissolve the oligonucleotide with 3'-amine modification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a final concentration of 1 mM. Label this </w:t>
      </w:r>
      <w:r>
        <w:rPr>
          <w:rFonts w:ascii="Calibri" w:hAnsi="Calibri" w:cs="Calibri" w:eastAsia="Calibri"/>
          <w:b/>
          <w:color w:val="auto"/>
          <w:spacing w:val="0"/>
          <w:position w:val="0"/>
          <w:sz w:val="24"/>
          <w:shd w:fill="auto" w:val="clear"/>
        </w:rPr>
        <w:t xml:space="preserve">S1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Mix 25 &amp;#181;L of 1 M sodium bicarbonate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284 &amp;#181;L of 100% dimethyl sulfoxide (DMSO), 125 &amp;#181;L of S1 (oligonucleotide stock), and 66 &amp;#181;L of 50 mM of the BG-</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-hydroxysuccinimide (NHS) ester (BG-GLA-NHS) diluted with DMSO, adjust the volume to 500 &amp;#181;L, and incubate overnight at room temperature at 100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DMSO away from heat and flame as it is a combustible liquid. </w:t>
      </w:r>
      <w:r>
        <w:rPr>
          <w:rFonts w:ascii="Calibri" w:hAnsi="Calibri" w:cs="Calibri" w:eastAsia="Calibri"/>
          <w:b/>
          <w:color w:val="auto"/>
          <w:spacing w:val="0"/>
          <w:position w:val="0"/>
          <w:sz w:val="24"/>
          <w:shd w:fill="auto" w:val="clear"/>
        </w:rPr>
        <w:t xml:space="preserve">Table 9</w:t>
      </w:r>
      <w:r>
        <w:rPr>
          <w:rFonts w:ascii="Calibri" w:hAnsi="Calibri" w:cs="Calibri" w:eastAsia="Calibri"/>
          <w:color w:val="auto"/>
          <w:spacing w:val="0"/>
          <w:position w:val="0"/>
          <w:sz w:val="24"/>
          <w:shd w:fill="auto" w:val="clear"/>
        </w:rPr>
        <w:t xml:space="preserve"> contains the reaction formula for the BG conjugation to the oligonucleotide.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Ethanol/acetone precipitation of BG-oligonucleotide conjugate: Day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Centrifuge the product of step 7.1.1. at 13,000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Carefully transfer the supernatant to a fresh tube and discard any precipitated BG. Split the reaction into two equal 250 &amp;#181;L aliquots to prevent overflow, and perform the following steps on both aliquots.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Add 1/10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of the volume of 3 M sodium acetate (25 &amp;#181;L), followed by 2.5x the volume in 100% ethanol (625 &amp;#181;L). Incubate at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&amp;#176;C for 1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personal protective equipment when handling both sodium acetate (may cause irritation to eyes, skin, digestive and respiratory tract) and ethanol (extremely flammable, causes irritation on contact). If necessary, pause the experiment here and continue the next day.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Place the tubes in the centrifuge, and mark the outer edge. Centrifuge the tubes at 17,000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oligonucleotide pellet will appear on the marked edge of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Without disturbing the pellet, discard the supernatant. Top up with 750 &amp;#181;L of chilled 70% ethanol, and spin at 17,000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Without disturbing the pellet,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discard the supernatant. Top up with 750 &amp;#181;L of 100% acetone, and spin at 17,000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personal protective equipment when handling acetone as it is extremely flammable and causes irritation on contact.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the tube lid open, air dry for 5 min to remove any excess acetone through evaporation. Re-dissolve the oligonucleotide in 250 &amp;#181;L of 1x Tris-EDTA (TE) buffer to produce a ~850 &amp;#181;M BG-oligonucleotide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Repeat steps 8.2 to 8.6,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re-dissolve in 70 &amp;#181;L of 1x TE buffer. Label this </w:t>
      </w:r>
      <w:r>
        <w:rPr>
          <w:rFonts w:ascii="Calibri" w:hAnsi="Calibri" w:cs="Calibri" w:eastAsia="Calibri"/>
          <w:b/>
          <w:color w:val="auto"/>
          <w:spacing w:val="0"/>
          <w:position w:val="0"/>
          <w:sz w:val="24"/>
          <w:shd w:fill="auto" w:val="clear"/>
        </w:rPr>
        <w:t xml:space="preserve">S2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9. BG-oligonucleotide cleanup via gel filtration chromatography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Suspend the matrix by vigorously inverting the columns several times; remove the top cap and snap off the bottom tip of column. Place the column in a 1.5 mL centrifuge tube, and centrifuge the tube at 1,000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at room temperature. Discard the eluted buffer and collection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prevent vacuum formation. Use prepared columns immediately.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Place the packed columns in clean 1.5 mL centrifuge tubes. Add 300 &amp;#181;L of 1x TE buffer to the center of the column bed, and centrifuge at 1,000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to exchange the buffer solution. Once again, discard the eluted buffer and collection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Place the buffer-exchanged columns in clean 1.5 mL centrifuge tubes. Apply up to 75 &amp;#181;L of sample to the center of the bed. Spin at 1,000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4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disturb the bed or touch the sides of the column; the highest point of the gel media should point toward the outside rotor.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Collect the eluate from the collection tube, as it contains the purified nucleic acid. To quantify the sample, measure its absorbance at 260 nm; label this </w:t>
      </w:r>
      <w:r>
        <w:rPr>
          <w:rFonts w:ascii="Calibri" w:hAnsi="Calibri" w:cs="Calibri" w:eastAsia="Calibri"/>
          <w:b/>
          <w:color w:val="auto"/>
          <w:spacing w:val="0"/>
          <w:position w:val="0"/>
          <w:sz w:val="24"/>
          <w:shd w:fill="auto" w:val="clear"/>
        </w:rPr>
        <w:t xml:space="preserve">S3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Note the path length used in the measurement, and calculate the concentration using the Beer-Lambert law.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 Denaturing PAGE analysis of BG-oligonucleotide conjugate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Cast a 18% Tris-borate-EDTA (TBE)-Urea PAGE gel. Dissolve 4.8 g of UREA, 4.5 mL of 40% acrylamide (19:1), and 1 mL of 10x TBE in 2.8 mL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add 5 &amp;#181;L tetramethylethylenediamine (TEMED) and mix thoroughly. Repeat with 100 &amp;#181;L of 10% ammonium persulfate (APS). Pour the solution into an empty gel cassette and allow polymerization for 40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appropriate personal protective equipment when handling urea (causes irritation to eyes and skin), acrylamide (toxic and carcinogenic), and TEMED (toxic, flammable, corrosive). </w:t>
      </w:r>
      <w:r>
        <w:rPr>
          <w:rFonts w:ascii="Calibri" w:hAnsi="Calibri" w:cs="Calibri" w:eastAsia="Calibri"/>
          <w:b/>
          <w:color w:val="auto"/>
          <w:spacing w:val="0"/>
          <w:position w:val="0"/>
          <w:sz w:val="24"/>
          <w:shd w:fill="auto" w:val="clear"/>
        </w:rPr>
        <w:t xml:space="preserve">Table 10</w:t>
      </w:r>
      <w:r>
        <w:rPr>
          <w:rFonts w:ascii="Calibri" w:hAnsi="Calibri" w:cs="Calibri" w:eastAsia="Calibri"/>
          <w:color w:val="auto"/>
          <w:spacing w:val="0"/>
          <w:position w:val="0"/>
          <w:sz w:val="24"/>
          <w:shd w:fill="auto" w:val="clear"/>
        </w:rPr>
        <w:t xml:space="preserve"> contains the reaction formula for an 18% TBE-UREA polyacrylamide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Microwave 500 mL of TBE buffer (0.5x) for 2 min and 30 s or until ~70 &amp;#176;C and pour into a gel apparatus. Prepare formamide (denaturing) loading dye containing 95% formamide + 1 mM EDTA and bromophenol blue. Mix the loading dye with each sample, and load the mixture onto the polyacrylamide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Use appropriate personal protective equipment when handling formamide as it is carcinogenic. </w:t>
      </w:r>
      <w:r>
        <w:rPr>
          <w:rFonts w:ascii="Calibri" w:hAnsi="Calibri" w:cs="Calibri" w:eastAsia="Calibri"/>
          <w:b/>
          <w:color w:val="auto"/>
          <w:spacing w:val="0"/>
          <w:position w:val="0"/>
          <w:sz w:val="24"/>
          <w:shd w:fill="auto" w:val="clear"/>
        </w:rPr>
        <w:t xml:space="preserve">Table 11</w:t>
      </w:r>
      <w:r>
        <w:rPr>
          <w:rFonts w:ascii="Calibri" w:hAnsi="Calibri" w:cs="Calibri" w:eastAsia="Calibri"/>
          <w:color w:val="auto"/>
          <w:spacing w:val="0"/>
          <w:position w:val="0"/>
          <w:sz w:val="24"/>
          <w:shd w:fill="auto" w:val="clear"/>
        </w:rPr>
        <w:t xml:space="preserve"> contains a sample gel loading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Run the gel at 270 V for 35 min, or until the dye front migrates to the end. Place the gel in a gel box and stain with cyanine dye for nucleic acids for 15 min at room temperature before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appropriate personal protective equipment when handling cyanine dye as it is combustible.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 Conjugation of oligonucleotide to SNAP T7 RNAP and PAGE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Prepare the reagents for the analytical-scale coupling of BG-oligonucleotide to SNAP T7 RNAP: make 9 dilutions of single-stranded DNA (ssDNA) oligo with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create oligo:RNAP ratios ranging from 5:1 to 1:5. Dilute the protein stock to 50 &amp;#181;M.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Example ratios can be found in </w:t>
      </w:r>
      <w:r>
        <w:rPr>
          <w:rFonts w:ascii="Calibri" w:hAnsi="Calibri" w:cs="Calibri" w:eastAsia="Calibri"/>
          <w:b/>
          <w:color w:val="auto"/>
          <w:spacing w:val="0"/>
          <w:position w:val="0"/>
          <w:sz w:val="24"/>
          <w:shd w:fill="auto" w:val="clear"/>
        </w:rPr>
        <w:t xml:space="preserve">Table 12</w:t>
      </w:r>
      <w:r>
        <w:rPr>
          <w:rFonts w:ascii="Calibri" w:hAnsi="Calibri" w:cs="Calibri" w:eastAsia="Calibri"/>
          <w:color w:val="auto"/>
          <w:spacing w:val="0"/>
          <w:position w:val="0"/>
          <w:sz w:val="24"/>
          <w:shd w:fill="auto" w:val="clear"/>
        </w:rPr>
        <w:t xml:space="preserve">; these ratios are calculated using a RNAP concentration of 50 &amp;#181;M.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For each dilution of ssDNA oligo, make 10 &amp;#181;L of the reaction mixture containing 2 &amp;#181;L of SNAP buffer, 4 &amp;#181;L of BG-oligonucleotide, and 4 &amp;#181;L of SNAP T7 RNAP.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Table 13</w:t>
      </w:r>
      <w:r>
        <w:rPr>
          <w:rFonts w:ascii="Calibri" w:hAnsi="Calibri" w:cs="Calibri" w:eastAsia="Calibri"/>
          <w:color w:val="auto"/>
          <w:spacing w:val="0"/>
          <w:position w:val="0"/>
          <w:sz w:val="24"/>
          <w:shd w:fill="auto" w:val="clear"/>
        </w:rPr>
        <w:t xml:space="preserve"> contains reaction formulas for the SNAP-tag labeling reaction.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11.2.1.</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Prepare two more control samples: 1) an RNAP control by replacing BG-oligonucleotide with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2) a DNA control by replacing SNAP T7 RNAP with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(for the lowest oligonucleotide concentration of SNAP T7 RNAP). Incubate all samples at room temperature for 1 h, and keep on ice until needed.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Set up eleven 10 &amp;#181;L reactions by adding 2 &amp;#181;L of each sample to 4 &amp;#181;L of SNAP buffer and 2 &amp;#181;L of protein loading dye, and heat at 70 &amp;#176;C for 10 min. Load 2 &amp;#181;L of each sample onto the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Bis-Tris protein gel, and perform gel electrophoresis on ice at 200 V for 35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Table 14</w:t>
      </w:r>
      <w:r>
        <w:rPr>
          <w:rFonts w:ascii="Calibri" w:hAnsi="Calibri" w:cs="Calibri" w:eastAsia="Calibri"/>
          <w:color w:val="auto"/>
          <w:spacing w:val="0"/>
          <w:position w:val="0"/>
          <w:sz w:val="24"/>
          <w:shd w:fill="auto" w:val="clear"/>
        </w:rPr>
        <w:t xml:space="preserve"> contains reaction formulas for the gel loading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11.3.1.</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Wash SDS off via 3x water-exchange on a shaker, each wash lasting 10 min each. Stain with cyanine dye for nucleic acids for 15 min before imaging. Stain the gel again using 20 mL of Coomassie blue stain for 1 h. De-stain with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for 1 h (or overnight) before imaging.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gel, one of the reactions will produce the most tethered polymerase along with the least amount of excess free BG-oligonucleotide; this is the optimal ratio.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 Prepare reagents for the preparative scale coupling BG-oligonucleotide to SNAP T7 RNAP. Perform the coupling reaction with the optimal ratio found in the analytical scale.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Minimize protein exposure to room temperature by placing the protein on ice when not in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 Purification of oligonucleotide-tethered SNAP-T7 using ion exchange columns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w:t>
      </w:r>
      <w:r>
        <w:rPr>
          <w:rFonts w:ascii="Calibri" w:hAnsi="Calibri" w:cs="Calibri" w:eastAsia="Calibri"/>
          <w:color w:val="auto"/>
          <w:spacing w:val="0"/>
          <w:position w:val="0"/>
          <w:sz w:val="24"/>
          <w:shd w:fill="auto" w:val="clear"/>
        </w:rPr>
        <w:t xml:space="preserve">Follow the manufacturer’s instructions for tube setup if it deviates from the instructions listed here. </w:t>
      </w:r>
      <w:r>
        <w:rPr>
          <w:rFonts w:ascii="Calibri" w:hAnsi="Calibri" w:cs="Calibri" w:eastAsia="Calibri"/>
          <w:color w:val="auto"/>
          <w:spacing w:val="0"/>
          <w:position w:val="0"/>
          <w:sz w:val="24"/>
          <w:shd w:fill="FFFF00" w:val="clear"/>
        </w:rPr>
        <w:t xml:space="preserve">Prepare a purification buffer with pH higher than the isoelectric point of the protein.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example protein in this protocol, a purification buffer of 10 mM sodium phosphate buffer (pH 7) was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12.1.1. Prepare 1,000 &amp;#181;L of elution buffer containing final concentrations of 50 mM Tris and 0.5 M NaCl. Mix 50 &amp;#181;L of 1 M Tris, 100 &amp;#181;L of 5 M NaCl, and 850 &amp;#181;L of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Table 15</w:t>
      </w:r>
      <w:r>
        <w:rPr>
          <w:rFonts w:ascii="Calibri" w:hAnsi="Calibri" w:cs="Calibri" w:eastAsia="Calibri"/>
          <w:color w:val="auto"/>
          <w:spacing w:val="0"/>
          <w:position w:val="0"/>
          <w:sz w:val="24"/>
          <w:shd w:fill="auto" w:val="clear"/>
        </w:rPr>
        <w:t xml:space="preserve"> contains the reaction formula for the elution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Place a column in a 2 mL centrifuge tube, and wash with purification buffer at 2,000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or until all the buffer has been eluted. Discard the eluted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Dilute each sample with purification buffer at a 3:1 purification buffer:sample ratio, and load the sample into the column 400 &amp;#181;L at a time. Spin at 2,000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or until all the buffer has been eluted. Collect the flow-through and label it as </w:t>
      </w:r>
      <w:r>
        <w:rPr>
          <w:rFonts w:ascii="Calibri" w:hAnsi="Calibri" w:cs="Calibri" w:eastAsia="Calibri"/>
          <w:b/>
          <w:color w:val="auto"/>
          <w:spacing w:val="0"/>
          <w:position w:val="0"/>
          <w:sz w:val="24"/>
          <w:shd w:fill="FFFF00" w:val="clear"/>
        </w:rPr>
        <w:t xml:space="preserve">flow-through</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Add 400 &amp;#181;L of purification buffer into the center of the column. Spin at 2,000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or until all the buffer has been eluted. Collect the flow-through and label it as </w:t>
      </w:r>
      <w:r>
        <w:rPr>
          <w:rFonts w:ascii="Calibri" w:hAnsi="Calibri" w:cs="Calibri" w:eastAsia="Calibri"/>
          <w:b/>
          <w:color w:val="auto"/>
          <w:spacing w:val="0"/>
          <w:position w:val="0"/>
          <w:sz w:val="24"/>
          <w:shd w:fill="FFFF00" w:val="clear"/>
        </w:rPr>
        <w:t xml:space="preserve">wash 1</w:t>
      </w:r>
      <w:r>
        <w:rPr>
          <w:rFonts w:ascii="Calibri" w:hAnsi="Calibri" w:cs="Calibri" w:eastAsia="Calibri"/>
          <w:color w:val="auto"/>
          <w:spacing w:val="0"/>
          <w:position w:val="0"/>
          <w:sz w:val="24"/>
          <w:shd w:fill="FFFF00" w:val="clear"/>
        </w:rPr>
        <w:t xml:space="preserve">. Repeat twice more for </w:t>
      </w:r>
      <w:r>
        <w:rPr>
          <w:rFonts w:ascii="Calibri" w:hAnsi="Calibri" w:cs="Calibri" w:eastAsia="Calibri"/>
          <w:b/>
          <w:color w:val="auto"/>
          <w:spacing w:val="0"/>
          <w:position w:val="0"/>
          <w:sz w:val="24"/>
          <w:shd w:fill="FFFF00" w:val="clear"/>
        </w:rPr>
        <w:t xml:space="preserve">wash 2</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wash 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Add 50 &amp;#181;L of elution buffer into the center of the column. Spin at 2,000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or until all the buffer has been eluted. Collect the flow-through and label it as </w:t>
      </w:r>
      <w:r>
        <w:rPr>
          <w:rFonts w:ascii="Calibri" w:hAnsi="Calibri" w:cs="Calibri" w:eastAsia="Calibri"/>
          <w:b/>
          <w:color w:val="auto"/>
          <w:spacing w:val="0"/>
          <w:position w:val="0"/>
          <w:sz w:val="24"/>
          <w:shd w:fill="FFFF00" w:val="clear"/>
        </w:rPr>
        <w:t xml:space="preserve">eluate 1</w:t>
      </w:r>
      <w:r>
        <w:rPr>
          <w:rFonts w:ascii="Calibri" w:hAnsi="Calibri" w:cs="Calibri" w:eastAsia="Calibri"/>
          <w:color w:val="auto"/>
          <w:spacing w:val="0"/>
          <w:position w:val="0"/>
          <w:sz w:val="24"/>
          <w:shd w:fill="FFFF00" w:val="clear"/>
        </w:rPr>
        <w:t xml:space="preserve">. Repeat twice more for </w:t>
      </w:r>
      <w:r>
        <w:rPr>
          <w:rFonts w:ascii="Calibri" w:hAnsi="Calibri" w:cs="Calibri" w:eastAsia="Calibri"/>
          <w:b/>
          <w:color w:val="auto"/>
          <w:spacing w:val="0"/>
          <w:position w:val="0"/>
          <w:sz w:val="24"/>
          <w:shd w:fill="FFFF00" w:val="clear"/>
        </w:rPr>
        <w:t xml:space="preserve">eluate 2</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eluate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Pool eluates 1, 2, and 3 (label this </w:t>
      </w:r>
      <w:r>
        <w:rPr>
          <w:rFonts w:ascii="Calibri" w:hAnsi="Calibri" w:cs="Calibri" w:eastAsia="Calibri"/>
          <w:b/>
          <w:color w:val="auto"/>
          <w:spacing w:val="0"/>
          <w:position w:val="0"/>
          <w:sz w:val="24"/>
          <w:shd w:fill="FFFF00" w:val="clear"/>
        </w:rPr>
        <w:t xml:space="preserve">total eluate</w:t>
      </w:r>
      <w:r>
        <w:rPr>
          <w:rFonts w:ascii="Calibri" w:hAnsi="Calibri" w:cs="Calibri" w:eastAsia="Calibri"/>
          <w:color w:val="auto"/>
          <w:spacing w:val="0"/>
          <w:position w:val="0"/>
          <w:sz w:val="24"/>
          <w:shd w:fill="FFFF00" w:val="clear"/>
        </w:rPr>
        <w:t xml:space="preserve">), leaving a small fraction of each eluate for the gel, and measure absorbance at 260 nm (A260) and 280 nm (A280). After the measurement, add glycerol at a 1:1 ratio and store at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&amp;#176;C until further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Use a centrifugal filter unit (0.5 mL; 30 kDa) to buffer-exchange </w:t>
      </w:r>
      <w:r>
        <w:rPr>
          <w:rFonts w:ascii="Calibri" w:hAnsi="Calibri" w:cs="Calibri" w:eastAsia="Calibri"/>
          <w:b/>
          <w:color w:val="auto"/>
          <w:spacing w:val="0"/>
          <w:position w:val="0"/>
          <w:sz w:val="24"/>
          <w:shd w:fill="FFFF00" w:val="clear"/>
        </w:rPr>
        <w:t xml:space="preserve">total eluate</w:t>
      </w:r>
      <w:r>
        <w:rPr>
          <w:rFonts w:ascii="Calibri" w:hAnsi="Calibri" w:cs="Calibri" w:eastAsia="Calibri"/>
          <w:color w:val="auto"/>
          <w:spacing w:val="0"/>
          <w:position w:val="0"/>
          <w:sz w:val="24"/>
          <w:shd w:fill="FFFF00" w:val="clear"/>
        </w:rPr>
        <w:t xml:space="preserve"> with 2x storage buffer (~1:100) (label this </w:t>
      </w:r>
      <w:r>
        <w:rPr>
          <w:rFonts w:ascii="Calibri" w:hAnsi="Calibri" w:cs="Calibri" w:eastAsia="Calibri"/>
          <w:b/>
          <w:color w:val="auto"/>
          <w:spacing w:val="0"/>
          <w:position w:val="0"/>
          <w:sz w:val="24"/>
          <w:shd w:fill="FFFF00" w:val="clear"/>
        </w:rPr>
        <w:t xml:space="preserve">product</w:t>
      </w:r>
      <w:r>
        <w:rPr>
          <w:rFonts w:ascii="Calibri" w:hAnsi="Calibri" w:cs="Calibri" w:eastAsia="Calibri"/>
          <w:color w:val="auto"/>
          <w:spacing w:val="0"/>
          <w:position w:val="0"/>
          <w:sz w:val="24"/>
          <w:shd w:fill="FFFF00" w:val="clear"/>
        </w:rPr>
        <w:t xml:space="preserve">). Measure A260/280 again. Add glycerol at a 1:1 ratio and store at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&amp;#176;C until further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12.8. Load each eluate: flow-through, wash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total eluate, and product in a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Bis-Tris SDS-PAGE gel, along with a protein ladder. Run at 200 V for 35 min, or until the dye front migrates to the end.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 Demonstration of on-demand control of tethered RNA polymerase activity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Prepare 5x annealing buffer containing 25 mM Tris, 5 mM EDTA, and 25 mM magnesium chloride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Mix 2.4 &amp;#181;L of each template (1 &amp;#181;M) with 5 &amp;#181;L of annealing buffer and 14.2 &amp;#181;L of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form 25 &amp;#181;L of 1 &amp;#181;M dsDNA cage. Incubate this solution at 75 &amp;#176;C for 2 min. Similarly, anneal the sense and antisense strands of the promoter and malachite green aptamer DNA template. Prepare a 1mM solution of malachite green oxalate.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Table 16</w:t>
      </w:r>
      <w:r>
        <w:rPr>
          <w:rFonts w:ascii="Calibri" w:hAnsi="Calibri" w:cs="Calibri" w:eastAsia="Calibri"/>
          <w:color w:val="auto"/>
          <w:spacing w:val="0"/>
          <w:position w:val="0"/>
          <w:sz w:val="24"/>
          <w:shd w:fill="auto" w:val="clear"/>
        </w:rPr>
        <w:t xml:space="preserve"> contains the reaction formula for 5x annealing buffer, </w:t>
      </w:r>
      <w:r>
        <w:rPr>
          <w:rFonts w:ascii="Calibri" w:hAnsi="Calibri" w:cs="Calibri" w:eastAsia="Calibri"/>
          <w:b/>
          <w:color w:val="auto"/>
          <w:spacing w:val="0"/>
          <w:position w:val="0"/>
          <w:sz w:val="24"/>
          <w:shd w:fill="auto" w:val="clear"/>
        </w:rPr>
        <w:t xml:space="preserve">Table 17</w:t>
      </w:r>
      <w:r>
        <w:rPr>
          <w:rFonts w:ascii="Calibri" w:hAnsi="Calibri" w:cs="Calibri" w:eastAsia="Calibri"/>
          <w:color w:val="auto"/>
          <w:spacing w:val="0"/>
          <w:position w:val="0"/>
          <w:sz w:val="24"/>
          <w:shd w:fill="auto" w:val="clear"/>
        </w:rPr>
        <w:t xml:space="preserve"> contains the reaction formula for annealing two ssDNA templates.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Incubate the tethered SNAP T7 RNAP with the dsDNA cage in a 1:5 molar ratio at room temperature for 15 min to a final concentration of 500 nM RNAP. Keep on ice until needed.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Preheat the plate reader to 37 &amp;#176;C. Set up three 25 &amp;#181;L IVT reactions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13.3.1. Set up a reaction containing the caged SNAP T7RNAP with nucleic acid transcription factors. Mix 2.5 &amp;#181;L of 10x IVT buffer, 1 &amp;#181;L of 25 mM rNTP mix, 1 &amp;#181;L of 1 mM malachite green, 2.5 &amp;#181;L of the RNAP-cage mixture, 2.5 &amp;#181;L each of 1 &amp;#181;M transcription factor A and B oligonucleotide strands, and 3 &amp;#181;L of 1 mM malachite green aptamer template in 10 &amp;#181;L of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13.3.2. Set up a reaction containing the caged SNAP T7RNAP without nucleic acid transcription factors. Mix 2.5 &amp;#181;L of 10x IVT buffer, 1 &amp;#181;L of 25 mM rNTP mix, 1 &amp;#181;L of 1 mM malachite green, 2.5 &amp;#181;L of the RNAP-cage mixture, and 3 &amp;#181;L of 1 mM malachite green aptamer template in 15 &amp;#181;L of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13.3.3.</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Set up a reaction containing buffer only. Mix 2.5 &amp;#181;L of 10x IVT buffer, 1 &amp;#181;L of 25 mM rNTP mix, 1 &amp;#181;L of 1 mM malachite green, and 3 &amp;#181;L of 1 mM malachite green aptamer template in 17.5 &amp;#181;L of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Table 18</w:t>
      </w:r>
      <w:r>
        <w:rPr>
          <w:rFonts w:ascii="Calibri" w:hAnsi="Calibri" w:cs="Calibri" w:eastAsia="Calibri"/>
          <w:color w:val="auto"/>
          <w:spacing w:val="0"/>
          <w:position w:val="0"/>
          <w:sz w:val="24"/>
          <w:shd w:fill="auto" w:val="clear"/>
        </w:rPr>
        <w:t xml:space="preserve"> contains a general reference for the in vitro transcription reactions.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Transfer each reaction to a 384-well plate. Monitor transcription of the malachite green aptamer on a fluorescence plate reader for 2 h at 37 &amp;#176;C and with 610 nm excitation and 655 nm emission. Once finished, keep the plate on ice until needed.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Microwave 0.5x TBE buffer for 2 min 30 s or until ~70 &amp;#176;C.</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Run the RNA products of each well in a denaturing 12% TBE-Urea polyacrylamide gel in the heated 0.5x TBE buffer at 280 V for 20 min, or until the dye front reaches the end. Stain the gel with cyanine dye nucleic acid stain for 10 min on an orbital shaker before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Table 19</w:t>
      </w:r>
      <w:r>
        <w:rPr>
          <w:rFonts w:ascii="Calibri" w:hAnsi="Calibri" w:cs="Calibri" w:eastAsia="Calibri"/>
          <w:color w:val="auto"/>
          <w:spacing w:val="0"/>
          <w:position w:val="0"/>
          <w:sz w:val="24"/>
          <w:shd w:fill="auto" w:val="clear"/>
        </w:rPr>
        <w:t xml:space="preserve"> contains the reaction formula for a denaturing 12% TBE-Urea PAGE gel.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Figure 5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Successful expression and purification of the recombinant SNAP T7 RNAP protein was confirmed using SDS-PAGE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 band for SNAP T7 RNAP is expected at approximately 119 kDa, consistent with the molecular weights of the wild-type T7 RNAP and the SNAP-tag being 99 kDa and 20 kDa, respectively. The His-tag purification procedure described here produced a total of seven fractions, consisting of a flow-through fraction (FT), three wash fractions (W1, W2, and W3), and three elution fractions (E1, E2, and E3). In addition, an aliquot of the protein following buffer exchange and up-concentration (DE) is also typically included. As seen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 most prominent band appeared at approximately 119 kDa in the elution fractions, suggesting successful protein expression. The majority of the flow-through and wash fractions contained crude cell lysates. A minor portion of the cell lysates carried over to the elution fractions, suggesting that more stringent washes needed to be performed, although this may reduce yield of the protein product. In addition to the main SNAP T7 RNAP band, a second, less prominent band was observed at approximately 20 kDa, which was attributed to truncated SNAP-tag protein. Based on band intensity, this by-product was significantly lower in concentration compared to the SNAP T7 RNAP. It can be removed by an additional round of size-exclusion chromatography or diafiltration with 100 kDa molecular weight cut-off filters. Following SDS-PAGE, the enzymatic activity was validated using an in vitro transcription reaction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 T7 DNA template encoding a fluorescent RNA aptamer (e.g., malachite green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was used, which allows monitoring of RNA production kinetics using a fluorescence plate reader, as well as comparison of transcription kinetics between different batches or designs of polymerases.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Figure 6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BG-functionalized oligonucleotides were prepared using standard amine-reactive crosslinking chemistry (i.e., reacting BG-GLA-NHS esters with amine-modified oligonucleotides). Successful coupling was verified via 18% denaturing TBE-Urea PAGE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Compared to the unmodified oligonucleotide (S1), the addition of the BG moiety to the oligonucleotide increases its molecular weight and causes the BG-modified oligo (S3) to travel slower in the gel. The use of a high-percentage denaturing gel is necessary to observe this single-nucleotide difference. Denaturing PAGE analysis is also useful to characterize batch-to-batch variability in conjugation efficiency, as both conjugated and unconjugated oligonucleotide can be resolved as separate bands on the gel. If the product contains a significant amount of unconjugated oligonucleotide, a second round of chemical coupling may be applied to drive the reaction to completion.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Figure 7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production of the SNAP T7 RNAP and BG-modified oligonucleotide, the synthesis of the DNA-tethered RNAP was a simple one-pot mixing reaction. The resulting DNA-tethered T7 RNAP was purified from excess BG-oligonucleotides using a strong cation exchange spin column and analyzed by denaturing SDS-PAGE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As with the His-tag purification scheme described in a previous paragraph, a total of seven fractions were analyzed, including the initial flow-through (FT), three wash fractions (W1 to W3), the pooled elution fractions (E), the up-concentrated product (P), and a control containing unconjugated T7 RNAP (C). To verify successful conjugation, the gel was first stained with cyanine dye for nucleic acid, followed by Coomassie blue for the protein. As can be observed in the cyanine dye-stained gel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the initial FT contained mostly excess BG-oligonucleotide, as well as a small portion of the DNA-tethered polymerase (i.e., RNAP-oligo) that did not bind to the cation exchange resin.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wash fractions contained a series of fainter bands of the BG-oligonucleotides (W1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W3) at the bottom of the gel. This suggests successful removal of excess oligonucleotide. The pooled elution fractions (E) contained only the single band of RNAP-oligo caused by the binding of the cyanine dye to the oligonucleotide tether. If lane E contains bands of free oligonucleotide, more wash steps may be required to remove them from the sample. The lane containing the filtered and up-concentrated product (P) showed the same band as E, but much darker, signifying that the up-concentration procedure was successful. The protein control column contained only protein, which exhibited minimal non-specific binding to cyanine dye, seen as a faint band. The same patterns were observed in the Coomassie blue-stained gel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A small gel mobility shift was observed when comparing the oligonucleotide-conjugated RNAP to the non-conjugated RNAP control.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Figure 8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a method for on-demand switching of transcriptional ability in the tethered RNA polymerase system, a DNA template design that responded to a pair of nucleic-acid input strands TF</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and TF</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used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Transcriptional activity was monitored by measuring production of the malachite green fluorescent aptamer in both OFF (i.e., caged) and ON (i.e., uncaged) states. The amount of fluorescence signal produced at the end of the in vitro transcription is shown in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and the real-time kinetics are shown in </w:t>
      </w:r>
      <w:r>
        <w:rPr>
          <w:rFonts w:ascii="Calibri" w:hAnsi="Calibri" w:cs="Calibri" w:eastAsia="Calibri"/>
          <w:b/>
          <w:color w:val="auto"/>
          <w:spacing w:val="0"/>
          <w:position w:val="0"/>
          <w:sz w:val="24"/>
          <w:shd w:fill="auto" w:val="clear"/>
        </w:rPr>
        <w:t xml:space="preserve">Figure 8C</w:t>
      </w:r>
      <w:r>
        <w:rPr>
          <w:rFonts w:ascii="Calibri" w:hAnsi="Calibri" w:cs="Calibri" w:eastAsia="Calibri"/>
          <w:color w:val="auto"/>
          <w:spacing w:val="0"/>
          <w:position w:val="0"/>
          <w:sz w:val="24"/>
          <w:shd w:fill="auto" w:val="clear"/>
        </w:rPr>
        <w:t xml:space="preserve">. Here, a 336-fold activation in fluorescence signal can be observed, demonstrating robust control of polymerase activity.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Mechanism of toehold-mediated DNA strand displacement. </w:t>
      </w:r>
      <w:r>
        <w:rPr>
          <w:rFonts w:ascii="Calibri" w:hAnsi="Calibri" w:cs="Calibri" w:eastAsia="Calibri"/>
          <w:color w:val="auto"/>
          <w:spacing w:val="0"/>
          <w:position w:val="0"/>
          <w:sz w:val="24"/>
          <w:shd w:fill="auto" w:val="clear"/>
        </w:rPr>
        <w:t xml:space="preserve">The toehold, </w:t>
      </w:r>
      <w:r>
        <w:rPr>
          <w:rFonts w:ascii="Calibri" w:hAnsi="Calibri" w:cs="Calibri" w:eastAsia="Calibri"/>
          <w:color w:val="auto"/>
          <w:spacing w:val="0"/>
          <w:position w:val="0"/>
          <w:sz w:val="24"/>
          <w:shd w:fill="auto" w:val="clear"/>
        </w:rPr>
        <w:t xml:space="preserve">δ, is a free, unbound sequence on a partial duplex. When a complementary domain (δ*) is introduced on a second strand, the free δ domain serves as a toehold for hybridization, allowing for the rest of the strand (</w:t>
      </w:r>
      <w:r>
        <w:rPr>
          <w:rFonts w:ascii="Calibri" w:hAnsi="Calibri" w:cs="Calibri" w:eastAsia="Calibri"/>
          <w:color w:val="auto"/>
          <w:spacing w:val="0"/>
          <w:position w:val="0"/>
          <w:sz w:val="24"/>
          <w:shd w:fill="auto" w:val="clear"/>
        </w:rPr>
        <w:t xml:space="preserve">ɑ</w:t>
      </w:r>
      <w:r>
        <w:rPr>
          <w:rFonts w:ascii="Calibri" w:hAnsi="Calibri" w:cs="Calibri" w:eastAsia="Calibri"/>
          <w:color w:val="auto"/>
          <w:spacing w:val="0"/>
          <w:position w:val="0"/>
          <w:sz w:val="24"/>
          <w:shd w:fill="auto" w:val="clear"/>
        </w:rPr>
        <w:t xml:space="preserve">*) to slowly displace its competitor through a zipping/unzipping reversible reaction known as strand migration. As the length of </w:t>
      </w:r>
      <w:r>
        <w:rPr>
          <w:rFonts w:ascii="Calibri" w:hAnsi="Calibri" w:cs="Calibri" w:eastAsia="Calibri"/>
          <w:color w:val="auto"/>
          <w:spacing w:val="0"/>
          <w:position w:val="0"/>
          <w:sz w:val="24"/>
          <w:shd w:fill="auto" w:val="clear"/>
        </w:rPr>
        <w:t xml:space="preserve">δ increases, the ΔG for the forward reaction decreases, and displacement happens more readily.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Abstraction and mechanism of "tether” and “cage” polymerase complex.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oligonucleotide tether is enzymatically labelled to a T7 polymerase through the SNAP-tag reaction. A cage consisting of a “faux” T7 promoter with a tether-complement overhang allows it to hybridize to the tether and block transcriptional activity.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When the operator (</w:t>
      </w:r>
      <w:r>
        <w:rPr>
          <w:rFonts w:ascii="Calibri" w:hAnsi="Calibri" w:cs="Calibri" w:eastAsia="Calibri"/>
          <w:i/>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is present, it binds to the toehold on the oligonucleotide tether (</w:t>
      </w:r>
      <w:r>
        <w:rPr>
          <w:rFonts w:ascii="Calibri" w:hAnsi="Calibri" w:cs="Calibri" w:eastAsia="Calibri"/>
          <w:i/>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and displaces the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region of the cage, allowing transcription to occur. This figure has been modified from Chou and Shi</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Abbreviations: RNAP = RNA polymerase.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Selective programming of polymerase activity through a three-component switch activator.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When the transcription factors (TF</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and TF</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are present, they bind to the operator domain upstream of the promoter, forming a pseudo single-stranded sequence (</w:t>
      </w:r>
      <w:r>
        <w:rPr>
          <w:rFonts w:ascii="Calibri" w:hAnsi="Calibri" w:cs="Calibri" w:eastAsia="Calibri"/>
          <w:i/>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capable of displacing the cage through toehold mediated DNA displacement.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w:t>
      </w:r>
      <w:r>
        <w:rPr>
          <w:rFonts w:ascii="Calibri" w:hAnsi="Calibri" w:cs="Calibri" w:eastAsia="Calibri"/>
          <w:i/>
          <w:color w:val="auto"/>
          <w:spacing w:val="0"/>
          <w:position w:val="0"/>
          <w:sz w:val="24"/>
          <w:shd w:fill="auto" w:val="clear"/>
        </w:rPr>
        <w:t xml:space="preserve">a*b* </w:t>
      </w:r>
      <w:r>
        <w:rPr>
          <w:rFonts w:ascii="Calibri" w:hAnsi="Calibri" w:cs="Calibri" w:eastAsia="Calibri"/>
          <w:color w:val="auto"/>
          <w:spacing w:val="0"/>
          <w:position w:val="0"/>
          <w:sz w:val="24"/>
          <w:shd w:fill="auto" w:val="clear"/>
        </w:rPr>
        <w:t xml:space="preserve">domain can displace the cage via TMDSD to initiate transcription. This figure has been modified from Chou and Shi</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Abbreviations: TF = transcription factor; RNAP = RNA polymerase; TMDSD = toehold-mediated DNA strand displacement.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Plasmid map for SNAP T7 RNAP.</w:t>
      </w:r>
      <w:r>
        <w:rPr>
          <w:rFonts w:ascii="Calibri" w:hAnsi="Calibri" w:cs="Calibri" w:eastAsia="Calibri"/>
          <w:color w:val="auto"/>
          <w:spacing w:val="0"/>
          <w:position w:val="0"/>
          <w:sz w:val="24"/>
          <w:shd w:fill="auto" w:val="clear"/>
        </w:rPr>
        <w:t xml:space="preserve"> The plasmid encodes a T7 RNAP containing an N-terminal histidine tag (6x His) and SNAP-tag domain (SNAP T7 RNAP) under a lac repressor (lacI) on a pQE-80L backbone. Other features include kanamycin resistance (KanR) and chloramphenicol resistance (CmR) genes. Abbreviation: RNAP = RNA polymerase.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SDS-PAGE analysis of SNAP T7 RNAP expression and in vitro transcription assay.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SNAP T7 RNAP protein purification analysis, SNAP T7 RNAP molecular weight: 119.4kDa. FT = flow-through from the column, W1 = elution fractions of wash buffer containing impurities, 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 elution fractions containing purified product, and DE = 10x diluted total desalted elution.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precast Bis-Tris protein gel, stain: Coomassie blue, running buffer: MES buffer, conditions: 200 V for 35 min.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transcription assay was performed on the SNAP T7 RNAP protein by measuring production of a fluorescent aptamer over time. Transcription kinetics were monitored on a fluorescence plate reader for 2 h at 2 min intervals at 37 &amp;#176;C using excitation wavelength at 470 nm and emission wavelength at 512 nm. Abbreviations: RNAP = RNA polymerase; MES = 2-(</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morpholino) ethanesulfonic acid; SDS-PAGE = sodium dodecyl sulfate polyacrylamide gel electrophoresis.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PAGE analysis of BG-oligonucleotide conjugation and purification.</w:t>
      </w:r>
      <w:r>
        <w:rPr>
          <w:rFonts w:ascii="Calibri" w:hAnsi="Calibri" w:cs="Calibri" w:eastAsia="Calibri"/>
          <w:color w:val="auto"/>
          <w:spacing w:val="0"/>
          <w:position w:val="0"/>
          <w:sz w:val="24"/>
          <w:shd w:fill="auto" w:val="clear"/>
        </w:rPr>
        <w:t xml:space="preserve"> BG was conjugated on the 3'-end of the oligonucleotide through standard amine chemistry. BG-functionalized oligonucleotide conjugates were purified from excess by-products using a size exclusion chromatography spin column and analyzed on a denaturing 18% TBE-Urea PAGE following cyanine dye nucleic acid stain. An ultra-low range DNA ladder was used in this gel. S1 = oligonucleotide, S2 = pre-purification BG-oligo, S3 = post-purification BG-oligo. Abbreviations: PAGE = polyacrylamide gel electrophoresis; BG = benzylguanine; TBE = Tris-borate-EDTA; EDTA = ethylenediamine tetraacetic acid.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SDS-PAGE analysis of T7 RNAP-oligonucleotide conjugation and purification. </w:t>
      </w:r>
      <w:r>
        <w:rPr>
          <w:rFonts w:ascii="Calibri" w:hAnsi="Calibri" w:cs="Calibri" w:eastAsia="Calibri"/>
          <w:color w:val="auto"/>
          <w:spacing w:val="0"/>
          <w:position w:val="0"/>
          <w:sz w:val="24"/>
          <w:shd w:fill="auto" w:val="clear"/>
        </w:rPr>
        <w:t xml:space="preserve">A BG-modified oligonucleotide is conjugated to a T7 RNAP via SNAP-tag. The conjugates were purified from excess oligonucleotides using strong cation exchange spin columns, before being analyzed by SDS-PAGE stained with both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cyanine dye nucleic acid stain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Coomassie blue stain. Both a protein ladder and a 10-bp DNA ladder were used in this gel. FT = flow-through from the column, W1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W3 = elution fractions of purification buffer containing impurities, E = pooled elution fractions containing purified product, P = purified product after filtration buffer exchange and up-concentration, C = SNAP T7 RNAP only as control. This figure has been modified from Chou and Shi</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Abbreviations: RNAP = RNA polymerase; SDS-PAGE = sodium dodecyl sulfate polyacrylamide gel electrophoresis.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In vitro transcription assay of ON and OFF states of caged polymerase system.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depicting T7 RNAP in caged and uncaged states.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C</w:t>
      </w:r>
      <w:r>
        <w:rPr>
          <w:rFonts w:ascii="Calibri" w:hAnsi="Calibri" w:cs="Calibri" w:eastAsia="Calibri"/>
          <w:color w:val="auto"/>
          <w:spacing w:val="0"/>
          <w:position w:val="0"/>
          <w:sz w:val="24"/>
          <w:shd w:fill="auto" w:val="clear"/>
        </w:rPr>
        <w:t xml:space="preserve">) An in vitro transcription assay was performed on caged and uncaged states of the polymerase by measuring production of a fluorescent aptamer. Shown in this figure is a 336x increase in transcription rate between the ON and OFF states. Error bars indicate standard deviation (n=3). This figure has been modified from Chou and Shi</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Abbreviations: RNAP = RNA polymerase; TF = transcription factor.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Lysis/equilibration buffer formula.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Wash buffer formula.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Elution buffer formula.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Storage buffer formula.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SDS-PAGE sample loading for lanes from left to right.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 In vitro transcription reaction formula with SNAP T7 RNAP (master mix).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7:</w:t>
      </w:r>
      <w:r>
        <w:rPr>
          <w:rFonts w:ascii="Calibri" w:hAnsi="Calibri" w:cs="Calibri" w:eastAsia="Calibri"/>
          <w:color w:val="auto"/>
          <w:spacing w:val="0"/>
          <w:position w:val="0"/>
          <w:sz w:val="24"/>
          <w:shd w:fill="auto" w:val="clear"/>
        </w:rPr>
        <w:t xml:space="preserve"> In vitro transcription reaction formula with wild-type (WT) T7 RNAP (master mix).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8:</w:t>
      </w:r>
      <w:r>
        <w:rPr>
          <w:rFonts w:ascii="Calibri" w:hAnsi="Calibri" w:cs="Calibri" w:eastAsia="Calibri"/>
          <w:color w:val="auto"/>
          <w:spacing w:val="0"/>
          <w:position w:val="0"/>
          <w:sz w:val="24"/>
          <w:shd w:fill="auto" w:val="clear"/>
        </w:rPr>
        <w:t xml:space="preserve"> In vitro transcription reaction formula without polymerase; buffer-only control.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9:</w:t>
      </w:r>
      <w:r>
        <w:rPr>
          <w:rFonts w:ascii="Calibri" w:hAnsi="Calibri" w:cs="Calibri" w:eastAsia="Calibri"/>
          <w:color w:val="auto"/>
          <w:spacing w:val="0"/>
          <w:position w:val="0"/>
          <w:sz w:val="24"/>
          <w:shd w:fill="auto" w:val="clear"/>
        </w:rPr>
        <w:t xml:space="preserve"> Reaction formula for benzylguanine conjugation to the oligonucleotide.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10:</w:t>
      </w:r>
      <w:r>
        <w:rPr>
          <w:rFonts w:ascii="Calibri" w:hAnsi="Calibri" w:cs="Calibri" w:eastAsia="Calibri"/>
          <w:color w:val="auto"/>
          <w:spacing w:val="0"/>
          <w:position w:val="0"/>
          <w:sz w:val="24"/>
          <w:shd w:fill="auto" w:val="clear"/>
        </w:rPr>
        <w:t xml:space="preserve"> Reaction formula for a 18% TBE-UREA denaturing PAGE.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11:</w:t>
      </w:r>
      <w:r>
        <w:rPr>
          <w:rFonts w:ascii="Calibri" w:hAnsi="Calibri" w:cs="Calibri" w:eastAsia="Calibri"/>
          <w:color w:val="auto"/>
          <w:spacing w:val="0"/>
          <w:position w:val="0"/>
          <w:sz w:val="24"/>
          <w:shd w:fill="auto" w:val="clear"/>
        </w:rPr>
        <w:t xml:space="preserve"> Denaturing PAGE sample loading for lanes from left to right.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12:</w:t>
      </w:r>
      <w:r>
        <w:rPr>
          <w:rFonts w:ascii="Calibri" w:hAnsi="Calibri" w:cs="Calibri" w:eastAsia="Calibri"/>
          <w:color w:val="auto"/>
          <w:spacing w:val="0"/>
          <w:position w:val="0"/>
          <w:sz w:val="24"/>
          <w:shd w:fill="auto" w:val="clear"/>
        </w:rPr>
        <w:t xml:space="preserve"> Reagent ratios for analytical scale coupling of BG-oligonucleotide to SNAP T7 RNAP.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13:</w:t>
      </w:r>
      <w:r>
        <w:rPr>
          <w:rFonts w:ascii="Calibri" w:hAnsi="Calibri" w:cs="Calibri" w:eastAsia="Calibri"/>
          <w:color w:val="auto"/>
          <w:spacing w:val="0"/>
          <w:position w:val="0"/>
          <w:sz w:val="24"/>
          <w:shd w:fill="auto" w:val="clear"/>
        </w:rPr>
        <w:t xml:space="preserve"> Reaction formula for the SNAP-tag labelling reaction.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14:</w:t>
      </w:r>
      <w:r>
        <w:rPr>
          <w:rFonts w:ascii="Calibri" w:hAnsi="Calibri" w:cs="Calibri" w:eastAsia="Calibri"/>
          <w:color w:val="auto"/>
          <w:spacing w:val="0"/>
          <w:position w:val="0"/>
          <w:sz w:val="24"/>
          <w:shd w:fill="auto" w:val="clear"/>
        </w:rPr>
        <w:t xml:space="preserve"> Bis-Tris PAGE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reaction formulas for gel lane loading samples.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15:</w:t>
      </w:r>
      <w:r>
        <w:rPr>
          <w:rFonts w:ascii="Calibri" w:hAnsi="Calibri" w:cs="Calibri" w:eastAsia="Calibri"/>
          <w:color w:val="auto"/>
          <w:spacing w:val="0"/>
          <w:position w:val="0"/>
          <w:sz w:val="24"/>
          <w:shd w:fill="auto" w:val="clear"/>
        </w:rPr>
        <w:t xml:space="preserve"> Reaction formula for elution buffer (11.1).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16:</w:t>
      </w:r>
      <w:r>
        <w:rPr>
          <w:rFonts w:ascii="Calibri" w:hAnsi="Calibri" w:cs="Calibri" w:eastAsia="Calibri"/>
          <w:color w:val="auto"/>
          <w:spacing w:val="0"/>
          <w:position w:val="0"/>
          <w:sz w:val="24"/>
          <w:shd w:fill="auto" w:val="clear"/>
        </w:rPr>
        <w:t xml:space="preserve"> Reaction formula for 5x annealing buffer.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17:</w:t>
      </w:r>
      <w:r>
        <w:rPr>
          <w:rFonts w:ascii="Calibri" w:hAnsi="Calibri" w:cs="Calibri" w:eastAsia="Calibri"/>
          <w:color w:val="auto"/>
          <w:spacing w:val="0"/>
          <w:position w:val="0"/>
          <w:sz w:val="24"/>
          <w:shd w:fill="auto" w:val="clear"/>
        </w:rPr>
        <w:t xml:space="preserve"> Reaction formula used to anneal two ssDNA templates (sense and antisense strands).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18:</w:t>
      </w:r>
      <w:r>
        <w:rPr>
          <w:rFonts w:ascii="Calibri" w:hAnsi="Calibri" w:cs="Calibri" w:eastAsia="Calibri"/>
          <w:color w:val="auto"/>
          <w:spacing w:val="0"/>
          <w:position w:val="0"/>
          <w:sz w:val="24"/>
          <w:shd w:fill="auto" w:val="clear"/>
        </w:rPr>
        <w:t xml:space="preserve"> In vitro transcription reaction formula (master mix); includes RNAP concentration.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19:</w:t>
      </w:r>
      <w:r>
        <w:rPr>
          <w:rFonts w:ascii="Calibri" w:hAnsi="Calibri" w:cs="Calibri" w:eastAsia="Calibri"/>
          <w:color w:val="auto"/>
          <w:spacing w:val="0"/>
          <w:position w:val="0"/>
          <w:sz w:val="24"/>
          <w:shd w:fill="auto" w:val="clear"/>
        </w:rPr>
        <w:t xml:space="preserve"> Reaction formula for a 12% TBE-UREA denaturing PAGE.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demonstrates a DNA nanotechnology-inspired approach to control the activity of T7 RNA polymerase by covalently coupling an N-terminally SNAP-tagged recombinant T7 RNAP with a BG-functionalized oligonucleotide, which was subsequently used to program TMDSD reactions. By design, the SNAP-tag was positioned at the N-terminus of the polymerase, as the C-terminus of wild-type T7 RNAP is buried within the protein structure core and makes important contacts with the DNA template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Prior attempts to modify the polymerase C-terminus have resulted in complete loss of enzymatic activity unless other compensating mutations are introduced.</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In contrast, N-terminal fusions of the T7 RNAP are well-tolerated, although the choice of the fusion tag can affect polymerase activity. How different tags affect RNAP activity has not been systematically determined. The SNAP-tag was chosen because it is efficient and robust, allowing quantitative tagging for stoichiometric ratios of the protein and oligonucleotide. Alternatively, other coupling chemistries may be used to link the oligonucleotide to the polymerase, such as Ybbr</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tags, Sortase tags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SpyTags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or else via the introduction of unnatural amino acids bearing reactive groups. The difference in size and sequence between these tags may also affect the activity of the resulting fusion protein, and the optimal choice for site-specific RNAP tagging merits future investigation. Finally, it is recommended to limit the length of the oligonucleotide tethered to the RNAP to &amp;lt; 30 nt. This is designed to reduce non-specific electrostatic interactions between the oligonucleotide with the DNA binding domain of the T7 RNAP and to facilitate purification of the oligonucleotide tethered RNAP by ion exchange chromatography.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proposed technology described here requires the expression of a recombinant SNAP T7 RNAP, and there are two critical steps during the synthesis process that affect the overall yield of the protein product. First, the use of sonication for cell lysis can heat up the sample (section 4). To ensure efficient cell lysis and protein extraction without heat-denaturing the protein, the cell sample should be kept on ice throughout sonication and the temperature of the sonication probe monitored in between each sample. A second critical step is the buffer-exchange and up-concentration of the SNAP T7 RNAP following His-tag purification (step 4.11.2). It is important to gently pipette-wash the membrane of the centrifugal filter unit to prevent protein aggregation, which would decrease overall yield and protein functionality.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principle, the BG-oligonucleotide reaction with SNAP-tag is quantitative at a 1:1 molar ratio. However, a range of oligonucleotide-to-polymerase stoichiometric ratios should be tested before preparing a larger batch of the material. This is because the protein concentration estimates can be inaccurate. This step may require performing SDS-PAGE of the coupling reaction at different dilutions of the BG-oligonucleotide with respect to a constant protein concentration to identify the optimal coupling ratio. During PAGE analysis, the same gel can be serially stained with two stains: a nucleic-acid stain followed by a Coomassie Blue protein stain. It is important to thoroughly wash SDS off the gel before staining with the nucleic-acid stain. This is because the SDS will trap the dye in the gel, leading to a high background signal. Furthermore, the nucleic acid stain must be performed prior to the Coomassie Blue protein stain.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this proposed system brings together the scalability of a DNA circuit with the functionality of a protein-based transcriptional circuit, it also introduces limitations seen in transcriptional circuits. One of the many advantages of DNA computers is the stability of nucleic acids in a variety of environments. With the addition of polymerases, the tethered polymerase system must be stored under specific conditions to prevent denaturation. Furthermore, computing must occur in an environment with specific buffer conditions that allow for transcription. Although the RNA polymerase from the T7 bacteriophage is used in this demonstration, another RNA polymerase with more application-appropriate conditions may be used to circumvent this limitation.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show that this tethered polymerase system can be toggled between OFF (e.g., caged) and ON (i.e., uncaged) states using nucleic acid “transcription factors”. Using DNA to regulate transcription makes it possible to design transcriptional circuits at scale, including building multi-layer signal cascades and feedback. Another feature is the self-amplification of input signals received or passed through the circuit, as an activated polymerase that has hybridized to a template will continue to produce more copies of its transcript until it is stopped. This signal amplification mechanism may be exploited to amplify circuit response to low-concentration inputs. Finally, this building block can be used to implement a range of digital logics. This study demonstrates the activation of templates via “AND logic” by designing templates that must be activated by two nucleic acid strands. Similarly, “OR logic” can be designed by making a DNA template responsive to only strand B, and introducing an “adaptor” intermediate that sequesters strand A in exchange for producing yet another copy of strand B. In this case, introducing either strand A or B as inputs into the reaction would trigger transcription of the target DNA template. The ability to rationally design a variety of circuit behaviors at scale should enable the implementation of complex molecular computing algorithms for emerging applications in disease detection, portable biomanufacturing, as well as molecular data processing and storage.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no competing financial interests to declare by any of the authors.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L.Y.T.C acknowledges generous support from the New Frontiers in Research Fund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Exploration (NFRF-E), the Natural Sciences and Engineering Research Council of Canada (NSERC) Discovery Grant, and the University of Toronto’s Medicine by Design Initiative, which receives funding from the Canada First Research Excellence Fund (CFREF).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Cherry, K. M., Qian, L. Scaling up molecular pattern recognition with DNA-based winner-take-all neural networks.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559</w:t>
      </w:r>
      <w:r>
        <w:rPr>
          <w:rFonts w:ascii="Calibri" w:hAnsi="Calibri" w:cs="Calibri" w:eastAsia="Calibri"/>
          <w:color w:val="auto"/>
          <w:spacing w:val="0"/>
          <w:position w:val="0"/>
          <w:sz w:val="24"/>
          <w:shd w:fill="auto" w:val="clear"/>
        </w:rPr>
        <w:t xml:space="preserve"> (7714), 370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376 (2018).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Qian, L., Winfree, E., Bruck, J. Neural network computation with DNA strand displacement cascades.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475</w:t>
      </w:r>
      <w:r>
        <w:rPr>
          <w:rFonts w:ascii="Calibri" w:hAnsi="Calibri" w:cs="Calibri" w:eastAsia="Calibri"/>
          <w:color w:val="auto"/>
          <w:spacing w:val="0"/>
          <w:position w:val="0"/>
          <w:sz w:val="24"/>
          <w:shd w:fill="auto" w:val="clear"/>
        </w:rPr>
        <w:t xml:space="preserve"> (7356), 368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372 (2011).</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Chen, Y.-J. et al. Programmable chemical controllers made from DNA. </w:t>
      </w:r>
      <w:r>
        <w:rPr>
          <w:rFonts w:ascii="Calibri" w:hAnsi="Calibri" w:cs="Calibri" w:eastAsia="Calibri"/>
          <w:i/>
          <w:color w:val="auto"/>
          <w:spacing w:val="0"/>
          <w:position w:val="0"/>
          <w:sz w:val="24"/>
          <w:shd w:fill="auto" w:val="clear"/>
        </w:rPr>
        <w:t xml:space="preserve">Nature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755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762 (2013).</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di Bernardo, D., Marucci, L., Menolascina, F., Siciliano, V. Predicting synthetic gene networks. </w:t>
      </w:r>
      <w:r>
        <w:rPr>
          <w:rFonts w:ascii="Calibri" w:hAnsi="Calibri" w:cs="Calibri" w:eastAsia="Calibri"/>
          <w:i/>
          <w:color w:val="auto"/>
          <w:spacing w:val="0"/>
          <w:position w:val="0"/>
          <w:sz w:val="24"/>
          <w:shd w:fill="auto" w:val="clear"/>
        </w:rPr>
        <w:t xml:space="preserve">Synthetic Gene Networks: Methods and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813</w:t>
      </w:r>
      <w:r>
        <w:rPr>
          <w:rFonts w:ascii="Calibri" w:hAnsi="Calibri" w:cs="Calibri" w:eastAsia="Calibri"/>
          <w:color w:val="auto"/>
          <w:spacing w:val="0"/>
          <w:position w:val="0"/>
          <w:sz w:val="24"/>
          <w:shd w:fill="auto" w:val="clear"/>
        </w:rPr>
        <w:t xml:space="preserve">,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 (2012).</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Xiang, Y., Dalchau, N., Wang, B. Scaling up genetic circuit design for cellular computing: advances and prospects. </w:t>
      </w:r>
      <w:r>
        <w:rPr>
          <w:rFonts w:ascii="Calibri" w:hAnsi="Calibri" w:cs="Calibri" w:eastAsia="Calibri"/>
          <w:i/>
          <w:color w:val="auto"/>
          <w:spacing w:val="0"/>
          <w:position w:val="0"/>
          <w:sz w:val="24"/>
          <w:shd w:fill="auto" w:val="clear"/>
        </w:rPr>
        <w:t xml:space="preserve">Natural Computing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 833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853 (2018).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Gould, N., Hendy, O., Papamichail, D. Computational tools and algorithms for designing customized synthetic genes. </w:t>
      </w:r>
      <w:r>
        <w:rPr>
          <w:rFonts w:ascii="Calibri" w:hAnsi="Calibri" w:cs="Calibri" w:eastAsia="Calibri"/>
          <w:i/>
          <w:color w:val="auto"/>
          <w:spacing w:val="0"/>
          <w:position w:val="0"/>
          <w:sz w:val="24"/>
          <w:shd w:fill="auto" w:val="clear"/>
        </w:rPr>
        <w:t xml:space="preserve">Frontiers in Bioengineering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(2014).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MacDonald, J. T., Siciliano, V. Computational sequence design with R2oDNA Designer. </w:t>
      </w:r>
      <w:r>
        <w:rPr>
          <w:rFonts w:ascii="Calibri" w:hAnsi="Calibri" w:cs="Calibri" w:eastAsia="Calibri"/>
          <w:i/>
          <w:color w:val="auto"/>
          <w:spacing w:val="0"/>
          <w:position w:val="0"/>
          <w:sz w:val="24"/>
          <w:shd w:fill="auto" w:val="clear"/>
        </w:rPr>
        <w:t xml:space="preserve">Mammalian Synthetic Promoters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1651</w:t>
      </w:r>
      <w:r>
        <w:rPr>
          <w:rFonts w:ascii="Calibri" w:hAnsi="Calibri" w:cs="Calibri" w:eastAsia="Calibri"/>
          <w:color w:val="auto"/>
          <w:spacing w:val="0"/>
          <w:position w:val="0"/>
          <w:sz w:val="24"/>
          <w:shd w:fill="auto" w:val="clear"/>
        </w:rPr>
        <w:t xml:space="preserve">, 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 (2017).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Cervantes-Salido, V. M., Jaime, O., Brizuela, C. A., Mart&amp;#237;nez-P&amp;#233;rez, I. M. Improving the design of sequences for DNA computing: A multiobjective evolutionary approach. </w:t>
      </w:r>
      <w:r>
        <w:rPr>
          <w:rFonts w:ascii="Calibri" w:hAnsi="Calibri" w:cs="Calibri" w:eastAsia="Calibri"/>
          <w:i/>
          <w:color w:val="auto"/>
          <w:spacing w:val="0"/>
          <w:position w:val="0"/>
          <w:sz w:val="24"/>
          <w:shd w:fill="auto" w:val="clear"/>
        </w:rPr>
        <w:t xml:space="preserve">Applied Soft Computing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(12), 4594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4607 (2013).</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Zadeh, J. N. et al. NUPACK: Analysis and design of nucleic acid systems. </w:t>
      </w:r>
      <w:r>
        <w:rPr>
          <w:rFonts w:ascii="Calibri" w:hAnsi="Calibri" w:cs="Calibri" w:eastAsia="Calibri"/>
          <w:i/>
          <w:color w:val="auto"/>
          <w:spacing w:val="0"/>
          <w:position w:val="0"/>
          <w:sz w:val="24"/>
          <w:shd w:fill="auto" w:val="clear"/>
        </w:rPr>
        <w:t xml:space="preserve">Journal of Computational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 170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 (2011).</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Fornace, M. E., Porubsky, N. J., Pierce, N. A. A unified dynamic programming framework for the analysis of interacting nucleic acid strands: enhanced models, scalability, and speed.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2665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2678 (2020).</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Wetterstrand, K. DNA sequencing costs: Data. </w:t>
      </w:r>
      <w:r>
        <w:rPr>
          <w:rFonts w:ascii="Calibri" w:hAnsi="Calibri" w:cs="Calibri" w:eastAsia="Calibri"/>
          <w:i/>
          <w:color w:val="auto"/>
          <w:spacing w:val="0"/>
          <w:position w:val="0"/>
          <w:sz w:val="24"/>
          <w:shd w:fill="auto" w:val="clear"/>
        </w:rPr>
        <w:t xml:space="preserve">Genome.gov</w:t>
      </w:r>
      <w:r>
        <w:rPr>
          <w:rFonts w:ascii="Calibri" w:hAnsi="Calibri" w:cs="Calibri" w:eastAsia="Calibri"/>
          <w:color w:val="auto"/>
          <w:spacing w:val="0"/>
          <w:position w:val="0"/>
          <w:sz w:val="24"/>
          <w:shd w:fill="auto" w:val="clear"/>
        </w:rPr>
        <w:t xml:space="preserve">.</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Lopez, R., Wang, R., Seelig, G. A molecular multi-gene classifier for disease diagnostics. </w:t>
      </w:r>
      <w:r>
        <w:rPr>
          <w:rFonts w:ascii="Calibri" w:hAnsi="Calibri" w:cs="Calibri" w:eastAsia="Calibri"/>
          <w:i/>
          <w:color w:val="auto"/>
          <w:spacing w:val="0"/>
          <w:position w:val="0"/>
          <w:sz w:val="24"/>
          <w:shd w:fill="auto" w:val="clear"/>
        </w:rPr>
        <w:t xml:space="preserve">Nature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 746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754 (2018).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Pardee, K. et al. Rapid, low-cost detection of Zika virus using programmable biomolecular components.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(5), 1255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1266 (2016).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Yurke, B., Turberfield, A. J., Mills, A. P., Simmel, F. C., Neumann, J. L. A DNA-fuelled molecular machine made of DNA.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406</w:t>
      </w:r>
      <w:r>
        <w:rPr>
          <w:rFonts w:ascii="Calibri" w:hAnsi="Calibri" w:cs="Calibri" w:eastAsia="Calibri"/>
          <w:color w:val="auto"/>
          <w:spacing w:val="0"/>
          <w:position w:val="0"/>
          <w:sz w:val="24"/>
          <w:shd w:fill="auto" w:val="clear"/>
        </w:rPr>
        <w:t xml:space="preserve"> (6796), 605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608 (2000).</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Lin, K. N., Volkel, K., Tuck, J. M., Keung, A. J. Dynamic and scalable DNA-based information storage.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2981 (2020).</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Yurke, B., Mills, A. P. Using DNA to power nanostructures. </w:t>
      </w:r>
      <w:r>
        <w:rPr>
          <w:rFonts w:ascii="Calibri" w:hAnsi="Calibri" w:cs="Calibri" w:eastAsia="Calibri"/>
          <w:i/>
          <w:color w:val="auto"/>
          <w:spacing w:val="0"/>
          <w:position w:val="0"/>
          <w:sz w:val="24"/>
          <w:shd w:fill="auto" w:val="clear"/>
        </w:rPr>
        <w:t xml:space="preserve">Genetic Programming and Evolvable Machines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 (2003).</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Zhang, D. Y., Turberfield, A. J., Yurke, B., Winfree, E. Engineering entropy-driven reactions and networks catalyzed by DNA.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318</w:t>
      </w:r>
      <w:r>
        <w:rPr>
          <w:rFonts w:ascii="Calibri" w:hAnsi="Calibri" w:cs="Calibri" w:eastAsia="Calibri"/>
          <w:color w:val="auto"/>
          <w:spacing w:val="0"/>
          <w:position w:val="0"/>
          <w:sz w:val="24"/>
          <w:shd w:fill="auto" w:val="clear"/>
        </w:rPr>
        <w:t xml:space="preserve"> (5853), 1121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1125 (2007).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Wang, B., Thachuk, C., Ellington, A.D., Winfree, E., Soloveichik, D. Effective design principles for leakless strand displacement systems.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(52), E12182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E12191 (2018).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Machinek, R. R. F., Ouldridge, T. E., Haley, N. E. C., Bath, J., Turberfield, A. J. Programmable energy landscapes for kinetic control of DNA strand displacement.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5324 (2014).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Cabello-Garcia, J., Bae, W., Stan, G. -B. V., Ouldridge, T. E. Handhold-mediated strand displacement: a nucleic acid-based mechanism for generating far-from-equilibrium assemblies through templated reactions.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2020.05.22.108571 (2020).</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Brophy, J. A. N., Voigt, C. A. Principles of genetic circuit design.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508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520 (2014).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Khalil, A. S. et al. A synthetic biology framework for programming eukaryotic transcription functions.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(3), 647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658 (2012).</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Swank, Z., Laohakunakorn, N., Maerkl, S. J. Cell-free gene-regulatory network engineering with synthetic transcription factors.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(13), 5892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5901 (2019).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Howland, S. W., Tsuji, T., Gnjatic, S., Ritter, G., Old, L. J., Wittrup, K. D. Inducing efficient cross-priming using antigen-coated yeast particles. </w:t>
      </w:r>
      <w:r>
        <w:rPr>
          <w:rFonts w:ascii="Calibri" w:hAnsi="Calibri" w:cs="Calibri" w:eastAsia="Calibri"/>
          <w:i/>
          <w:color w:val="auto"/>
          <w:spacing w:val="0"/>
          <w:position w:val="0"/>
          <w:sz w:val="24"/>
          <w:shd w:fill="auto" w:val="clear"/>
        </w:rPr>
        <w:t xml:space="preserve">Journal of immunotherapy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(7), 607 (2008).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Abil, Z., Ellefson, J. W., Gollihar, J. D., Watkins, E., Ellington, A. D. Compartmentalized partnered replication for the directed evolution of genetic parts and circuits.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(12), 2493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2512 (2017).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Baugh, C., Grate, D., Wilson, C. 2.8 Å crystal structure of the malachite green aptamer11Edited by J. A. Doudna.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301</w:t>
      </w:r>
      <w:r>
        <w:rPr>
          <w:rFonts w:ascii="Calibri" w:hAnsi="Calibri" w:cs="Calibri" w:eastAsia="Calibri"/>
          <w:color w:val="auto"/>
          <w:spacing w:val="0"/>
          <w:position w:val="0"/>
          <w:sz w:val="24"/>
          <w:shd w:fill="auto" w:val="clear"/>
        </w:rPr>
        <w:t xml:space="preserve"> (1), 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Chou, L. Y. T., Shih, W. M. In vitro transcriptional regulation via nucleic acid-based transcription factors.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(11), 2558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2565 (2019).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Lykke-Andersen, J., Christiansen, J. The C-terminal carboxy group of T7 RNA polymerase ensures efficient magnesium ion-dependent catalysis.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(24), 5630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5635 (1998).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Pu, J., Disare, M., Dickinson, B. C. Evolution of C-terminal modification tolerance in full-length and split T7 RNA Polymerase biosensors. </w:t>
      </w:r>
      <w:r>
        <w:rPr>
          <w:rFonts w:ascii="Calibri" w:hAnsi="Calibri" w:cs="Calibri" w:eastAsia="Calibri"/>
          <w:i/>
          <w:color w:val="auto"/>
          <w:spacing w:val="0"/>
          <w:position w:val="0"/>
          <w:sz w:val="24"/>
          <w:shd w:fill="auto" w:val="clear"/>
        </w:rPr>
        <w:t xml:space="preserve">Chembiochem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(12), 1547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1553 (2019).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Gardner, L. P., Mookhtiar, K. A., Coleman, J. E. Initiation, elongation, and processivity of carboxyl-terminal mutants of T7 RNA polymerase.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(10), 2908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2918 (1997).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Yin, J., Lin, A. J., Golan, D. E., Walsh, C. T. Site-specific protein labeling by Sfp phosphopantetheinyl transferase.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280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285 (2006).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Warden-Rothman, R., Caturegli, I., Popik, V., Tsourkas, A. Sortase-tag expressed protein ligation: combining protein purification and site-specific bioconjugation into a single step.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(22), 11090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11097 (2013).</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Zhang, W.-B., Sun, F., Tirrell, D. A., Arnold, F. H. Controlling macromolecular topology with genetically encoded SpyTag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SpyCatcher chemistry.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(37), 13988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13997 (2013).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