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E0E4C" w14:textId="030CE8F1" w:rsidR="00860322" w:rsidRDefault="00860322" w:rsidP="00241659">
      <w:pPr>
        <w:jc w:val="both"/>
      </w:pPr>
      <w:r>
        <w:t xml:space="preserve">Dear reviewers, </w:t>
      </w:r>
    </w:p>
    <w:p w14:paraId="21510ACB" w14:textId="3D17CBCA" w:rsidR="00860322" w:rsidRDefault="00860322" w:rsidP="00241659">
      <w:pPr>
        <w:jc w:val="both"/>
      </w:pPr>
    </w:p>
    <w:p w14:paraId="1B07B3F8" w14:textId="77777777" w:rsidR="004C19C1" w:rsidRDefault="00860322" w:rsidP="00241659">
      <w:pPr>
        <w:jc w:val="both"/>
      </w:pPr>
      <w:r>
        <w:t xml:space="preserve">thank you for taking the time to critically review our work. Your recommendations and </w:t>
      </w:r>
      <w:r w:rsidR="004C19C1">
        <w:t xml:space="preserve">impulses are highly appreciated. </w:t>
      </w:r>
    </w:p>
    <w:p w14:paraId="5B3484B2" w14:textId="77777777" w:rsidR="004C19C1" w:rsidRDefault="004C19C1" w:rsidP="00241659">
      <w:pPr>
        <w:jc w:val="both"/>
      </w:pPr>
    </w:p>
    <w:p w14:paraId="321F0EB6" w14:textId="2CDB27B3" w:rsidR="004C19C1" w:rsidRDefault="004C19C1" w:rsidP="00241659">
      <w:pPr>
        <w:jc w:val="both"/>
      </w:pPr>
      <w:r>
        <w:t>Answer</w:t>
      </w:r>
      <w:r w:rsidR="00CF1206">
        <w:t>s</w:t>
      </w:r>
      <w:r>
        <w:t xml:space="preserve"> to reviewer 1:</w:t>
      </w:r>
    </w:p>
    <w:p w14:paraId="1007A532" w14:textId="183AF6B9" w:rsidR="00860322" w:rsidRDefault="00CA7222" w:rsidP="00241659">
      <w:pPr>
        <w:jc w:val="both"/>
      </w:pPr>
      <w:r>
        <w:t xml:space="preserve">1) </w:t>
      </w:r>
      <w:r w:rsidR="008D3DCB">
        <w:t xml:space="preserve">We elaborated our success rates in the results section. However, extensive detailed success rates are beyond the scope of this paper and have been and will be published elsewhere. Since our protocols are subjected to constant improvement, a definite “overall success rate” </w:t>
      </w:r>
      <w:r w:rsidR="000D1454">
        <w:t>cannot</w:t>
      </w:r>
      <w:r w:rsidR="008D3DCB">
        <w:t xml:space="preserve"> be </w:t>
      </w:r>
      <w:r w:rsidR="00C360FD">
        <w:t>determined</w:t>
      </w:r>
      <w:r>
        <w:t xml:space="preserve"> clearly</w:t>
      </w:r>
      <w:r w:rsidR="00C360FD">
        <w:t xml:space="preserve">. To give the reader an idea of our PDX establishment rates, we </w:t>
      </w:r>
      <w:r w:rsidR="00CF1206">
        <w:t>added the current numbers of available PDX models</w:t>
      </w:r>
      <w:r w:rsidR="0081210E">
        <w:t xml:space="preserve">. </w:t>
      </w:r>
      <w:r w:rsidR="00CF1206">
        <w:t xml:space="preserve">Even this is a little tricky since depending from the qualitative and quantitative measures chosen to call a model “established” or not yet established these numbers would of course vary. </w:t>
      </w:r>
      <w:r w:rsidR="0081210E">
        <w:t>An extensive analysis of colorectal PDX establishment</w:t>
      </w:r>
      <w:r w:rsidR="00CF1206">
        <w:t>, QC data etc. is currently in preparation to</w:t>
      </w:r>
      <w:r w:rsidR="0081210E">
        <w:t xml:space="preserve"> be published soon by Matschos et al.</w:t>
      </w:r>
    </w:p>
    <w:p w14:paraId="6AE4E35D" w14:textId="1319A81D" w:rsidR="0081210E" w:rsidRDefault="00CA7222" w:rsidP="00241659">
      <w:pPr>
        <w:jc w:val="both"/>
      </w:pPr>
      <w:r>
        <w:t xml:space="preserve">2) </w:t>
      </w:r>
      <w:r w:rsidR="0081210E">
        <w:t xml:space="preserve">We use the biobank for our own preclinical studies but </w:t>
      </w:r>
      <w:r w:rsidR="00CF1206">
        <w:t>are also willing to</w:t>
      </w:r>
      <w:r w:rsidR="00CC7A0F">
        <w:t xml:space="preserve"> cooperat</w:t>
      </w:r>
      <w:r w:rsidR="00CF1206">
        <w:t>e with university and industrial partners</w:t>
      </w:r>
      <w:r w:rsidR="00CC7A0F">
        <w:t xml:space="preserve">. </w:t>
      </w:r>
      <w:r w:rsidR="00CF1206">
        <w:t>So far, this happened e</w:t>
      </w:r>
      <w:r w:rsidR="00CC7A0F">
        <w:t xml:space="preserve">ither by exchanging PDX specimen with other groups or by </w:t>
      </w:r>
      <w:r w:rsidR="00CF1206">
        <w:t xml:space="preserve">even </w:t>
      </w:r>
      <w:r w:rsidR="000D1454">
        <w:t>conducting in</w:t>
      </w:r>
      <w:r w:rsidR="00A25B93">
        <w:t xml:space="preserve"> vivo experiments as “commissioned work”</w:t>
      </w:r>
      <w:r w:rsidR="00CF1206">
        <w:t>.</w:t>
      </w:r>
      <w:r w:rsidR="00A25B93">
        <w:t xml:space="preserve"> </w:t>
      </w:r>
      <w:r>
        <w:t xml:space="preserve">A growing number of published manuscripts can be found in </w:t>
      </w:r>
      <w:proofErr w:type="spellStart"/>
      <w:r>
        <w:t>Pubmed</w:t>
      </w:r>
      <w:proofErr w:type="spellEnd"/>
      <w:r>
        <w:t xml:space="preserve"> taking advantage of the HROC collection. However, in order not to overstretch the amount of self-citations, we used only selected work to be cited in the current manuscript.</w:t>
      </w:r>
    </w:p>
    <w:p w14:paraId="6DA89BFB" w14:textId="77777777" w:rsidR="001D5BBF" w:rsidRDefault="001D5BBF" w:rsidP="00241659">
      <w:pPr>
        <w:jc w:val="both"/>
      </w:pPr>
    </w:p>
    <w:p w14:paraId="0A7D451F" w14:textId="2BEDCE1B" w:rsidR="001D5BBF" w:rsidRDefault="001D5BBF" w:rsidP="00241659">
      <w:pPr>
        <w:jc w:val="both"/>
      </w:pPr>
      <w:r>
        <w:t>Answer</w:t>
      </w:r>
      <w:r w:rsidR="00CF1206">
        <w:t>s</w:t>
      </w:r>
      <w:r>
        <w:t xml:space="preserve"> to reviewer 2:</w:t>
      </w:r>
    </w:p>
    <w:p w14:paraId="474A6C7F" w14:textId="322A2AD4" w:rsidR="00860322" w:rsidRDefault="00FB0CFE" w:rsidP="00241659">
      <w:pPr>
        <w:jc w:val="both"/>
      </w:pPr>
      <w:r>
        <w:t xml:space="preserve">We </w:t>
      </w:r>
      <w:r w:rsidR="00CF1206">
        <w:t>aimed</w:t>
      </w:r>
      <w:r>
        <w:t xml:space="preserve"> to incorporate most of your suggestions for improvements. However, some demands </w:t>
      </w:r>
      <w:r w:rsidR="00CF1206">
        <w:t>go beyond the scope of this manuscript and would blow up</w:t>
      </w:r>
      <w:r>
        <w:t xml:space="preserve"> the already </w:t>
      </w:r>
      <w:r w:rsidR="00DD4DAF">
        <w:t>extensive protocol and discussion, respectively</w:t>
      </w:r>
      <w:r w:rsidR="00CF1206">
        <w:t>. Of course, we comprehensively explain which points have been addressed in which ways on a point-to-point basis:</w:t>
      </w:r>
    </w:p>
    <w:p w14:paraId="0EE5B8ED" w14:textId="77777777" w:rsidR="00CA7222" w:rsidRDefault="00CA7222" w:rsidP="00241659">
      <w:pPr>
        <w:jc w:val="both"/>
      </w:pPr>
      <w:r>
        <w:t>Major concerns:</w:t>
      </w:r>
    </w:p>
    <w:p w14:paraId="799B8720" w14:textId="77777777" w:rsidR="00851503" w:rsidRPr="00851503" w:rsidRDefault="00CA7222" w:rsidP="00241659">
      <w:pPr>
        <w:jc w:val="both"/>
        <w:rPr>
          <w:u w:val="single"/>
        </w:rPr>
      </w:pPr>
      <w:r w:rsidRPr="00851503">
        <w:rPr>
          <w:u w:val="single"/>
        </w:rPr>
        <w:t xml:space="preserve">Clear standard terminology and order: </w:t>
      </w:r>
    </w:p>
    <w:p w14:paraId="365CB3B5" w14:textId="089FE832" w:rsidR="00CA7222" w:rsidRDefault="00CA7222" w:rsidP="00241659">
      <w:pPr>
        <w:jc w:val="both"/>
      </w:pPr>
      <w:r>
        <w:t xml:space="preserve">we checked the complete manuscript for the correct use of terminology taking especially the suggestions of this reviewer into account. Also the correct and logic order of experimental steps has been re-checked. </w:t>
      </w:r>
    </w:p>
    <w:p w14:paraId="1893971D" w14:textId="3D0CAF41" w:rsidR="00851503" w:rsidRPr="00851503" w:rsidRDefault="009E2E22" w:rsidP="00241659">
      <w:pPr>
        <w:jc w:val="both"/>
        <w:rPr>
          <w:u w:val="single"/>
        </w:rPr>
      </w:pPr>
      <w:r w:rsidRPr="00851503">
        <w:rPr>
          <w:u w:val="single"/>
        </w:rPr>
        <w:t>Media composition</w:t>
      </w:r>
      <w:r w:rsidR="00851503" w:rsidRPr="00851503">
        <w:rPr>
          <w:u w:val="single"/>
        </w:rPr>
        <w:t xml:space="preserve"> and cell culture coating</w:t>
      </w:r>
      <w:r w:rsidRPr="00851503">
        <w:rPr>
          <w:u w:val="single"/>
        </w:rPr>
        <w:t xml:space="preserve">: </w:t>
      </w:r>
    </w:p>
    <w:p w14:paraId="41683BB0" w14:textId="77777777" w:rsidR="00851503" w:rsidRDefault="00851503" w:rsidP="00241659">
      <w:pPr>
        <w:jc w:val="both"/>
      </w:pPr>
      <w:r>
        <w:t>we kept these</w:t>
      </w:r>
      <w:r w:rsidR="00036A15">
        <w:t xml:space="preserve"> point</w:t>
      </w:r>
      <w:r>
        <w:t>s</w:t>
      </w:r>
      <w:r w:rsidR="00036A15">
        <w:t xml:space="preserve"> general on purpose. Over the years, we tried more than 30 different media, </w:t>
      </w:r>
      <w:r w:rsidR="008C4806">
        <w:t>even &gt;</w:t>
      </w:r>
      <w:r w:rsidR="00036A15">
        <w:t>50</w:t>
      </w:r>
      <w:r w:rsidR="00697833">
        <w:t>,</w:t>
      </w:r>
      <w:r w:rsidR="00036A15">
        <w:t xml:space="preserve"> </w:t>
      </w:r>
      <w:r w:rsidR="008C4806">
        <w:t>depending on how</w:t>
      </w:r>
      <w:r w:rsidR="00036A15">
        <w:t xml:space="preserve"> </w:t>
      </w:r>
      <w:r w:rsidR="008C4806">
        <w:t xml:space="preserve">the addition of certain supplements is </w:t>
      </w:r>
      <w:r w:rsidR="00036A15">
        <w:t xml:space="preserve">counted. </w:t>
      </w:r>
      <w:r>
        <w:t xml:space="preserve">This is very similar with the use of coated cell culture plastic. Over the years, we used a variety of different pre-coated plates from different suppliers. Moreover, we tested different in-house coatings. For both points, we would like to refer readers and also this reviewer to previous publications </w:t>
      </w:r>
      <w:r>
        <w:t>of our group, which have been cited properly.</w:t>
      </w:r>
      <w:r>
        <w:t xml:space="preserve"> </w:t>
      </w:r>
    </w:p>
    <w:p w14:paraId="12CF9DB7" w14:textId="2A3EAC64" w:rsidR="00851503" w:rsidRDefault="00851503" w:rsidP="00241659">
      <w:pPr>
        <w:jc w:val="both"/>
      </w:pPr>
      <w:r>
        <w:t xml:space="preserve">The statistical comparison of various media compositions on a side-by-side basis is subject of a thesis, data are almost complete and we hope that we can published that also soon. Since some media are provided by industrial cooperation partners, naming specific media without prior statistical analysis as </w:t>
      </w:r>
      <w:r>
        <w:lastRenderedPageBreak/>
        <w:t>well as approval by the company, could pose a conflict of interest. However, we encourage everyone to test different media for their specific purpose, since there are definitely considerable deviations concerning the “ideal media” for different tumor entities; maybe even for sub-entities.</w:t>
      </w:r>
    </w:p>
    <w:p w14:paraId="6571801C" w14:textId="09CEAFFB" w:rsidR="002A4047" w:rsidRDefault="00697833" w:rsidP="00241659">
      <w:pPr>
        <w:jc w:val="both"/>
      </w:pPr>
      <w:r>
        <w:t>We always use DMEM</w:t>
      </w:r>
      <w:r w:rsidR="00C81F01">
        <w:t>/F12</w:t>
      </w:r>
      <w:r>
        <w:t xml:space="preserve"> with 10 % </w:t>
      </w:r>
      <w:r w:rsidR="00C81F01">
        <w:t>FCS</w:t>
      </w:r>
      <w:r w:rsidR="00851503">
        <w:t xml:space="preserve"> as standard medium</w:t>
      </w:r>
      <w:r w:rsidR="00C81F01">
        <w:t xml:space="preserve"> when a cell line is finally established</w:t>
      </w:r>
      <w:r>
        <w:t xml:space="preserve">. </w:t>
      </w:r>
    </w:p>
    <w:p w14:paraId="6D4DB76D" w14:textId="49787572" w:rsidR="008A1BC6" w:rsidRPr="00D54B89" w:rsidRDefault="008A1BC6" w:rsidP="00241659">
      <w:pPr>
        <w:jc w:val="both"/>
        <w:rPr>
          <w:u w:val="single"/>
        </w:rPr>
      </w:pPr>
      <w:r w:rsidRPr="00D54B89">
        <w:rPr>
          <w:u w:val="single"/>
        </w:rPr>
        <w:t>Description of f</w:t>
      </w:r>
      <w:r w:rsidR="00DD4DAF" w:rsidRPr="00D54B89">
        <w:rPr>
          <w:u w:val="single"/>
        </w:rPr>
        <w:t xml:space="preserve">urther cell culturing: </w:t>
      </w:r>
    </w:p>
    <w:p w14:paraId="2715B262" w14:textId="799E5038" w:rsidR="00D54B89" w:rsidRDefault="00D54B89" w:rsidP="00D54B89">
      <w:pPr>
        <w:jc w:val="both"/>
      </w:pPr>
      <w:r>
        <w:t>A detailed description of the 2D cell line generation procedure is - with all necessary respect to the understandable wish of this reviewer for an easy description</w:t>
      </w:r>
      <w:r w:rsidRPr="00D54B89">
        <w:t xml:space="preserve"> </w:t>
      </w:r>
      <w:r>
        <w:t xml:space="preserve">to be followed by other labs </w:t>
      </w:r>
      <w:r>
        <w:t>–</w:t>
      </w:r>
      <w:r>
        <w:t xml:space="preserve"> </w:t>
      </w:r>
      <w:r>
        <w:t xml:space="preserve">by far too complex to be added to this more general procedure of the complete integrated </w:t>
      </w:r>
      <w:proofErr w:type="spellStart"/>
      <w:r>
        <w:t>biobanking</w:t>
      </w:r>
      <w:proofErr w:type="spellEnd"/>
      <w:r>
        <w:t xml:space="preserve"> procedure. It took years to develop and train the cell culture skills to reach the current level of establishment success rate. For some cell lines it took over a year before we could consider it “established”. It is, to be honest, for most of the cases extremely individual. However, we discussed the possibility to describe our 2D cell line establishment procedure by another video publication and it is likely that we will go for this in the near future.</w:t>
      </w:r>
    </w:p>
    <w:p w14:paraId="769AAB5C" w14:textId="66784602" w:rsidR="00110259" w:rsidRPr="00110259" w:rsidRDefault="00110259" w:rsidP="00241659">
      <w:pPr>
        <w:jc w:val="both"/>
        <w:rPr>
          <w:u w:val="single"/>
        </w:rPr>
      </w:pPr>
      <w:r w:rsidRPr="00110259">
        <w:rPr>
          <w:u w:val="single"/>
        </w:rPr>
        <w:t>LIMS system used</w:t>
      </w:r>
      <w:r>
        <w:rPr>
          <w:u w:val="single"/>
        </w:rPr>
        <w:t xml:space="preserve"> and clinical data</w:t>
      </w:r>
      <w:r w:rsidRPr="00110259">
        <w:rPr>
          <w:u w:val="single"/>
        </w:rPr>
        <w:t>:</w:t>
      </w:r>
    </w:p>
    <w:p w14:paraId="53E19439" w14:textId="77777777" w:rsidR="00A75917" w:rsidRDefault="00110259" w:rsidP="00241659">
      <w:pPr>
        <w:jc w:val="both"/>
        <w:rPr>
          <w:rFonts w:cstheme="minorHAnsi"/>
        </w:rPr>
      </w:pPr>
      <w:r>
        <w:rPr>
          <w:rFonts w:cstheme="minorHAnsi"/>
        </w:rPr>
        <w:t xml:space="preserve">As wished, we indicated the use of </w:t>
      </w:r>
      <w:proofErr w:type="spellStart"/>
      <w:r w:rsidRPr="00102399">
        <w:rPr>
          <w:rFonts w:cstheme="minorHAnsi"/>
        </w:rPr>
        <w:t>Freezerworks</w:t>
      </w:r>
      <w:proofErr w:type="spellEnd"/>
      <w:r>
        <w:rPr>
          <w:rFonts w:cstheme="minorHAnsi"/>
        </w:rPr>
        <w:t xml:space="preserve">® in our group in 9.4. In our hands this is a very reliable system; it might be worth noting that we use individual N2-resistent barcode stickers for all samples stored. However, since there are plenty of professional solutions available now for </w:t>
      </w:r>
      <w:proofErr w:type="spellStart"/>
      <w:r>
        <w:rPr>
          <w:rFonts w:cstheme="minorHAnsi"/>
        </w:rPr>
        <w:t>biobanking</w:t>
      </w:r>
      <w:proofErr w:type="spellEnd"/>
      <w:r>
        <w:rPr>
          <w:rFonts w:cstheme="minorHAnsi"/>
        </w:rPr>
        <w:t xml:space="preserve"> and even more individual solutions how to deal with the samples created in a given lab, this is in our opinion again out of the focus of the current manuscript. Concerning clinical data collected, we have the following statement in the discussion: “…</w:t>
      </w:r>
      <w:r>
        <w:rPr>
          <w:rFonts w:cstheme="minorHAnsi"/>
        </w:rPr>
        <w:t xml:space="preserve"> the biobank should be linked to a clinical database comprising patients characteristics (general information, survival, relapse free survival, therapy, secondary neoplasia etc.). Due to legal regulations of privacy protection and lack of such an anonymized data base, our clinical data set is regularly administrated and updated manually </w:t>
      </w:r>
      <w:r>
        <w:rPr>
          <w:rFonts w:cstheme="minorHAnsi"/>
        </w:rPr>
        <w:t>by the cooperating physicians.” And would like to again refer to our previous publication by Mullins et al., 2019.</w:t>
      </w:r>
    </w:p>
    <w:p w14:paraId="11B3FD96" w14:textId="6AB41D1A" w:rsidR="00A75917" w:rsidRPr="00110259" w:rsidRDefault="00A75917" w:rsidP="00A75917">
      <w:pPr>
        <w:jc w:val="both"/>
        <w:rPr>
          <w:u w:val="single"/>
        </w:rPr>
      </w:pPr>
      <w:r>
        <w:rPr>
          <w:u w:val="single"/>
        </w:rPr>
        <w:t>Lack of proof</w:t>
      </w:r>
      <w:r w:rsidRPr="00110259">
        <w:rPr>
          <w:u w:val="single"/>
        </w:rPr>
        <w:t>:</w:t>
      </w:r>
    </w:p>
    <w:p w14:paraId="7BABE0A7" w14:textId="7740A521" w:rsidR="00110259" w:rsidRDefault="00A75917" w:rsidP="00A75917">
      <w:pPr>
        <w:jc w:val="both"/>
      </w:pPr>
      <w:r>
        <w:rPr>
          <w:rFonts w:cstheme="minorHAnsi"/>
        </w:rPr>
        <w:t>In principle, we totally agree with this reviewer that numbers demonstrating the success rates are mandatory. Thus, we included our current total success numbers into the video, the discussion as well as the results part of the manuscript. However, final success rates cannot as easily be delivered since this was, again, not the focus of the present, but even several other manuscripts which are in preparation and will be published soon.</w:t>
      </w:r>
      <w:r w:rsidR="00110259">
        <w:rPr>
          <w:rFonts w:cstheme="minorHAnsi"/>
        </w:rPr>
        <w:t xml:space="preserve"> </w:t>
      </w:r>
      <w:r w:rsidR="00AF0059">
        <w:rPr>
          <w:rFonts w:cstheme="minorHAnsi"/>
        </w:rPr>
        <w:t xml:space="preserve">Still, the numbers are sufficient to demonstrate the overall success of our strategy presented </w:t>
      </w:r>
      <w:r w:rsidR="00A527C2">
        <w:rPr>
          <w:rFonts w:cstheme="minorHAnsi"/>
        </w:rPr>
        <w:t>here</w:t>
      </w:r>
      <w:r w:rsidR="00AF0059">
        <w:rPr>
          <w:rFonts w:cstheme="minorHAnsi"/>
        </w:rPr>
        <w:t>.</w:t>
      </w:r>
    </w:p>
    <w:p w14:paraId="374F6C39" w14:textId="77777777" w:rsidR="00050560" w:rsidRDefault="00A527C2" w:rsidP="00241659">
      <w:pPr>
        <w:jc w:val="both"/>
        <w:rPr>
          <w:u w:val="single"/>
        </w:rPr>
      </w:pPr>
      <w:r>
        <w:rPr>
          <w:u w:val="single"/>
        </w:rPr>
        <w:t>Molecular validation/comparison to original tumor</w:t>
      </w:r>
      <w:r w:rsidR="00DD4DAF" w:rsidRPr="00A527C2">
        <w:rPr>
          <w:u w:val="single"/>
        </w:rPr>
        <w:t>:</w:t>
      </w:r>
      <w:r w:rsidR="0035530E" w:rsidRPr="00A527C2">
        <w:rPr>
          <w:u w:val="single"/>
        </w:rPr>
        <w:t xml:space="preserve"> </w:t>
      </w:r>
    </w:p>
    <w:p w14:paraId="0D31155D" w14:textId="5D3E3A4C" w:rsidR="00860322" w:rsidRDefault="00A527C2" w:rsidP="00241659">
      <w:pPr>
        <w:jc w:val="both"/>
      </w:pPr>
      <w:r>
        <w:rPr>
          <w:noProof/>
          <w:lang w:val="de-DE" w:eastAsia="de-DE"/>
        </w:rPr>
        <w:lastRenderedPageBreak/>
        <w:drawing>
          <wp:anchor distT="0" distB="0" distL="114300" distR="114300" simplePos="0" relativeHeight="251658240" behindDoc="1" locked="0" layoutInCell="1" allowOverlap="1" wp14:anchorId="4BB4B9C9" wp14:editId="1AEAD04C">
            <wp:simplePos x="0" y="0"/>
            <wp:positionH relativeFrom="margin">
              <wp:align>right</wp:align>
            </wp:positionH>
            <wp:positionV relativeFrom="paragraph">
              <wp:posOffset>838620</wp:posOffset>
            </wp:positionV>
            <wp:extent cx="5760720" cy="3395345"/>
            <wp:effectExtent l="0" t="0" r="0" b="0"/>
            <wp:wrapTight wrapText="bothSides">
              <wp:wrapPolygon edited="0">
                <wp:start x="12500" y="0"/>
                <wp:lineTo x="214" y="1091"/>
                <wp:lineTo x="71" y="1818"/>
                <wp:lineTo x="1286" y="1939"/>
                <wp:lineTo x="0" y="3272"/>
                <wp:lineTo x="0" y="17209"/>
                <wp:lineTo x="12500" y="17451"/>
                <wp:lineTo x="12500" y="21451"/>
                <wp:lineTo x="21500" y="21451"/>
                <wp:lineTo x="21500" y="20360"/>
                <wp:lineTo x="21357" y="0"/>
                <wp:lineTo x="1250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395345"/>
                    </a:xfrm>
                    <a:prstGeom prst="rect">
                      <a:avLst/>
                    </a:prstGeom>
                    <a:noFill/>
                    <a:ln>
                      <a:noFill/>
                    </a:ln>
                  </pic:spPr>
                </pic:pic>
              </a:graphicData>
            </a:graphic>
          </wp:anchor>
        </w:drawing>
      </w:r>
      <w:r w:rsidRPr="00A527C2">
        <w:t xml:space="preserve">Several of the suggestions </w:t>
      </w:r>
      <w:r>
        <w:t xml:space="preserve">have been followed as outlined below. </w:t>
      </w:r>
      <w:r w:rsidR="0035530E">
        <w:t xml:space="preserve">All cell lines are </w:t>
      </w:r>
      <w:r>
        <w:t xml:space="preserve">routinely </w:t>
      </w:r>
      <w:r w:rsidR="0035530E">
        <w:t>characterized by FACS analysis. We attached a recent FACS a</w:t>
      </w:r>
      <w:r>
        <w:t>nalysis of a newly established CRC line</w:t>
      </w:r>
      <w:r w:rsidR="0035530E">
        <w:t xml:space="preserve"> as an example</w:t>
      </w:r>
      <w:r>
        <w:t>. Due to the fact that the overall length of the manuscript is a limiting factor, plus several previous publications exactly describing the general procedure, this information is given</w:t>
      </w:r>
      <w:r w:rsidR="007A6632">
        <w:t xml:space="preserve"> just for review purposes</w:t>
      </w:r>
      <w:r w:rsidR="0035530E">
        <w:t>.</w:t>
      </w:r>
    </w:p>
    <w:p w14:paraId="595CE125" w14:textId="33AEC2BA" w:rsidR="000D1454" w:rsidRDefault="00860322" w:rsidP="00241659">
      <w:pPr>
        <w:jc w:val="both"/>
      </w:pPr>
      <w:r>
        <w:tab/>
      </w:r>
    </w:p>
    <w:p w14:paraId="6895CC5C" w14:textId="77777777" w:rsidR="0035530E" w:rsidRDefault="0035530E" w:rsidP="00241659">
      <w:pPr>
        <w:jc w:val="both"/>
      </w:pPr>
    </w:p>
    <w:p w14:paraId="53F53F11" w14:textId="77777777" w:rsidR="0035530E" w:rsidRDefault="0035530E" w:rsidP="00241659">
      <w:pPr>
        <w:jc w:val="both"/>
      </w:pPr>
    </w:p>
    <w:p w14:paraId="68E75F57" w14:textId="1DD93E86" w:rsidR="0050427F" w:rsidRDefault="0050427F" w:rsidP="00241659">
      <w:pPr>
        <w:jc w:val="both"/>
      </w:pPr>
      <w:r>
        <w:t>Concordance between patient and cell line is confirmed by STR-analysis</w:t>
      </w:r>
      <w:r w:rsidR="00A374FB">
        <w:t xml:space="preserve"> using germ-line, tumor</w:t>
      </w:r>
      <w:r w:rsidR="00050560">
        <w:t>,</w:t>
      </w:r>
      <w:r w:rsidR="00A374FB">
        <w:t xml:space="preserve"> cell-lines </w:t>
      </w:r>
      <w:r w:rsidR="00050560">
        <w:t>as well as PDX</w:t>
      </w:r>
      <w:r w:rsidR="00A527C2">
        <w:t xml:space="preserve"> </w:t>
      </w:r>
      <w:r w:rsidR="00A374FB">
        <w:t>derived genomic DNA – this has also been described in detail in our previous publications</w:t>
      </w:r>
      <w:r>
        <w:t xml:space="preserve">. </w:t>
      </w:r>
      <w:r w:rsidR="00A527C2">
        <w:t>Still, we included one exemplary analysis into the results part.</w:t>
      </w:r>
    </w:p>
    <w:p w14:paraId="79D43F35" w14:textId="6CA930A9" w:rsidR="00860322" w:rsidRPr="00F01E88" w:rsidRDefault="0050427F" w:rsidP="00241659">
      <w:pPr>
        <w:jc w:val="both"/>
      </w:pPr>
      <w:r>
        <w:t xml:space="preserve">Concerning the quality of PDX models, we not only confirm </w:t>
      </w:r>
      <w:r w:rsidR="005C3228">
        <w:t>PDX- donor concordance by STR analysis but regularly subject FFPE samples of PDX tumors to a critical evaluation by an experienced clinical pathologist. This cooperation</w:t>
      </w:r>
      <w:r w:rsidR="005C3228" w:rsidRPr="005C3228">
        <w:t xml:space="preserve"> highlighted </w:t>
      </w:r>
      <w:r w:rsidR="005C3228">
        <w:t>the high morphological congruenc</w:t>
      </w:r>
      <w:r w:rsidR="00A374FB">
        <w:t>y</w:t>
      </w:r>
      <w:r w:rsidR="005C3228">
        <w:t xml:space="preserve"> (see Linnebacher et al.</w:t>
      </w:r>
      <w:r w:rsidR="002A4047">
        <w:t xml:space="preserve"> </w:t>
      </w:r>
      <w:r w:rsidR="005C3228">
        <w:t xml:space="preserve">2010; PMID: </w:t>
      </w:r>
      <w:r w:rsidR="005C3228" w:rsidRPr="005C3228">
        <w:t>20615215</w:t>
      </w:r>
      <w:r w:rsidR="005C3228">
        <w:t xml:space="preserve">), but also elucidated the relevant differences </w:t>
      </w:r>
      <w:r w:rsidR="005C3228" w:rsidRPr="005C3228">
        <w:t>between donor tumor and corresponding PDX</w:t>
      </w:r>
      <w:r w:rsidR="005C3228">
        <w:t xml:space="preserve"> (Prall et al. 2017</w:t>
      </w:r>
      <w:r w:rsidR="002A4047">
        <w:t xml:space="preserve">; PMID: </w:t>
      </w:r>
      <w:r w:rsidR="002A4047" w:rsidRPr="002A4047">
        <w:t>29040282</w:t>
      </w:r>
      <w:r w:rsidR="00F01E88">
        <w:rPr>
          <w:sz w:val="24"/>
          <w:szCs w:val="24"/>
        </w:rPr>
        <w:t>). An ex</w:t>
      </w:r>
      <w:r w:rsidR="00F01E88">
        <w:t>tend</w:t>
      </w:r>
      <w:r w:rsidR="00050560">
        <w:t>ed</w:t>
      </w:r>
      <w:r w:rsidR="00F01E88">
        <w:t xml:space="preserve"> analysis of the </w:t>
      </w:r>
      <w:r w:rsidR="001D5BBF">
        <w:t xml:space="preserve">mutational profile and molecular phenotypes of the PDX collection </w:t>
      </w:r>
      <w:r w:rsidR="00A374FB">
        <w:t>is, as mentioned above, in preparation to be</w:t>
      </w:r>
      <w:r w:rsidR="001D5BBF">
        <w:t xml:space="preserve"> published soon by Matschos et al. and would clearly </w:t>
      </w:r>
      <w:r w:rsidR="00A374FB">
        <w:t>be beyond the scope of the current manuscript</w:t>
      </w:r>
      <w:r w:rsidR="001D5BBF">
        <w:t>.</w:t>
      </w:r>
    </w:p>
    <w:p w14:paraId="12315E27" w14:textId="77777777" w:rsidR="00050560" w:rsidRDefault="00050560" w:rsidP="00050560">
      <w:pPr>
        <w:jc w:val="both"/>
      </w:pPr>
    </w:p>
    <w:p w14:paraId="7CF78EC9" w14:textId="0DAD682B" w:rsidR="00050560" w:rsidRDefault="00050560" w:rsidP="00050560">
      <w:pPr>
        <w:jc w:val="both"/>
      </w:pPr>
      <w:r>
        <w:t>M</w:t>
      </w:r>
      <w:r>
        <w:t>inor</w:t>
      </w:r>
      <w:r>
        <w:t xml:space="preserve"> concerns:</w:t>
      </w:r>
    </w:p>
    <w:p w14:paraId="402DAB2F" w14:textId="5BFEEEDD" w:rsidR="00050560" w:rsidRDefault="00050560" w:rsidP="00050560">
      <w:pPr>
        <w:jc w:val="both"/>
        <w:rPr>
          <w:u w:val="single"/>
        </w:rPr>
      </w:pPr>
      <w:r>
        <w:rPr>
          <w:u w:val="single"/>
        </w:rPr>
        <w:t>Title</w:t>
      </w:r>
      <w:r w:rsidRPr="00851503">
        <w:rPr>
          <w:u w:val="single"/>
        </w:rPr>
        <w:t xml:space="preserve">: </w:t>
      </w:r>
    </w:p>
    <w:p w14:paraId="5E1E79D0" w14:textId="28C58FE9" w:rsidR="00050560" w:rsidRPr="00050560" w:rsidRDefault="00050560" w:rsidP="00050560">
      <w:pPr>
        <w:jc w:val="both"/>
      </w:pPr>
      <w:r>
        <w:t>We agree with this reviewer that beside living cells, also serum and snap-frozen tissues are collected according to our SOPs and that thus, the biobank is of course not exclusively focused on “living” samples. However, we still would like to stick to our – admittedly eye-catching – title since it shall for the most part highlight the difference to “classical” biobanks.</w:t>
      </w:r>
    </w:p>
    <w:p w14:paraId="5100CF71" w14:textId="4D73B227" w:rsidR="00050560" w:rsidRDefault="00050560" w:rsidP="00050560">
      <w:pPr>
        <w:jc w:val="both"/>
        <w:rPr>
          <w:u w:val="single"/>
        </w:rPr>
      </w:pPr>
      <w:r>
        <w:rPr>
          <w:u w:val="single"/>
        </w:rPr>
        <w:t>QC of tumor pieces collected</w:t>
      </w:r>
      <w:r w:rsidRPr="00851503">
        <w:rPr>
          <w:u w:val="single"/>
        </w:rPr>
        <w:t xml:space="preserve">: </w:t>
      </w:r>
    </w:p>
    <w:p w14:paraId="60FBC7E2" w14:textId="7FD6F7F3" w:rsidR="00024190" w:rsidRDefault="00050560" w:rsidP="00050560">
      <w:pPr>
        <w:jc w:val="both"/>
      </w:pPr>
      <w:r>
        <w:t>Again, w</w:t>
      </w:r>
      <w:r>
        <w:t xml:space="preserve">e </w:t>
      </w:r>
      <w:r>
        <w:t xml:space="preserve">totally </w:t>
      </w:r>
      <w:r>
        <w:t xml:space="preserve">agree that </w:t>
      </w:r>
      <w:r>
        <w:t xml:space="preserve">in an ideal world, the pieces used for </w:t>
      </w:r>
      <w:proofErr w:type="spellStart"/>
      <w:r>
        <w:t>biobanking</w:t>
      </w:r>
      <w:proofErr w:type="spellEnd"/>
      <w:r>
        <w:t xml:space="preserve"> should directly be QC-checked. This is on the other hand obviously not possible. QC measures in place are as follows: a comparison of PDX morphology with primary tumor morphology (results are, as repeatedly </w:t>
      </w:r>
      <w:r>
        <w:lastRenderedPageBreak/>
        <w:t>mentioned, in preparation), in recent time there is als</w:t>
      </w:r>
      <w:r w:rsidR="000479F9">
        <w:t>o the possibility to compare whole exome sequencing</w:t>
      </w:r>
      <w:r>
        <w:t xml:space="preserve"> </w:t>
      </w:r>
      <w:r w:rsidR="000479F9">
        <w:t xml:space="preserve">mutation </w:t>
      </w:r>
      <w:r>
        <w:t xml:space="preserve">data between original tumor and cell lines as well as PDX. The latter </w:t>
      </w:r>
      <w:r w:rsidR="000479F9">
        <w:t>data are so far promising, but the data collection has to continue for some more months or even years before we consider putting them together for publication.</w:t>
      </w:r>
    </w:p>
    <w:p w14:paraId="43FB687E" w14:textId="350B2404" w:rsidR="000479F9" w:rsidRDefault="000479F9" w:rsidP="000479F9">
      <w:pPr>
        <w:jc w:val="both"/>
        <w:rPr>
          <w:u w:val="single"/>
        </w:rPr>
      </w:pPr>
      <w:r>
        <w:rPr>
          <w:u w:val="single"/>
        </w:rPr>
        <w:t>Section 5.1</w:t>
      </w:r>
      <w:r w:rsidRPr="00851503">
        <w:rPr>
          <w:u w:val="single"/>
        </w:rPr>
        <w:t xml:space="preserve">: </w:t>
      </w:r>
    </w:p>
    <w:p w14:paraId="74F3282D" w14:textId="764715CF" w:rsidR="000479F9" w:rsidRDefault="000479F9" w:rsidP="000479F9">
      <w:pPr>
        <w:jc w:val="both"/>
      </w:pPr>
      <w:r>
        <w:t>This has been rephrased.</w:t>
      </w:r>
    </w:p>
    <w:p w14:paraId="067ECB4A" w14:textId="52516E15" w:rsidR="000479F9" w:rsidRDefault="000479F9" w:rsidP="000479F9">
      <w:pPr>
        <w:jc w:val="both"/>
        <w:rPr>
          <w:u w:val="single"/>
        </w:rPr>
      </w:pPr>
      <w:r>
        <w:rPr>
          <w:u w:val="single"/>
        </w:rPr>
        <w:t>Discussion</w:t>
      </w:r>
      <w:r w:rsidRPr="00851503">
        <w:rPr>
          <w:u w:val="single"/>
        </w:rPr>
        <w:t xml:space="preserve">: </w:t>
      </w:r>
    </w:p>
    <w:p w14:paraId="1EA41FDB" w14:textId="62C2E51E" w:rsidR="00050560" w:rsidRDefault="000479F9" w:rsidP="00241659">
      <w:pPr>
        <w:jc w:val="both"/>
      </w:pPr>
      <w:r>
        <w:t xml:space="preserve">When considering the length of the discussion, we would politely refuse adding more discussion points. The </w:t>
      </w:r>
      <w:proofErr w:type="spellStart"/>
      <w:r>
        <w:t>biobanking</w:t>
      </w:r>
      <w:proofErr w:type="spellEnd"/>
      <w:r>
        <w:t xml:space="preserve"> procedures mentioned by this reviewer are indeed worth being compared to our strategy. However, in our opinion this shall best be done by potential readers. </w:t>
      </w:r>
      <w:bookmarkStart w:id="0" w:name="_GoBack"/>
      <w:bookmarkEnd w:id="0"/>
    </w:p>
    <w:p w14:paraId="172EB1C8" w14:textId="77777777" w:rsidR="00050560" w:rsidRDefault="00050560" w:rsidP="00241659">
      <w:pPr>
        <w:jc w:val="both"/>
      </w:pPr>
    </w:p>
    <w:p w14:paraId="447E5DAE" w14:textId="1A772866" w:rsidR="00860322" w:rsidRDefault="00024190" w:rsidP="00241659">
      <w:pPr>
        <w:jc w:val="both"/>
      </w:pPr>
      <w:r>
        <w:t>Answer</w:t>
      </w:r>
      <w:r w:rsidR="00A374FB">
        <w:t>s</w:t>
      </w:r>
      <w:r>
        <w:t xml:space="preserve"> to reviewer 3:</w:t>
      </w:r>
    </w:p>
    <w:p w14:paraId="1310A0AB" w14:textId="72AE0EB5" w:rsidR="007C17DF" w:rsidRPr="007C17DF" w:rsidRDefault="00024190" w:rsidP="00241659">
      <w:pPr>
        <w:jc w:val="both"/>
      </w:pPr>
      <w:r>
        <w:t xml:space="preserve">Since we implemented strict </w:t>
      </w:r>
      <w:r w:rsidR="00A374FB">
        <w:t>SOPs for biobanking, the</w:t>
      </w:r>
      <w:r>
        <w:t xml:space="preserve"> “warm ischemia time” </w:t>
      </w:r>
      <w:r w:rsidR="00A374FB">
        <w:t>rarely exceeds</w:t>
      </w:r>
      <w:r>
        <w:t xml:space="preserve"> half an hour. If direct transport </w:t>
      </w:r>
      <w:r w:rsidR="00A374FB">
        <w:t xml:space="preserve">into </w:t>
      </w:r>
      <w:r>
        <w:t xml:space="preserve">the pathology lab is not possible, we store the whole specimen in tissue storage solution </w:t>
      </w:r>
      <w:r w:rsidR="00A374FB">
        <w:t>(</w:t>
      </w:r>
      <w:proofErr w:type="spellStart"/>
      <w:r w:rsidR="00A374FB">
        <w:t>Miltenyibiotec</w:t>
      </w:r>
      <w:proofErr w:type="spellEnd"/>
      <w:r w:rsidR="00A374FB">
        <w:t xml:space="preserve">, order-number </w:t>
      </w:r>
      <w:r w:rsidR="00A374FB">
        <w:rPr>
          <w:rStyle w:val="labelcurrent"/>
        </w:rPr>
        <w:t>130-100-008</w:t>
      </w:r>
      <w:r w:rsidR="00A374FB">
        <w:t xml:space="preserve">) </w:t>
      </w:r>
      <w:r w:rsidR="00616587">
        <w:t xml:space="preserve">overnight at 4 ° C. The transport time </w:t>
      </w:r>
      <w:r w:rsidR="00A374FB">
        <w:t xml:space="preserve">between </w:t>
      </w:r>
      <w:r w:rsidR="00616587">
        <w:t xml:space="preserve">the department of pathology </w:t>
      </w:r>
      <w:r w:rsidR="00A374FB">
        <w:t xml:space="preserve">and our lab </w:t>
      </w:r>
      <w:r w:rsidR="00616587">
        <w:t xml:space="preserve">is 10 minutes, but can be neglected, since the tissue is well cooled. The processing time depends on the sample size, </w:t>
      </w:r>
      <w:r w:rsidR="00A374FB">
        <w:t>and lies</w:t>
      </w:r>
      <w:r w:rsidR="00616587">
        <w:t xml:space="preserve"> between 15 and 30 minutes.</w:t>
      </w:r>
      <w:r w:rsidR="00A374FB">
        <w:t xml:space="preserve"> Most important</w:t>
      </w:r>
      <w:r w:rsidR="007C17DF">
        <w:t xml:space="preserve"> is to keep the tissue well </w:t>
      </w:r>
      <w:r w:rsidR="00DF7B77">
        <w:t>hydrated, especially</w:t>
      </w:r>
      <w:r w:rsidR="007C17DF">
        <w:t xml:space="preserve"> during the tissue processing.</w:t>
      </w:r>
    </w:p>
    <w:sectPr w:rsidR="007C17DF" w:rsidRPr="007C17DF" w:rsidSect="001D580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68"/>
    <w:rsid w:val="00024190"/>
    <w:rsid w:val="00036A15"/>
    <w:rsid w:val="000479F9"/>
    <w:rsid w:val="00050560"/>
    <w:rsid w:val="00053720"/>
    <w:rsid w:val="000A212B"/>
    <w:rsid w:val="000D1454"/>
    <w:rsid w:val="00110259"/>
    <w:rsid w:val="001D5807"/>
    <w:rsid w:val="001D5BBF"/>
    <w:rsid w:val="001F0C24"/>
    <w:rsid w:val="001F19BD"/>
    <w:rsid w:val="00241659"/>
    <w:rsid w:val="00282743"/>
    <w:rsid w:val="002A4047"/>
    <w:rsid w:val="0035530E"/>
    <w:rsid w:val="0038355E"/>
    <w:rsid w:val="003A79CD"/>
    <w:rsid w:val="004C19C1"/>
    <w:rsid w:val="0050427F"/>
    <w:rsid w:val="005B5E5B"/>
    <w:rsid w:val="005C3228"/>
    <w:rsid w:val="005D30AD"/>
    <w:rsid w:val="005F67FC"/>
    <w:rsid w:val="00616587"/>
    <w:rsid w:val="006670E7"/>
    <w:rsid w:val="00697833"/>
    <w:rsid w:val="00725E77"/>
    <w:rsid w:val="007A6632"/>
    <w:rsid w:val="007C17DF"/>
    <w:rsid w:val="0081210E"/>
    <w:rsid w:val="008154AE"/>
    <w:rsid w:val="00851503"/>
    <w:rsid w:val="00860322"/>
    <w:rsid w:val="008A1BC6"/>
    <w:rsid w:val="008C4806"/>
    <w:rsid w:val="008D3DCB"/>
    <w:rsid w:val="00955C09"/>
    <w:rsid w:val="00994023"/>
    <w:rsid w:val="009A1590"/>
    <w:rsid w:val="009B6CA1"/>
    <w:rsid w:val="009D51D0"/>
    <w:rsid w:val="009E2BEC"/>
    <w:rsid w:val="009E2E22"/>
    <w:rsid w:val="00A25B93"/>
    <w:rsid w:val="00A374FB"/>
    <w:rsid w:val="00A527C2"/>
    <w:rsid w:val="00A75917"/>
    <w:rsid w:val="00AF0059"/>
    <w:rsid w:val="00B83B68"/>
    <w:rsid w:val="00BA5932"/>
    <w:rsid w:val="00C03C13"/>
    <w:rsid w:val="00C360FD"/>
    <w:rsid w:val="00C81F01"/>
    <w:rsid w:val="00CA7222"/>
    <w:rsid w:val="00CC7A0F"/>
    <w:rsid w:val="00CF1206"/>
    <w:rsid w:val="00D54B89"/>
    <w:rsid w:val="00DD4DAF"/>
    <w:rsid w:val="00DF3A3D"/>
    <w:rsid w:val="00DF7B77"/>
    <w:rsid w:val="00E07FB7"/>
    <w:rsid w:val="00EA298E"/>
    <w:rsid w:val="00F01E88"/>
    <w:rsid w:val="00F26F03"/>
    <w:rsid w:val="00F40090"/>
    <w:rsid w:val="00F43818"/>
    <w:rsid w:val="00FB0CFE"/>
    <w:rsid w:val="00FC76DC"/>
    <w:rsid w:val="00FE1B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6105C"/>
  <w15:chartTrackingRefBased/>
  <w15:docId w15:val="{65BC500B-2890-44CC-8CF5-516D2DD8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labelcurrent">
    <w:name w:val="label__current"/>
    <w:basedOn w:val="Absatz-Standardschriftart"/>
    <w:rsid w:val="00A37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94730">
      <w:bodyDiv w:val="1"/>
      <w:marLeft w:val="0"/>
      <w:marRight w:val="0"/>
      <w:marTop w:val="0"/>
      <w:marBottom w:val="0"/>
      <w:divBdr>
        <w:top w:val="none" w:sz="0" w:space="0" w:color="auto"/>
        <w:left w:val="none" w:sz="0" w:space="0" w:color="auto"/>
        <w:bottom w:val="none" w:sz="0" w:space="0" w:color="auto"/>
        <w:right w:val="none" w:sz="0" w:space="0" w:color="auto"/>
      </w:divBdr>
      <w:divsChild>
        <w:div w:id="1107240486">
          <w:marLeft w:val="0"/>
          <w:marRight w:val="0"/>
          <w:marTop w:val="0"/>
          <w:marBottom w:val="0"/>
          <w:divBdr>
            <w:top w:val="none" w:sz="0" w:space="0" w:color="auto"/>
            <w:left w:val="none" w:sz="0" w:space="0" w:color="auto"/>
            <w:bottom w:val="none" w:sz="0" w:space="0" w:color="auto"/>
            <w:right w:val="none" w:sz="0" w:space="0" w:color="auto"/>
          </w:divBdr>
          <w:divsChild>
            <w:div w:id="34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5285">
      <w:bodyDiv w:val="1"/>
      <w:marLeft w:val="0"/>
      <w:marRight w:val="0"/>
      <w:marTop w:val="0"/>
      <w:marBottom w:val="0"/>
      <w:divBdr>
        <w:top w:val="none" w:sz="0" w:space="0" w:color="auto"/>
        <w:left w:val="none" w:sz="0" w:space="0" w:color="auto"/>
        <w:bottom w:val="none" w:sz="0" w:space="0" w:color="auto"/>
        <w:right w:val="none" w:sz="0" w:space="0" w:color="auto"/>
      </w:divBdr>
    </w:div>
    <w:div w:id="1893879525">
      <w:bodyDiv w:val="1"/>
      <w:marLeft w:val="0"/>
      <w:marRight w:val="0"/>
      <w:marTop w:val="0"/>
      <w:marBottom w:val="0"/>
      <w:divBdr>
        <w:top w:val="none" w:sz="0" w:space="0" w:color="auto"/>
        <w:left w:val="none" w:sz="0" w:space="0" w:color="auto"/>
        <w:bottom w:val="none" w:sz="0" w:space="0" w:color="auto"/>
        <w:right w:val="none" w:sz="0" w:space="0" w:color="auto"/>
      </w:divBdr>
      <w:divsChild>
        <w:div w:id="633800300">
          <w:marLeft w:val="0"/>
          <w:marRight w:val="0"/>
          <w:marTop w:val="0"/>
          <w:marBottom w:val="0"/>
          <w:divBdr>
            <w:top w:val="none" w:sz="0" w:space="0" w:color="auto"/>
            <w:left w:val="none" w:sz="0" w:space="0" w:color="auto"/>
            <w:bottom w:val="none" w:sz="0" w:space="0" w:color="auto"/>
            <w:right w:val="none" w:sz="0" w:space="0" w:color="auto"/>
          </w:divBdr>
          <w:divsChild>
            <w:div w:id="7342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1248</Words>
  <Characters>7868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Bürtin</dc:creator>
  <cp:keywords/>
  <dc:description/>
  <cp:lastModifiedBy>Linnebacher, Michael</cp:lastModifiedBy>
  <cp:revision>10</cp:revision>
  <dcterms:created xsi:type="dcterms:W3CDTF">2021-01-20T08:44:00Z</dcterms:created>
  <dcterms:modified xsi:type="dcterms:W3CDTF">2021-01-21T13:15:00Z</dcterms:modified>
</cp:coreProperties>
</file>